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wdp" ContentType="image/vnd.ms-photo"/>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colors3.xml" ContentType="application/vnd.ms-office.chartcolorstyle+xml"/>
  <Override PartName="/word/charts/colors4.xml" ContentType="application/vnd.ms-office.chartcolorstyle+xml"/>
  <Override PartName="/word/charts/style1.xml" ContentType="application/vnd.ms-office.chartstyle+xml"/>
  <Override PartName="/word/charts/style2.xml" ContentType="application/vnd.ms-office.chartstyle+xml"/>
  <Override PartName="/word/charts/style3.xml" ContentType="application/vnd.ms-office.chartstyle+xml"/>
  <Override PartName="/word/charts/style4.xml" ContentType="application/vnd.ms-office.chartstyle+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B94F2F9">
      <w:bookmarkStart w:id="648" w:name="_GoBack"/>
      <w:bookmarkEnd w:id="648"/>
    </w:p>
    <w:tbl>
      <w:tblPr>
        <w:tblStyle w:val="86"/>
        <w:tblW w:w="96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205"/>
        <w:gridCol w:w="3420"/>
      </w:tblGrid>
      <w:tr w14:paraId="4FE7AD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73" w:hRule="atLeast"/>
        </w:trPr>
        <w:tc>
          <w:tcPr>
            <w:tcW w:w="6205" w:type="dxa"/>
            <w:tcBorders>
              <w:top w:val="nil"/>
              <w:left w:val="nil"/>
              <w:bottom w:val="nil"/>
              <w:right w:val="nil"/>
            </w:tcBorders>
          </w:tcPr>
          <w:p w14:paraId="5FE3DC24">
            <w:pPr>
              <w:pStyle w:val="77"/>
              <w:rPr>
                <w:rFonts w:ascii="Arial Narrow" w:hAnsi="Arial Narrow"/>
              </w:rPr>
            </w:pPr>
            <w:r>
              <w:rPr>
                <w:rFonts w:ascii="Arial Narrow" w:hAnsi="Arial Narrow"/>
              </w:rPr>
              <w:drawing>
                <wp:inline distT="0" distB="0" distL="0" distR="0">
                  <wp:extent cx="1390015" cy="1200785"/>
                  <wp:effectExtent l="0" t="0" r="63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421225" cy="1227324"/>
                          </a:xfrm>
                          <a:prstGeom prst="rect">
                            <a:avLst/>
                          </a:prstGeom>
                          <a:noFill/>
                        </pic:spPr>
                      </pic:pic>
                    </a:graphicData>
                  </a:graphic>
                </wp:inline>
              </w:drawing>
            </w:r>
            <w:r>
              <w:rPr>
                <w:rFonts w:ascii="Arial Narrow" w:hAnsi="Arial Narrow"/>
              </w:rPr>
              <w:drawing>
                <wp:inline distT="0" distB="0" distL="0" distR="0">
                  <wp:extent cx="1616075" cy="1141095"/>
                  <wp:effectExtent l="0" t="0" r="3175" b="1905"/>
                  <wp:docPr id="17" name="Picture 17" descr="World Bank Logo | Business Vision"/>
                  <wp:cNvGraphicFramePr/>
                  <a:graphic xmlns:a="http://schemas.openxmlformats.org/drawingml/2006/main">
                    <a:graphicData uri="http://schemas.openxmlformats.org/drawingml/2006/picture">
                      <pic:pic xmlns:pic="http://schemas.openxmlformats.org/drawingml/2006/picture">
                        <pic:nvPicPr>
                          <pic:cNvPr id="17" name="Picture 17" descr="World Bank Logo | Business Vision"/>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1659779" cy="1171623"/>
                          </a:xfrm>
                          <a:prstGeom prst="rect">
                            <a:avLst/>
                          </a:prstGeom>
                          <a:noFill/>
                          <a:ln>
                            <a:noFill/>
                          </a:ln>
                        </pic:spPr>
                      </pic:pic>
                    </a:graphicData>
                  </a:graphic>
                </wp:inline>
              </w:drawing>
            </w:r>
          </w:p>
        </w:tc>
        <w:tc>
          <w:tcPr>
            <w:tcW w:w="3420" w:type="dxa"/>
            <w:tcBorders>
              <w:top w:val="nil"/>
              <w:left w:val="nil"/>
              <w:bottom w:val="nil"/>
              <w:right w:val="nil"/>
            </w:tcBorders>
          </w:tcPr>
          <w:p w14:paraId="43813C00">
            <w:pPr>
              <w:tabs>
                <w:tab w:val="left" w:pos="709"/>
              </w:tabs>
              <w:spacing w:after="0"/>
              <w:ind w:left="246"/>
              <w:jc w:val="center"/>
              <w:rPr>
                <w:rFonts w:cstheme="minorHAnsi"/>
              </w:rPr>
            </w:pPr>
            <w:r>
              <w:rPr>
                <w:rFonts w:cstheme="minorHAnsi"/>
              </w:rPr>
              <w:drawing>
                <wp:anchor distT="0" distB="0" distL="114300" distR="114300" simplePos="0" relativeHeight="251659264" behindDoc="1" locked="0" layoutInCell="1" allowOverlap="1">
                  <wp:simplePos x="0" y="0"/>
                  <wp:positionH relativeFrom="column">
                    <wp:posOffset>-177165</wp:posOffset>
                  </wp:positionH>
                  <wp:positionV relativeFrom="paragraph">
                    <wp:posOffset>-37465</wp:posOffset>
                  </wp:positionV>
                  <wp:extent cx="1496060" cy="1118235"/>
                  <wp:effectExtent l="0" t="0" r="8890" b="571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1520341" cy="1136209"/>
                          </a:xfrm>
                          <a:prstGeom prst="rect">
                            <a:avLst/>
                          </a:prstGeom>
                          <a:noFill/>
                        </pic:spPr>
                      </pic:pic>
                    </a:graphicData>
                  </a:graphic>
                </wp:anchor>
              </w:drawing>
            </w:r>
          </w:p>
        </w:tc>
      </w:tr>
    </w:tbl>
    <w:p w14:paraId="05FA0D76">
      <w:pPr>
        <w:pStyle w:val="77"/>
        <w:tabs>
          <w:tab w:val="left" w:pos="709"/>
        </w:tabs>
        <w:jc w:val="center"/>
        <w:rPr>
          <w:rFonts w:ascii="Arial Narrow" w:hAnsi="Arial Narrow"/>
          <w:sz w:val="36"/>
          <w:szCs w:val="36"/>
        </w:rPr>
      </w:pPr>
      <w:r>
        <w:rPr>
          <w:rFonts w:ascii="Arial Narrow" w:hAnsi="Arial Narrow" w:cs="Arial"/>
          <w:b/>
          <w:sz w:val="36"/>
          <w:szCs w:val="36"/>
        </w:rPr>
        <w:t>CONSULTANCY SERVCES FOR THE DESIGN REVIEW, PREPARATION OF FINAL DETAILED DESIGN, BIDDING DOCUMENTS, ENVIRONMENTAL AND SOCIAL IMPACT ASSESSMENTS (ESIAs), RESETTLEMENT ACTION PLANS (RAPs), SUPERVISION OF WATER AND SANITATION WORKS IN WAJIR TOWN AND THE PROVISION OF TECHNICAL ASSISTANCE</w:t>
      </w:r>
    </w:p>
    <w:tbl>
      <w:tblPr>
        <w:tblStyle w:val="8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3895"/>
        <w:gridCol w:w="5347"/>
      </w:tblGrid>
      <w:tr w14:paraId="0942DB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96" w:hRule="atLeast"/>
        </w:trPr>
        <w:tc>
          <w:tcPr>
            <w:tcW w:w="3299" w:type="dxa"/>
          </w:tcPr>
          <w:p w14:paraId="64E3186B">
            <w:pPr>
              <w:tabs>
                <w:tab w:val="left" w:pos="709"/>
              </w:tabs>
              <w:spacing w:after="0"/>
              <w:jc w:val="center"/>
              <w:rPr>
                <w:rFonts w:cstheme="minorHAnsi"/>
              </w:rPr>
            </w:pPr>
            <w:r>
              <w:rPr>
                <w:rFonts w:cstheme="minorHAnsi"/>
              </w:rPr>
              <w:drawing>
                <wp:inline distT="0" distB="0" distL="0" distR="0">
                  <wp:extent cx="2616200" cy="2581275"/>
                  <wp:effectExtent l="0" t="0" r="0" b="9525"/>
                  <wp:docPr id="7" name="Picture 7" descr="Fecal sludge management - Wikip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Fecal sludge management - Wikipedia"/>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618406" cy="2583452"/>
                          </a:xfrm>
                          <a:prstGeom prst="rect">
                            <a:avLst/>
                          </a:prstGeom>
                          <a:noFill/>
                          <a:ln>
                            <a:noFill/>
                          </a:ln>
                        </pic:spPr>
                      </pic:pic>
                    </a:graphicData>
                  </a:graphic>
                </wp:inline>
              </w:drawing>
            </w:r>
          </w:p>
        </w:tc>
        <w:tc>
          <w:tcPr>
            <w:tcW w:w="4866" w:type="dxa"/>
          </w:tcPr>
          <w:p w14:paraId="772CB5AE">
            <w:pPr>
              <w:tabs>
                <w:tab w:val="left" w:pos="709"/>
              </w:tabs>
              <w:spacing w:after="0"/>
              <w:jc w:val="center"/>
              <w:rPr>
                <w:rFonts w:cstheme="minorHAnsi"/>
              </w:rPr>
            </w:pPr>
            <w:r>
              <w:rPr>
                <w:rFonts w:cstheme="minorHAnsi"/>
              </w:rPr>
              <w:drawing>
                <wp:inline distT="0" distB="0" distL="0" distR="0">
                  <wp:extent cx="3648075" cy="2571115"/>
                  <wp:effectExtent l="0" t="0" r="0" b="635"/>
                  <wp:docPr id="8" name="Picture 8" descr="4 Objectives of Fecal Sludge Trea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4 Objectives of Fecal Sludge Treatmen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690925" cy="2601870"/>
                          </a:xfrm>
                          <a:prstGeom prst="rect">
                            <a:avLst/>
                          </a:prstGeom>
                          <a:noFill/>
                          <a:ln>
                            <a:noFill/>
                          </a:ln>
                        </pic:spPr>
                      </pic:pic>
                    </a:graphicData>
                  </a:graphic>
                </wp:inline>
              </w:drawing>
            </w:r>
          </w:p>
        </w:tc>
      </w:tr>
    </w:tbl>
    <w:p w14:paraId="64E14C8F">
      <w:pPr>
        <w:tabs>
          <w:tab w:val="left" w:pos="709"/>
        </w:tabs>
        <w:jc w:val="center"/>
        <w:rPr>
          <w:b/>
        </w:rPr>
      </w:pPr>
    </w:p>
    <w:p w14:paraId="3242F9E5">
      <w:pPr>
        <w:tabs>
          <w:tab w:val="left" w:pos="709"/>
        </w:tabs>
        <w:jc w:val="center"/>
        <w:rPr>
          <w:b/>
          <w:sz w:val="28"/>
          <w:szCs w:val="28"/>
        </w:rPr>
      </w:pPr>
      <w:r>
        <w:rPr>
          <w:b/>
          <w:sz w:val="28"/>
          <w:szCs w:val="28"/>
        </w:rPr>
        <w:t>ENVIRONMENTAL AND SOCIAL IMPACT ASSESSMENT REPORT FOR THE PROPOSED WAJIR FAECAL SLUDGE AND SEPTAGE TREATMENT PLANT,</w:t>
      </w:r>
    </w:p>
    <w:p w14:paraId="275F8E39">
      <w:pPr>
        <w:tabs>
          <w:tab w:val="left" w:pos="709"/>
        </w:tabs>
        <w:jc w:val="center"/>
        <w:rPr>
          <w:b/>
          <w:sz w:val="28"/>
          <w:szCs w:val="28"/>
        </w:rPr>
      </w:pPr>
      <w:r>
        <w:rPr>
          <w:b/>
          <w:sz w:val="28"/>
          <w:szCs w:val="28"/>
        </w:rPr>
        <w:t>WAJIR MUNICIPALITY, WAJIR COUNTY</w:t>
      </w:r>
    </w:p>
    <w:p w14:paraId="17DFEA5D">
      <w:pPr>
        <w:tabs>
          <w:tab w:val="left" w:pos="709"/>
        </w:tabs>
        <w:jc w:val="center"/>
        <w:rPr>
          <w:b/>
          <w:sz w:val="28"/>
          <w:szCs w:val="28"/>
        </w:rPr>
      </w:pPr>
      <w:r>
        <w:rPr>
          <w:b/>
          <w:sz w:val="28"/>
          <w:szCs w:val="28"/>
        </w:rPr>
        <w:t>OCTOBER 2024</w:t>
      </w:r>
    </w:p>
    <w:tbl>
      <w:tblPr>
        <w:tblStyle w:val="130"/>
        <w:tblW w:w="979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5"/>
        <w:gridCol w:w="2340"/>
        <w:gridCol w:w="3515"/>
        <w:gridCol w:w="2685"/>
      </w:tblGrid>
      <w:tr w14:paraId="1FCAC4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50" w:hRule="atLeast"/>
        </w:trPr>
        <w:tc>
          <w:tcPr>
            <w:tcW w:w="1255" w:type="dxa"/>
          </w:tcPr>
          <w:p w14:paraId="5D29647C">
            <w:pPr>
              <w:tabs>
                <w:tab w:val="left" w:pos="709"/>
                <w:tab w:val="center" w:pos="4680"/>
                <w:tab w:val="right" w:pos="9360"/>
              </w:tabs>
              <w:spacing w:after="0" w:line="240" w:lineRule="auto"/>
              <w:jc w:val="center"/>
              <w:rPr>
                <w:rFonts w:eastAsia="Calibri" w:cs="Arial"/>
              </w:rPr>
            </w:pPr>
            <w:r>
              <w:rPr>
                <w:rFonts w:eastAsia="Calibri" w:cs="Arial"/>
              </w:rPr>
              <w:drawing>
                <wp:anchor distT="0" distB="0" distL="114300" distR="114300" simplePos="0" relativeHeight="251672576" behindDoc="0" locked="0" layoutInCell="1" allowOverlap="1">
                  <wp:simplePos x="0" y="0"/>
                  <wp:positionH relativeFrom="column">
                    <wp:posOffset>-44450</wp:posOffset>
                  </wp:positionH>
                  <wp:positionV relativeFrom="paragraph">
                    <wp:posOffset>255270</wp:posOffset>
                  </wp:positionV>
                  <wp:extent cx="733425" cy="678180"/>
                  <wp:effectExtent l="0" t="0" r="0" b="8255"/>
                  <wp:wrapNone/>
                  <wp:docPr id="23" name="Picture 23" descr="C:\Users\Jude\AppData\Local\Microsoft\Windows\INetCache\Content.MSO\154ADA8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Users\Jude\AppData\Local\Microsoft\Windows\INetCache\Content.MSO\154ADA80.tmp"/>
                          <pic:cNvPicPr>
                            <a:picLocks noChangeAspect="1" noChangeArrowheads="1"/>
                          </pic:cNvPicPr>
                        </pic:nvPicPr>
                        <pic:blipFill>
                          <a:blip r:embed="rId55">
                            <a:extLst>
                              <a:ext uri="{28A0092B-C50C-407E-A947-70E740481C1C}">
                                <a14:useLocalDpi xmlns:a14="http://schemas.microsoft.com/office/drawing/2010/main" val="0"/>
                              </a:ext>
                            </a:extLst>
                          </a:blip>
                          <a:srcRect l="23333" r="21667" b="-1667"/>
                          <a:stretch>
                            <a:fillRect/>
                          </a:stretch>
                        </pic:blipFill>
                        <pic:spPr>
                          <a:xfrm>
                            <a:off x="0" y="0"/>
                            <a:ext cx="733425" cy="677863"/>
                          </a:xfrm>
                          <a:prstGeom prst="rect">
                            <a:avLst/>
                          </a:prstGeom>
                          <a:noFill/>
                          <a:ln>
                            <a:noFill/>
                          </a:ln>
                        </pic:spPr>
                      </pic:pic>
                    </a:graphicData>
                  </a:graphic>
                </wp:anchor>
              </w:drawing>
            </w:r>
          </w:p>
        </w:tc>
        <w:tc>
          <w:tcPr>
            <w:tcW w:w="2340" w:type="dxa"/>
          </w:tcPr>
          <w:p w14:paraId="1800D878">
            <w:pPr>
              <w:tabs>
                <w:tab w:val="left" w:pos="709"/>
                <w:tab w:val="center" w:pos="4680"/>
                <w:tab w:val="right" w:pos="9360"/>
              </w:tabs>
              <w:spacing w:after="0" w:line="240" w:lineRule="auto"/>
              <w:jc w:val="center"/>
              <w:rPr>
                <w:rFonts w:eastAsia="Calibri" w:cs="Arial"/>
                <w:lang w:val="en-GB"/>
              </w:rPr>
            </w:pPr>
            <w:r>
              <w:rPr>
                <w:rFonts w:eastAsia="Calibri" w:cs="Arial"/>
                <w:lang w:val="en-GB"/>
              </w:rPr>
              <w:t>East African</w:t>
            </w:r>
          </w:p>
          <w:p w14:paraId="737D2AE3">
            <w:pPr>
              <w:tabs>
                <w:tab w:val="left" w:pos="709"/>
                <w:tab w:val="center" w:pos="4680"/>
                <w:tab w:val="right" w:pos="9360"/>
              </w:tabs>
              <w:spacing w:after="0" w:line="240" w:lineRule="auto"/>
              <w:jc w:val="center"/>
              <w:rPr>
                <w:rFonts w:eastAsia="Calibri" w:cs="Arial"/>
                <w:lang w:val="en-GB"/>
              </w:rPr>
            </w:pPr>
            <w:r>
              <w:rPr>
                <w:rFonts w:eastAsia="Calibri" w:cs="Arial"/>
                <w:lang w:val="en-GB"/>
              </w:rPr>
              <w:t>Engineering</w:t>
            </w:r>
          </w:p>
          <w:p w14:paraId="23E3489E">
            <w:pPr>
              <w:tabs>
                <w:tab w:val="left" w:pos="709"/>
                <w:tab w:val="center" w:pos="4680"/>
                <w:tab w:val="right" w:pos="9360"/>
              </w:tabs>
              <w:spacing w:after="0" w:line="240" w:lineRule="auto"/>
              <w:jc w:val="center"/>
              <w:rPr>
                <w:rFonts w:eastAsia="Calibri" w:cs="Arial"/>
                <w:lang w:val="en-GB"/>
              </w:rPr>
            </w:pPr>
            <w:r>
              <w:rPr>
                <w:rFonts w:eastAsia="Calibri" w:cs="Arial"/>
                <w:lang w:val="en-GB"/>
              </w:rPr>
              <w:t>Consultants Ltd</w:t>
            </w:r>
          </w:p>
        </w:tc>
        <w:tc>
          <w:tcPr>
            <w:tcW w:w="3515" w:type="dxa"/>
            <w:vAlign w:val="center"/>
          </w:tcPr>
          <w:p w14:paraId="61659C81">
            <w:pPr>
              <w:tabs>
                <w:tab w:val="left" w:pos="709"/>
                <w:tab w:val="center" w:pos="4680"/>
                <w:tab w:val="right" w:pos="9360"/>
              </w:tabs>
              <w:spacing w:after="0" w:line="240" w:lineRule="auto"/>
              <w:jc w:val="center"/>
              <w:rPr>
                <w:rFonts w:eastAsia="Calibri" w:cs="Arial"/>
                <w:lang w:val="en-GB"/>
              </w:rPr>
            </w:pPr>
            <w:r>
              <w:rPr>
                <w:rFonts w:eastAsia="Calibri" w:cs="Arial"/>
                <w:lang w:val="en-GB"/>
              </w:rPr>
              <w:t>In Joint Venture With</w:t>
            </w:r>
          </w:p>
        </w:tc>
        <w:tc>
          <w:tcPr>
            <w:tcW w:w="2685" w:type="dxa"/>
          </w:tcPr>
          <w:p w14:paraId="1231E92B">
            <w:pPr>
              <w:tabs>
                <w:tab w:val="left" w:pos="709"/>
                <w:tab w:val="center" w:pos="4680"/>
                <w:tab w:val="right" w:pos="9360"/>
              </w:tabs>
              <w:spacing w:after="0" w:line="240" w:lineRule="auto"/>
              <w:ind w:left="437"/>
              <w:jc w:val="center"/>
              <w:rPr>
                <w:rFonts w:eastAsia="Calibri" w:cs="Arial"/>
                <w:lang w:val="en-GB"/>
              </w:rPr>
            </w:pPr>
            <w:r>
              <w:rPr>
                <w:rFonts w:eastAsia="Calibri" w:cs="Arial"/>
              </w:rPr>
              <w:drawing>
                <wp:inline distT="0" distB="0" distL="0" distR="0">
                  <wp:extent cx="1280160" cy="515620"/>
                  <wp:effectExtent l="0" t="0" r="0" b="0"/>
                  <wp:docPr id="24" name="Picture 24"/>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56">
                            <a:extLst>
                              <a:ext uri="{28A0092B-C50C-407E-A947-70E740481C1C}">
                                <a14:useLocalDpi xmlns:a14="http://schemas.microsoft.com/office/drawing/2010/main" val="0"/>
                              </a:ext>
                            </a:extLst>
                          </a:blip>
                          <a:srcRect/>
                          <a:stretch>
                            <a:fillRect/>
                          </a:stretch>
                        </pic:blipFill>
                        <pic:spPr>
                          <a:xfrm>
                            <a:off x="0" y="0"/>
                            <a:ext cx="1280160" cy="515620"/>
                          </a:xfrm>
                          <a:prstGeom prst="rect">
                            <a:avLst/>
                          </a:prstGeom>
                          <a:noFill/>
                        </pic:spPr>
                      </pic:pic>
                    </a:graphicData>
                  </a:graphic>
                </wp:inline>
              </w:drawing>
            </w:r>
          </w:p>
        </w:tc>
      </w:tr>
    </w:tbl>
    <w:p w14:paraId="6B2C2678">
      <w:pPr>
        <w:pStyle w:val="2"/>
      </w:pPr>
      <w:bookmarkStart w:id="0" w:name="_Toc406998070"/>
      <w:bookmarkStart w:id="1" w:name="_Toc382466317"/>
      <w:bookmarkStart w:id="2" w:name="_Toc381860315"/>
      <w:bookmarkStart w:id="3" w:name="_Toc511655203"/>
      <w:bookmarkStart w:id="4" w:name="_Toc239482945"/>
      <w:bookmarkStart w:id="5" w:name="_Ref173669007"/>
      <w:bookmarkStart w:id="6" w:name="_Toc515266003"/>
      <w:bookmarkStart w:id="7" w:name="_Toc120699547"/>
      <w:bookmarkStart w:id="8" w:name="_Toc115340835"/>
      <w:bookmarkStart w:id="9" w:name="_Toc75873752"/>
      <w:bookmarkStart w:id="10" w:name="_Toc170722930"/>
      <w:bookmarkStart w:id="11" w:name="_Toc164867957"/>
      <w:bookmarkStart w:id="12" w:name="_Ref173669368"/>
      <w:bookmarkStart w:id="13" w:name="_Ref173668962"/>
      <w:r>
        <w:tab/>
      </w:r>
      <w:bookmarkStart w:id="14" w:name="_Toc179904003"/>
      <w:r>
        <w:t>CITATION</w:t>
      </w:r>
      <w:bookmarkEnd w:id="0"/>
      <w:bookmarkEnd w:id="1"/>
      <w:bookmarkEnd w:id="2"/>
      <w:bookmarkEnd w:id="3"/>
      <w:bookmarkEnd w:id="14"/>
    </w:p>
    <w:p w14:paraId="17CCC17B">
      <w:pPr>
        <w:spacing w:line="240" w:lineRule="exact"/>
        <w:ind w:left="709" w:right="1289"/>
        <w:jc w:val="both"/>
        <w:rPr>
          <w:rFonts w:cs="Calibri"/>
          <w:b/>
          <w:bCs/>
          <w:sz w:val="24"/>
          <w:szCs w:val="24"/>
        </w:rPr>
      </w:pPr>
      <w:r>
        <w:rPr>
          <w:rFonts w:cs="Calibri"/>
          <w:b/>
          <w:bCs/>
          <w:sz w:val="24"/>
          <w:szCs w:val="24"/>
        </w:rPr>
        <w:t>This report should be cited as:</w:t>
      </w:r>
    </w:p>
    <w:p w14:paraId="45B937CB">
      <w:pPr>
        <w:ind w:left="709"/>
      </w:pPr>
      <w:r>
        <w:t>WAJIR FAECAL SLUDGE TREATMENT PLANT PROJECT (2024) Environmental and Social Impact Assessment (ESIA) Report, for Wajir Water and Services Company (WAJWASCO), Wajir County, Charles Lwanga Muyembe, Nairobi, Kenya.</w:t>
      </w:r>
    </w:p>
    <w:p w14:paraId="1333D9E3">
      <w:pPr>
        <w:ind w:left="709"/>
      </w:pPr>
    </w:p>
    <w:p w14:paraId="4EA01F9B">
      <w:pPr>
        <w:pStyle w:val="2"/>
        <w:sectPr>
          <w:headerReference r:id="rId5" w:type="default"/>
          <w:footerReference r:id="rId6" w:type="default"/>
          <w:pgSz w:w="11906" w:h="16838"/>
          <w:pgMar w:top="1440" w:right="1440" w:bottom="1440" w:left="1440" w:header="708" w:footer="708" w:gutter="0"/>
          <w:pgNumType w:fmt="lowerRoman" w:start="1"/>
          <w:cols w:space="708" w:num="1"/>
          <w:docGrid w:linePitch="360" w:charSpace="0"/>
        </w:sectPr>
      </w:pPr>
    </w:p>
    <w:p w14:paraId="3534D0DF">
      <w:pPr>
        <w:pStyle w:val="2"/>
      </w:pPr>
      <w:r>
        <w:tab/>
      </w:r>
      <w:bookmarkStart w:id="15" w:name="_Toc179904004"/>
      <w:r>
        <w:t>DECLARATIONS</w:t>
      </w:r>
      <w:bookmarkEnd w:id="4"/>
      <w:bookmarkEnd w:id="5"/>
      <w:bookmarkEnd w:id="6"/>
      <w:bookmarkEnd w:id="7"/>
      <w:bookmarkEnd w:id="8"/>
      <w:bookmarkEnd w:id="9"/>
      <w:bookmarkEnd w:id="10"/>
      <w:bookmarkEnd w:id="11"/>
      <w:bookmarkEnd w:id="12"/>
      <w:bookmarkEnd w:id="13"/>
      <w:bookmarkEnd w:id="15"/>
    </w:p>
    <w:p w14:paraId="463DD779">
      <w:pPr>
        <w:pStyle w:val="19"/>
        <w:tabs>
          <w:tab w:val="left" w:pos="709"/>
        </w:tabs>
        <w:ind w:left="709"/>
        <w:jc w:val="both"/>
        <w:rPr>
          <w:rFonts w:ascii="Arial Narrow" w:hAnsi="Arial Narrow"/>
          <w:sz w:val="22"/>
          <w:szCs w:val="22"/>
        </w:rPr>
      </w:pPr>
      <w:r>
        <w:rPr>
          <w:rFonts w:ascii="Arial Narrow" w:hAnsi="Arial Narrow"/>
          <w:sz w:val="22"/>
          <w:szCs w:val="22"/>
        </w:rPr>
        <w:t xml:space="preserve">I, </w:t>
      </w:r>
      <w:r>
        <w:rPr>
          <w:rFonts w:ascii="Arial Narrow" w:hAnsi="Arial Narrow"/>
          <w:sz w:val="22"/>
          <w:szCs w:val="22"/>
          <w:u w:val="single"/>
        </w:rPr>
        <w:tab/>
      </w:r>
      <w:r>
        <w:rPr>
          <w:rFonts w:ascii="Arial Narrow" w:hAnsi="Arial Narrow"/>
          <w:sz w:val="22"/>
          <w:szCs w:val="22"/>
          <w:u w:val="single"/>
        </w:rPr>
        <w:tab/>
      </w:r>
      <w:r>
        <w:rPr>
          <w:rFonts w:ascii="Arial Narrow" w:hAnsi="Arial Narrow"/>
          <w:sz w:val="22"/>
          <w:szCs w:val="22"/>
          <w:u w:val="single"/>
        </w:rPr>
        <w:tab/>
      </w:r>
      <w:r>
        <w:rPr>
          <w:rFonts w:ascii="Arial Narrow" w:hAnsi="Arial Narrow"/>
          <w:sz w:val="22"/>
          <w:szCs w:val="22"/>
          <w:u w:val="single"/>
        </w:rPr>
        <w:tab/>
      </w:r>
      <w:r>
        <w:rPr>
          <w:rFonts w:ascii="Arial Narrow" w:hAnsi="Arial Narrow"/>
          <w:sz w:val="22"/>
          <w:szCs w:val="22"/>
          <w:u w:val="single"/>
        </w:rPr>
        <w:tab/>
      </w:r>
      <w:r>
        <w:rPr>
          <w:rFonts w:ascii="Arial Narrow" w:hAnsi="Arial Narrow"/>
          <w:sz w:val="22"/>
          <w:szCs w:val="22"/>
          <w:u w:val="single"/>
        </w:rPr>
        <w:tab/>
      </w:r>
      <w:r>
        <w:rPr>
          <w:rFonts w:ascii="Arial Narrow" w:hAnsi="Arial Narrow"/>
          <w:sz w:val="22"/>
          <w:szCs w:val="22"/>
        </w:rPr>
        <w:t xml:space="preserve"> submit this Environmental and Social Impact Assessment Report for the proposed Wajir Faecal Sludge and Septage Treatment Plant Project. </w:t>
      </w:r>
    </w:p>
    <w:p w14:paraId="4D801C57">
      <w:pPr>
        <w:pStyle w:val="19"/>
        <w:tabs>
          <w:tab w:val="left" w:pos="709"/>
        </w:tabs>
        <w:ind w:left="709"/>
        <w:jc w:val="both"/>
        <w:rPr>
          <w:rFonts w:ascii="Arial Narrow" w:hAnsi="Arial Narrow"/>
          <w:sz w:val="22"/>
          <w:szCs w:val="22"/>
        </w:rPr>
      </w:pPr>
      <w:r>
        <w:rPr>
          <w:rFonts w:ascii="Arial Narrow" w:hAnsi="Arial Narrow"/>
          <w:sz w:val="22"/>
          <w:szCs w:val="22"/>
        </w:rPr>
        <w:t>Signed at ……………………. on this…...day of …...2024</w:t>
      </w:r>
    </w:p>
    <w:p w14:paraId="46CC1836">
      <w:pPr>
        <w:pStyle w:val="19"/>
        <w:tabs>
          <w:tab w:val="left" w:pos="709"/>
        </w:tabs>
        <w:ind w:left="709"/>
        <w:jc w:val="both"/>
        <w:rPr>
          <w:rFonts w:ascii="Arial Narrow" w:hAnsi="Arial Narrow"/>
          <w:sz w:val="22"/>
          <w:szCs w:val="22"/>
        </w:rPr>
      </w:pPr>
      <w:r>
        <w:rPr>
          <w:rFonts w:ascii="Arial Narrow" w:hAnsi="Arial Narrow"/>
          <w:sz w:val="22"/>
          <w:szCs w:val="22"/>
        </w:rPr>
        <w:t>Signature ……………………………………………………….……...</w:t>
      </w:r>
    </w:p>
    <w:p w14:paraId="1EC9AAF5">
      <w:pPr>
        <w:pStyle w:val="19"/>
        <w:tabs>
          <w:tab w:val="left" w:pos="709"/>
        </w:tabs>
        <w:ind w:left="709"/>
        <w:jc w:val="both"/>
        <w:rPr>
          <w:rFonts w:ascii="Arial Narrow" w:hAnsi="Arial Narrow"/>
          <w:sz w:val="22"/>
          <w:szCs w:val="22"/>
        </w:rPr>
      </w:pPr>
      <w:r>
        <w:rPr>
          <w:rFonts w:ascii="Arial Narrow" w:hAnsi="Arial Narrow"/>
          <w:sz w:val="22"/>
          <w:szCs w:val="22"/>
        </w:rPr>
        <w:t>Designation: ………………………………………………………….</w:t>
      </w:r>
    </w:p>
    <w:p w14:paraId="3911408D">
      <w:pPr>
        <w:pStyle w:val="19"/>
        <w:tabs>
          <w:tab w:val="left" w:pos="709"/>
        </w:tabs>
        <w:ind w:left="709"/>
        <w:jc w:val="both"/>
        <w:rPr>
          <w:rFonts w:ascii="Arial Narrow" w:hAnsi="Arial Narrow"/>
          <w:sz w:val="22"/>
          <w:szCs w:val="22"/>
        </w:rPr>
      </w:pPr>
      <w:r>
        <w:rPr>
          <w:rFonts w:ascii="Arial Narrow" w:hAnsi="Arial Narrow"/>
          <w:sz w:val="22"/>
          <w:szCs w:val="22"/>
        </w:rPr>
        <w:t xml:space="preserve">I, </w:t>
      </w:r>
      <w:r>
        <w:rPr>
          <w:rFonts w:ascii="Arial Narrow" w:hAnsi="Arial Narrow"/>
          <w:b/>
          <w:i/>
          <w:sz w:val="22"/>
          <w:szCs w:val="22"/>
        </w:rPr>
        <w:t>Charles Lwanga Muyembe</w:t>
      </w:r>
      <w:r>
        <w:rPr>
          <w:rFonts w:ascii="Arial Narrow" w:hAnsi="Arial Narrow"/>
          <w:sz w:val="22"/>
          <w:szCs w:val="22"/>
        </w:rPr>
        <w:t>, submit this Environmental and Social Impact Assessment Report for the Proposed Wajir Faecal Sludge and Septage Treatment Plant Project in accordance with the Environmental Management and Coordination Act, Cap 387 and the Environmental (Impact Assessment and Audit) Regulations, 2003.</w:t>
      </w:r>
    </w:p>
    <w:p w14:paraId="4BD68D99">
      <w:pPr>
        <w:pStyle w:val="19"/>
        <w:tabs>
          <w:tab w:val="left" w:pos="709"/>
        </w:tabs>
        <w:ind w:left="709"/>
        <w:jc w:val="both"/>
        <w:rPr>
          <w:rFonts w:ascii="Arial Narrow" w:hAnsi="Arial Narrow"/>
          <w:bCs/>
          <w:i/>
          <w:iCs/>
          <w:sz w:val="22"/>
          <w:szCs w:val="22"/>
        </w:rPr>
      </w:pPr>
      <w:r>
        <w:rPr>
          <w:rFonts w:ascii="Arial Narrow" w:hAnsi="Arial Narrow"/>
          <w:bCs/>
          <w:iCs/>
          <w:sz w:val="22"/>
          <w:szCs w:val="22"/>
        </w:rPr>
        <w:t>Signed at</w:t>
      </w:r>
      <w:r>
        <w:rPr>
          <w:rFonts w:ascii="Arial Narrow" w:hAnsi="Arial Narrow"/>
          <w:bCs/>
          <w:iCs/>
          <w:sz w:val="22"/>
          <w:szCs w:val="22"/>
        </w:rPr>
        <w:tab/>
      </w:r>
      <w:r>
        <w:rPr>
          <w:rFonts w:ascii="Arial Narrow" w:hAnsi="Arial Narrow"/>
          <w:b/>
          <w:bCs/>
          <w:i/>
          <w:iCs/>
          <w:sz w:val="22"/>
          <w:szCs w:val="22"/>
        </w:rPr>
        <w:t>Nairobi</w:t>
      </w:r>
      <w:r>
        <w:rPr>
          <w:rFonts w:ascii="Arial Narrow" w:hAnsi="Arial Narrow"/>
          <w:bCs/>
          <w:i/>
          <w:iCs/>
          <w:sz w:val="22"/>
          <w:szCs w:val="22"/>
        </w:rPr>
        <w:t>...</w:t>
      </w:r>
      <w:r>
        <w:rPr>
          <w:rFonts w:ascii="Arial Narrow" w:hAnsi="Arial Narrow"/>
          <w:bCs/>
          <w:iCs/>
          <w:sz w:val="22"/>
          <w:szCs w:val="22"/>
        </w:rPr>
        <w:t>on this</w:t>
      </w:r>
      <w:r>
        <w:rPr>
          <w:rFonts w:ascii="Arial Narrow" w:hAnsi="Arial Narrow"/>
          <w:bCs/>
          <w:i/>
          <w:iCs/>
          <w:sz w:val="22"/>
          <w:szCs w:val="22"/>
        </w:rPr>
        <w:t xml:space="preserve"> …</w:t>
      </w:r>
      <w:r>
        <w:rPr>
          <w:rFonts w:ascii="Arial Narrow" w:hAnsi="Arial Narrow"/>
          <w:bCs/>
          <w:iCs/>
          <w:sz w:val="22"/>
          <w:szCs w:val="22"/>
        </w:rPr>
        <w:t xml:space="preserve"> Day of</w:t>
      </w:r>
      <w:r>
        <w:rPr>
          <w:rFonts w:ascii="Arial Narrow" w:hAnsi="Arial Narrow"/>
          <w:bCs/>
          <w:i/>
          <w:iCs/>
          <w:sz w:val="22"/>
          <w:szCs w:val="22"/>
        </w:rPr>
        <w:t xml:space="preserve"> </w:t>
      </w:r>
      <w:r>
        <w:rPr>
          <w:rFonts w:ascii="Arial Narrow" w:hAnsi="Arial Narrow"/>
          <w:bCs/>
          <w:iCs/>
          <w:sz w:val="22"/>
          <w:szCs w:val="22"/>
        </w:rPr>
        <w:t>…2024</w:t>
      </w:r>
    </w:p>
    <w:p w14:paraId="0102FC74">
      <w:pPr>
        <w:pStyle w:val="19"/>
        <w:tabs>
          <w:tab w:val="left" w:pos="709"/>
        </w:tabs>
        <w:ind w:left="709"/>
        <w:jc w:val="both"/>
        <w:rPr>
          <w:rFonts w:ascii="Arial Narrow" w:hAnsi="Arial Narrow"/>
          <w:bCs/>
          <w:i/>
          <w:iCs/>
          <w:sz w:val="22"/>
          <w:szCs w:val="22"/>
          <w:u w:val="single"/>
        </w:rPr>
      </w:pPr>
      <w:r>
        <w:rPr>
          <w:rFonts w:ascii="Arial Narrow" w:hAnsi="Arial Narrow"/>
          <w:bCs/>
          <w:iCs/>
          <w:sz w:val="22"/>
          <w:szCs w:val="22"/>
        </w:rPr>
        <w:t>Signature</w:t>
      </w:r>
      <w:r>
        <w:rPr>
          <w:rFonts w:ascii="Arial Narrow" w:hAnsi="Arial Narrow"/>
          <w:b/>
          <w:bCs/>
          <w:iCs/>
          <w:sz w:val="22"/>
          <w:szCs w:val="22"/>
        </w:rPr>
        <w:tab/>
      </w:r>
      <w:r>
        <w:rPr>
          <w:rFonts w:ascii="Arial Narrow" w:hAnsi="Arial Narrow"/>
          <w:bCs/>
          <w:iCs/>
          <w:sz w:val="22"/>
          <w:szCs w:val="22"/>
        </w:rPr>
        <w:t>…………………………………………………</w:t>
      </w:r>
    </w:p>
    <w:p w14:paraId="6A9BA7C2">
      <w:pPr>
        <w:tabs>
          <w:tab w:val="left" w:pos="709"/>
        </w:tabs>
        <w:spacing w:line="240" w:lineRule="auto"/>
        <w:ind w:left="709"/>
        <w:jc w:val="both"/>
      </w:pPr>
      <w:r>
        <w:t>Designation:</w:t>
      </w:r>
      <w:r>
        <w:tab/>
      </w:r>
      <w:r>
        <w:t>EIA/AUDIT LEAD EXPERT REG. NO.1283</w:t>
      </w:r>
    </w:p>
    <w:p w14:paraId="0DD6EA4B">
      <w:pPr>
        <w:tabs>
          <w:tab w:val="left" w:pos="709"/>
        </w:tabs>
        <w:spacing w:line="240" w:lineRule="auto"/>
        <w:ind w:left="709"/>
        <w:jc w:val="both"/>
      </w:pPr>
    </w:p>
    <w:p w14:paraId="2C91A759">
      <w:pPr>
        <w:tabs>
          <w:tab w:val="left" w:pos="709"/>
        </w:tabs>
        <w:spacing w:line="240" w:lineRule="auto"/>
        <w:ind w:left="709"/>
        <w:jc w:val="both"/>
        <w:sectPr>
          <w:headerReference r:id="rId7" w:type="default"/>
          <w:footerReference r:id="rId8" w:type="default"/>
          <w:pgSz w:w="11906" w:h="16838"/>
          <w:pgMar w:top="1440" w:right="1440" w:bottom="1440" w:left="1440" w:header="708" w:footer="708" w:gutter="0"/>
          <w:pgNumType w:fmt="lowerRoman"/>
          <w:cols w:space="708" w:num="1"/>
          <w:docGrid w:linePitch="360" w:charSpace="0"/>
        </w:sectPr>
      </w:pPr>
    </w:p>
    <w:p w14:paraId="707FB177">
      <w:pPr>
        <w:tabs>
          <w:tab w:val="left" w:pos="709"/>
        </w:tabs>
        <w:jc w:val="both"/>
      </w:pPr>
    </w:p>
    <w:sdt>
      <w:sdtPr>
        <w:rPr>
          <w:rFonts w:eastAsiaTheme="minorHAnsi" w:cstheme="minorBidi"/>
          <w:b w:val="0"/>
          <w:sz w:val="22"/>
          <w:szCs w:val="22"/>
        </w:rPr>
        <w:id w:val="100529116"/>
        <w:docPartObj>
          <w:docPartGallery w:val="Table of Contents"/>
          <w:docPartUnique/>
        </w:docPartObj>
      </w:sdtPr>
      <w:sdtEndPr>
        <w:rPr>
          <w:rFonts w:eastAsiaTheme="minorHAnsi" w:cstheme="minorBidi"/>
          <w:b w:val="0"/>
          <w:bCs/>
          <w:sz w:val="22"/>
          <w:szCs w:val="22"/>
        </w:rPr>
      </w:sdtEndPr>
      <w:sdtContent>
        <w:p w14:paraId="6DC80E6D">
          <w:pPr>
            <w:pStyle w:val="2"/>
          </w:pPr>
          <w:bookmarkStart w:id="16" w:name="_Toc179904005"/>
          <w:r>
            <w:t>TABLE OF CONTENTS</w:t>
          </w:r>
          <w:bookmarkEnd w:id="16"/>
        </w:p>
        <w:p w14:paraId="239D7D8A">
          <w:pPr>
            <w:pStyle w:val="92"/>
            <w:tabs>
              <w:tab w:val="right" w:leader="dot" w:pos="9016"/>
            </w:tabs>
            <w:rPr>
              <w:rFonts w:asciiTheme="minorHAnsi" w:hAnsiTheme="minorHAnsi" w:eastAsiaTheme="minorEastAsia" w:cstheme="minorBidi"/>
              <w:b w:val="0"/>
              <w:bCs w:val="0"/>
              <w:sz w:val="22"/>
              <w:szCs w:val="22"/>
            </w:rPr>
          </w:pPr>
          <w:r>
            <w:rPr>
              <w:rFonts w:ascii="Arial Narrow" w:hAnsi="Arial Narrow"/>
              <w:sz w:val="22"/>
              <w:szCs w:val="22"/>
            </w:rPr>
            <w:fldChar w:fldCharType="begin"/>
          </w:r>
          <w:r>
            <w:rPr>
              <w:rFonts w:ascii="Arial Narrow" w:hAnsi="Arial Narrow"/>
              <w:sz w:val="22"/>
              <w:szCs w:val="22"/>
            </w:rPr>
            <w:instrText xml:space="preserve"> TOC \o "1-3" \h \z \u </w:instrText>
          </w:r>
          <w:r>
            <w:rPr>
              <w:rFonts w:ascii="Arial Narrow" w:hAnsi="Arial Narrow"/>
              <w:sz w:val="22"/>
              <w:szCs w:val="22"/>
            </w:rPr>
            <w:fldChar w:fldCharType="separate"/>
          </w:r>
          <w:r>
            <w:fldChar w:fldCharType="begin"/>
          </w:r>
          <w:r>
            <w:instrText xml:space="preserve"> HYPERLINK \l "_Toc179904003" </w:instrText>
          </w:r>
          <w:r>
            <w:fldChar w:fldCharType="separate"/>
          </w:r>
          <w:r>
            <w:rPr>
              <w:rStyle w:val="44"/>
            </w:rPr>
            <w:t>CITATION</w:t>
          </w:r>
          <w:r>
            <w:tab/>
          </w:r>
          <w:r>
            <w:fldChar w:fldCharType="begin"/>
          </w:r>
          <w:r>
            <w:instrText xml:space="preserve"> PAGEREF _Toc179904003 \h </w:instrText>
          </w:r>
          <w:r>
            <w:fldChar w:fldCharType="separate"/>
          </w:r>
          <w:r>
            <w:t>ii</w:t>
          </w:r>
          <w:r>
            <w:fldChar w:fldCharType="end"/>
          </w:r>
          <w:r>
            <w:fldChar w:fldCharType="end"/>
          </w:r>
        </w:p>
        <w:p w14:paraId="6BE5E20F">
          <w:pPr>
            <w:pStyle w:val="92"/>
            <w:tabs>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"_Toc179904004" </w:instrText>
          </w:r>
          <w:r>
            <w:fldChar w:fldCharType="separate"/>
          </w:r>
          <w:r>
            <w:rPr>
              <w:rStyle w:val="44"/>
            </w:rPr>
            <w:t>DECLARATIONS</w:t>
          </w:r>
          <w:r>
            <w:tab/>
          </w:r>
          <w:r>
            <w:fldChar w:fldCharType="begin"/>
          </w:r>
          <w:r>
            <w:instrText xml:space="preserve"> PAGEREF _Toc179904004 \h </w:instrText>
          </w:r>
          <w:r>
            <w:fldChar w:fldCharType="separate"/>
          </w:r>
          <w:r>
            <w:t>iii</w:t>
          </w:r>
          <w:r>
            <w:fldChar w:fldCharType="end"/>
          </w:r>
          <w:r>
            <w:fldChar w:fldCharType="end"/>
          </w:r>
        </w:p>
        <w:p w14:paraId="6D1E4BDD">
          <w:pPr>
            <w:pStyle w:val="92"/>
            <w:tabs>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"_Toc179904005" </w:instrText>
          </w:r>
          <w:r>
            <w:fldChar w:fldCharType="separate"/>
          </w:r>
          <w:r>
            <w:rPr>
              <w:rStyle w:val="44"/>
            </w:rPr>
            <w:t>TABLE OF CONTENTS</w:t>
          </w:r>
          <w:r>
            <w:tab/>
          </w:r>
          <w:r>
            <w:fldChar w:fldCharType="begin"/>
          </w:r>
          <w:r>
            <w:instrText xml:space="preserve"> PAGEREF _Toc179904005 \h </w:instrText>
          </w:r>
          <w:r>
            <w:fldChar w:fldCharType="separate"/>
          </w:r>
          <w:r>
            <w:t>iv</w:t>
          </w:r>
          <w:r>
            <w:fldChar w:fldCharType="end"/>
          </w:r>
          <w:r>
            <w:fldChar w:fldCharType="end"/>
          </w:r>
        </w:p>
        <w:p w14:paraId="3E514536">
          <w:pPr>
            <w:pStyle w:val="92"/>
            <w:tabs>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"_Toc179904006" </w:instrText>
          </w:r>
          <w:r>
            <w:fldChar w:fldCharType="separate"/>
          </w:r>
          <w:r>
            <w:rPr>
              <w:rStyle w:val="44"/>
            </w:rPr>
            <w:t>LIST OF APPENDICIES</w:t>
          </w:r>
          <w:r>
            <w:tab/>
          </w:r>
          <w:r>
            <w:fldChar w:fldCharType="begin"/>
          </w:r>
          <w:r>
            <w:instrText xml:space="preserve"> PAGEREF _Toc179904006 \h </w:instrText>
          </w:r>
          <w:r>
            <w:fldChar w:fldCharType="separate"/>
          </w:r>
          <w:r>
            <w:t>ix</w:t>
          </w:r>
          <w:r>
            <w:fldChar w:fldCharType="end"/>
          </w:r>
          <w:r>
            <w:fldChar w:fldCharType="end"/>
          </w:r>
        </w:p>
        <w:p w14:paraId="4ED9000F">
          <w:pPr>
            <w:pStyle w:val="92"/>
            <w:tabs>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"_Toc179904007" </w:instrText>
          </w:r>
          <w:r>
            <w:fldChar w:fldCharType="separate"/>
          </w:r>
          <w:r>
            <w:rPr>
              <w:rStyle w:val="44"/>
            </w:rPr>
            <w:t>LIST OF FIGURES</w:t>
          </w:r>
          <w:r>
            <w:tab/>
          </w:r>
          <w:r>
            <w:fldChar w:fldCharType="begin"/>
          </w:r>
          <w:r>
            <w:instrText xml:space="preserve"> PAGEREF _Toc179904007 \h </w:instrText>
          </w:r>
          <w:r>
            <w:fldChar w:fldCharType="separate"/>
          </w:r>
          <w:r>
            <w:t>ix</w:t>
          </w:r>
          <w:r>
            <w:fldChar w:fldCharType="end"/>
          </w:r>
          <w:r>
            <w:fldChar w:fldCharType="end"/>
          </w:r>
        </w:p>
        <w:p w14:paraId="75E41850">
          <w:pPr>
            <w:pStyle w:val="92"/>
            <w:tabs>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"_Toc179904008" </w:instrText>
          </w:r>
          <w:r>
            <w:fldChar w:fldCharType="separate"/>
          </w:r>
          <w:r>
            <w:rPr>
              <w:rStyle w:val="44"/>
            </w:rPr>
            <w:t>LIST OF TABLES</w:t>
          </w:r>
          <w:r>
            <w:tab/>
          </w:r>
          <w:r>
            <w:fldChar w:fldCharType="begin"/>
          </w:r>
          <w:r>
            <w:instrText xml:space="preserve"> PAGEREF _Toc179904008 \h </w:instrText>
          </w:r>
          <w:r>
            <w:fldChar w:fldCharType="separate"/>
          </w:r>
          <w:r>
            <w:t>x</w:t>
          </w:r>
          <w:r>
            <w:fldChar w:fldCharType="end"/>
          </w:r>
          <w:r>
            <w:fldChar w:fldCharType="end"/>
          </w:r>
        </w:p>
        <w:p w14:paraId="4A859F3C">
          <w:pPr>
            <w:pStyle w:val="92"/>
            <w:tabs>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"_Toc179904009" </w:instrText>
          </w:r>
          <w:r>
            <w:fldChar w:fldCharType="separate"/>
          </w:r>
          <w:r>
            <w:rPr>
              <w:rStyle w:val="44"/>
            </w:rPr>
            <w:t>LIST OF ACRONYMS</w:t>
          </w:r>
          <w:r>
            <w:tab/>
          </w:r>
          <w:r>
            <w:fldChar w:fldCharType="begin"/>
          </w:r>
          <w:r>
            <w:instrText xml:space="preserve"> PAGEREF _Toc179904009 \h </w:instrText>
          </w:r>
          <w:r>
            <w:fldChar w:fldCharType="separate"/>
          </w:r>
          <w:r>
            <w:t>xii</w:t>
          </w:r>
          <w:r>
            <w:fldChar w:fldCharType="end"/>
          </w:r>
          <w:r>
            <w:fldChar w:fldCharType="end"/>
          </w:r>
        </w:p>
        <w:p w14:paraId="033AA97A">
          <w:pPr>
            <w:pStyle w:val="92"/>
            <w:tabs>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"_Toc179904010" </w:instrText>
          </w:r>
          <w:r>
            <w:fldChar w:fldCharType="separate"/>
          </w:r>
          <w:r>
            <w:rPr>
              <w:rStyle w:val="44"/>
            </w:rPr>
            <w:t>EXECUTIVE SUMMARY</w:t>
          </w:r>
          <w:r>
            <w:tab/>
          </w:r>
          <w:r>
            <w:fldChar w:fldCharType="begin"/>
          </w:r>
          <w:r>
            <w:instrText xml:space="preserve"> PAGEREF _Toc179904010 \h </w:instrText>
          </w:r>
          <w:r>
            <w:fldChar w:fldCharType="separate"/>
          </w:r>
          <w:r>
            <w:t>xiv</w:t>
          </w:r>
          <w:r>
            <w:fldChar w:fldCharType="end"/>
          </w:r>
          <w:r>
            <w:fldChar w:fldCharType="end"/>
          </w:r>
        </w:p>
        <w:p w14:paraId="7C845747">
          <w:pPr>
            <w:pStyle w:val="93"/>
            <w:tabs>
              <w:tab w:val="left" w:pos="2141"/>
              <w:tab w:val="right" w:leader="dot" w:pos="9016"/>
            </w:tabs>
            <w:rPr>
              <w:rFonts w:asciiTheme="minorHAnsi" w:hAnsiTheme="minorHAnsi" w:eastAsiaTheme="minorEastAsia" w:cstheme="minorBidi"/>
              <w:sz w:val="22"/>
              <w:szCs w:val="22"/>
            </w:rPr>
          </w:pPr>
          <w:r>
            <w:fldChar w:fldCharType="begin"/>
          </w:r>
          <w:r>
            <w:instrText xml:space="preserve"> HYPERLINK \l "_Toc179904011" </w:instrText>
          </w:r>
          <w:r>
            <w:fldChar w:fldCharType="separate"/>
          </w:r>
          <w:r>
            <w:rPr>
              <w:rStyle w:val="44"/>
            </w:rPr>
            <w:t xml:space="preserve">ES 1: </w:t>
          </w:r>
          <w:r>
            <w:rPr>
              <w:rFonts w:asciiTheme="minorHAnsi" w:hAnsiTheme="minorHAnsi" w:eastAsiaTheme="minorEastAsia" w:cstheme="minorBidi"/>
              <w:sz w:val="22"/>
              <w:szCs w:val="22"/>
            </w:rPr>
            <w:tab/>
          </w:r>
          <w:r>
            <w:rPr>
              <w:rStyle w:val="44"/>
            </w:rPr>
            <w:t>Back Ground Information</w:t>
          </w:r>
          <w:r>
            <w:tab/>
          </w:r>
          <w:r>
            <w:fldChar w:fldCharType="begin"/>
          </w:r>
          <w:r>
            <w:instrText xml:space="preserve"> PAGEREF _Toc179904011 \h </w:instrText>
          </w:r>
          <w:r>
            <w:fldChar w:fldCharType="separate"/>
          </w:r>
          <w:r>
            <w:t>xiv</w:t>
          </w:r>
          <w:r>
            <w:fldChar w:fldCharType="end"/>
          </w:r>
          <w:r>
            <w:fldChar w:fldCharType="end"/>
          </w:r>
        </w:p>
        <w:p w14:paraId="7C153434">
          <w:pPr>
            <w:pStyle w:val="93"/>
            <w:tabs>
              <w:tab w:val="left" w:pos="2141"/>
              <w:tab w:val="right" w:leader="dot" w:pos="9016"/>
            </w:tabs>
            <w:rPr>
              <w:rFonts w:asciiTheme="minorHAnsi" w:hAnsiTheme="minorHAnsi" w:eastAsiaTheme="minorEastAsia" w:cstheme="minorBidi"/>
              <w:sz w:val="22"/>
              <w:szCs w:val="22"/>
            </w:rPr>
          </w:pPr>
          <w:r>
            <w:fldChar w:fldCharType="begin"/>
          </w:r>
          <w:r>
            <w:instrText xml:space="preserve"> HYPERLINK \l "_Toc179904012" </w:instrText>
          </w:r>
          <w:r>
            <w:fldChar w:fldCharType="separate"/>
          </w:r>
          <w:r>
            <w:rPr>
              <w:rStyle w:val="44"/>
            </w:rPr>
            <w:t xml:space="preserve">ES 2: </w:t>
          </w:r>
          <w:r>
            <w:rPr>
              <w:rFonts w:asciiTheme="minorHAnsi" w:hAnsiTheme="minorHAnsi" w:eastAsiaTheme="minorEastAsia" w:cstheme="minorBidi"/>
              <w:sz w:val="22"/>
              <w:szCs w:val="22"/>
            </w:rPr>
            <w:tab/>
          </w:r>
          <w:r>
            <w:rPr>
              <w:rStyle w:val="44"/>
            </w:rPr>
            <w:t>Project</w:t>
          </w:r>
          <w:r>
            <w:rPr>
              <w:rStyle w:val="44"/>
              <w:spacing w:val="-5"/>
            </w:rPr>
            <w:t xml:space="preserve"> </w:t>
          </w:r>
          <w:r>
            <w:rPr>
              <w:rStyle w:val="44"/>
            </w:rPr>
            <w:t>Location</w:t>
          </w:r>
          <w:r>
            <w:tab/>
          </w:r>
          <w:r>
            <w:fldChar w:fldCharType="begin"/>
          </w:r>
          <w:r>
            <w:instrText xml:space="preserve"> PAGEREF _Toc179904012 \h </w:instrText>
          </w:r>
          <w:r>
            <w:fldChar w:fldCharType="separate"/>
          </w:r>
          <w:r>
            <w:t>xiv</w:t>
          </w:r>
          <w:r>
            <w:fldChar w:fldCharType="end"/>
          </w:r>
          <w:r>
            <w:fldChar w:fldCharType="end"/>
          </w:r>
        </w:p>
        <w:p w14:paraId="5480B7EF">
          <w:pPr>
            <w:pStyle w:val="93"/>
            <w:tabs>
              <w:tab w:val="left" w:pos="2141"/>
              <w:tab w:val="right" w:leader="dot" w:pos="9016"/>
            </w:tabs>
            <w:rPr>
              <w:rFonts w:asciiTheme="minorHAnsi" w:hAnsiTheme="minorHAnsi" w:eastAsiaTheme="minorEastAsia" w:cstheme="minorBidi"/>
              <w:sz w:val="22"/>
              <w:szCs w:val="22"/>
            </w:rPr>
          </w:pPr>
          <w:r>
            <w:fldChar w:fldCharType="begin"/>
          </w:r>
          <w:r>
            <w:instrText xml:space="preserve"> HYPERLINK \l "_Toc179904013" </w:instrText>
          </w:r>
          <w:r>
            <w:fldChar w:fldCharType="separate"/>
          </w:r>
          <w:r>
            <w:rPr>
              <w:rStyle w:val="44"/>
            </w:rPr>
            <w:t xml:space="preserve">ES 3: </w:t>
          </w:r>
          <w:r>
            <w:rPr>
              <w:rFonts w:asciiTheme="minorHAnsi" w:hAnsiTheme="minorHAnsi" w:eastAsiaTheme="minorEastAsia" w:cstheme="minorBidi"/>
              <w:sz w:val="22"/>
              <w:szCs w:val="22"/>
            </w:rPr>
            <w:tab/>
          </w:r>
          <w:r>
            <w:rPr>
              <w:rStyle w:val="44"/>
            </w:rPr>
            <w:t>Proposed Scope of Works</w:t>
          </w:r>
          <w:r>
            <w:tab/>
          </w:r>
          <w:r>
            <w:fldChar w:fldCharType="begin"/>
          </w:r>
          <w:r>
            <w:instrText xml:space="preserve"> PAGEREF _Toc179904013 \h </w:instrText>
          </w:r>
          <w:r>
            <w:fldChar w:fldCharType="separate"/>
          </w:r>
          <w:r>
            <w:t>xiv</w:t>
          </w:r>
          <w:r>
            <w:fldChar w:fldCharType="end"/>
          </w:r>
          <w:r>
            <w:fldChar w:fldCharType="end"/>
          </w:r>
        </w:p>
        <w:p w14:paraId="691D2E34">
          <w:pPr>
            <w:pStyle w:val="93"/>
            <w:tabs>
              <w:tab w:val="left" w:pos="2141"/>
              <w:tab w:val="right" w:leader="dot" w:pos="9016"/>
            </w:tabs>
            <w:rPr>
              <w:rFonts w:asciiTheme="minorHAnsi" w:hAnsiTheme="minorHAnsi" w:eastAsiaTheme="minorEastAsia" w:cstheme="minorBidi"/>
              <w:sz w:val="22"/>
              <w:szCs w:val="22"/>
            </w:rPr>
          </w:pPr>
          <w:r>
            <w:fldChar w:fldCharType="begin"/>
          </w:r>
          <w:r>
            <w:instrText xml:space="preserve"> HYPERLINK \l "_Toc179904014" </w:instrText>
          </w:r>
          <w:r>
            <w:fldChar w:fldCharType="separate"/>
          </w:r>
          <w:r>
            <w:rPr>
              <w:rStyle w:val="44"/>
            </w:rPr>
            <w:t xml:space="preserve">ES 6: </w:t>
          </w:r>
          <w:r>
            <w:rPr>
              <w:rFonts w:asciiTheme="minorHAnsi" w:hAnsiTheme="minorHAnsi" w:eastAsiaTheme="minorEastAsia" w:cstheme="minorBidi"/>
              <w:sz w:val="22"/>
              <w:szCs w:val="22"/>
            </w:rPr>
            <w:tab/>
          </w:r>
          <w:r>
            <w:rPr>
              <w:rStyle w:val="44"/>
            </w:rPr>
            <w:t>Project Alternatives</w:t>
          </w:r>
          <w:r>
            <w:tab/>
          </w:r>
          <w:r>
            <w:fldChar w:fldCharType="begin"/>
          </w:r>
          <w:r>
            <w:instrText xml:space="preserve"> PAGEREF _Toc179904014 \h </w:instrText>
          </w:r>
          <w:r>
            <w:fldChar w:fldCharType="separate"/>
          </w:r>
          <w:r>
            <w:t>xv</w:t>
          </w:r>
          <w:r>
            <w:fldChar w:fldCharType="end"/>
          </w:r>
          <w:r>
            <w:fldChar w:fldCharType="end"/>
          </w:r>
        </w:p>
        <w:p w14:paraId="1F826DB0">
          <w:pPr>
            <w:pStyle w:val="93"/>
            <w:tabs>
              <w:tab w:val="left" w:pos="2141"/>
              <w:tab w:val="right" w:leader="dot" w:pos="9016"/>
            </w:tabs>
            <w:rPr>
              <w:rFonts w:asciiTheme="minorHAnsi" w:hAnsiTheme="minorHAnsi" w:eastAsiaTheme="minorEastAsia" w:cstheme="minorBidi"/>
              <w:sz w:val="22"/>
              <w:szCs w:val="22"/>
            </w:rPr>
          </w:pPr>
          <w:r>
            <w:fldChar w:fldCharType="begin"/>
          </w:r>
          <w:r>
            <w:instrText xml:space="preserve"> HYPERLINK \l "_Toc179904015" </w:instrText>
          </w:r>
          <w:r>
            <w:fldChar w:fldCharType="separate"/>
          </w:r>
          <w:r>
            <w:rPr>
              <w:rStyle w:val="44"/>
            </w:rPr>
            <w:t xml:space="preserve">ES 7: </w:t>
          </w:r>
          <w:r>
            <w:rPr>
              <w:rFonts w:asciiTheme="minorHAnsi" w:hAnsiTheme="minorHAnsi" w:eastAsiaTheme="minorEastAsia" w:cstheme="minorBidi"/>
              <w:sz w:val="22"/>
              <w:szCs w:val="22"/>
            </w:rPr>
            <w:tab/>
          </w:r>
          <w:r>
            <w:rPr>
              <w:rStyle w:val="44"/>
            </w:rPr>
            <w:t>Socio-Economic and Environmental Baseline Information</w:t>
          </w:r>
          <w:r>
            <w:tab/>
          </w:r>
          <w:r>
            <w:fldChar w:fldCharType="begin"/>
          </w:r>
          <w:r>
            <w:instrText xml:space="preserve"> PAGEREF _Toc179904015 \h </w:instrText>
          </w:r>
          <w:r>
            <w:fldChar w:fldCharType="separate"/>
          </w:r>
          <w:r>
            <w:t>xvi</w:t>
          </w:r>
          <w:r>
            <w:fldChar w:fldCharType="end"/>
          </w:r>
          <w:r>
            <w:fldChar w:fldCharType="end"/>
          </w:r>
        </w:p>
        <w:p w14:paraId="69B6C8E2">
          <w:pPr>
            <w:pStyle w:val="93"/>
            <w:tabs>
              <w:tab w:val="left" w:pos="2141"/>
              <w:tab w:val="right" w:leader="dot" w:pos="9016"/>
            </w:tabs>
            <w:rPr>
              <w:rFonts w:asciiTheme="minorHAnsi" w:hAnsiTheme="minorHAnsi" w:eastAsiaTheme="minorEastAsia" w:cstheme="minorBidi"/>
              <w:sz w:val="22"/>
              <w:szCs w:val="22"/>
            </w:rPr>
          </w:pPr>
          <w:r>
            <w:fldChar w:fldCharType="begin"/>
          </w:r>
          <w:r>
            <w:instrText xml:space="preserve"> HYPERLINK \l "_Toc179904016" </w:instrText>
          </w:r>
          <w:r>
            <w:fldChar w:fldCharType="separate"/>
          </w:r>
          <w:r>
            <w:rPr>
              <w:rStyle w:val="44"/>
            </w:rPr>
            <w:t xml:space="preserve">ES 8: </w:t>
          </w:r>
          <w:r>
            <w:rPr>
              <w:rFonts w:asciiTheme="minorHAnsi" w:hAnsiTheme="minorHAnsi" w:eastAsiaTheme="minorEastAsia" w:cstheme="minorBidi"/>
              <w:sz w:val="22"/>
              <w:szCs w:val="22"/>
            </w:rPr>
            <w:tab/>
          </w:r>
          <w:r>
            <w:rPr>
              <w:rStyle w:val="44"/>
            </w:rPr>
            <w:t>Policies, Legal and Institutional Frameworks</w:t>
          </w:r>
          <w:r>
            <w:tab/>
          </w:r>
          <w:r>
            <w:fldChar w:fldCharType="begin"/>
          </w:r>
          <w:r>
            <w:instrText xml:space="preserve"> PAGEREF _Toc179904016 \h </w:instrText>
          </w:r>
          <w:r>
            <w:fldChar w:fldCharType="separate"/>
          </w:r>
          <w:r>
            <w:t>xvii</w:t>
          </w:r>
          <w:r>
            <w:fldChar w:fldCharType="end"/>
          </w:r>
          <w:r>
            <w:fldChar w:fldCharType="end"/>
          </w:r>
        </w:p>
        <w:p w14:paraId="24457F0A">
          <w:pPr>
            <w:pStyle w:val="93"/>
            <w:tabs>
              <w:tab w:val="left" w:pos="2141"/>
              <w:tab w:val="right" w:leader="dot" w:pos="9016"/>
            </w:tabs>
            <w:rPr>
              <w:rFonts w:asciiTheme="minorHAnsi" w:hAnsiTheme="minorHAnsi" w:eastAsiaTheme="minorEastAsia" w:cstheme="minorBidi"/>
              <w:sz w:val="22"/>
              <w:szCs w:val="22"/>
            </w:rPr>
          </w:pPr>
          <w:r>
            <w:fldChar w:fldCharType="begin"/>
          </w:r>
          <w:r>
            <w:instrText xml:space="preserve"> HYPERLINK \l "_Toc179904017" </w:instrText>
          </w:r>
          <w:r>
            <w:fldChar w:fldCharType="separate"/>
          </w:r>
          <w:r>
            <w:rPr>
              <w:rStyle w:val="44"/>
            </w:rPr>
            <w:t xml:space="preserve">ES 9: </w:t>
          </w:r>
          <w:r>
            <w:rPr>
              <w:rFonts w:asciiTheme="minorHAnsi" w:hAnsiTheme="minorHAnsi" w:eastAsiaTheme="minorEastAsia" w:cstheme="minorBidi"/>
              <w:sz w:val="22"/>
              <w:szCs w:val="22"/>
            </w:rPr>
            <w:tab/>
          </w:r>
          <w:r>
            <w:rPr>
              <w:rStyle w:val="44"/>
            </w:rPr>
            <w:t>Public Participation and Stakeholder Engagement</w:t>
          </w:r>
          <w:r>
            <w:tab/>
          </w:r>
          <w:r>
            <w:fldChar w:fldCharType="begin"/>
          </w:r>
          <w:r>
            <w:instrText xml:space="preserve"> PAGEREF _Toc179904017 \h </w:instrText>
          </w:r>
          <w:r>
            <w:fldChar w:fldCharType="separate"/>
          </w:r>
          <w:r>
            <w:t>xxi</w:t>
          </w:r>
          <w:r>
            <w:fldChar w:fldCharType="end"/>
          </w:r>
          <w:r>
            <w:fldChar w:fldCharType="end"/>
          </w:r>
        </w:p>
        <w:p w14:paraId="19275C8E">
          <w:pPr>
            <w:pStyle w:val="93"/>
            <w:tabs>
              <w:tab w:val="right" w:leader="dot" w:pos="9016"/>
            </w:tabs>
            <w:rPr>
              <w:rFonts w:asciiTheme="minorHAnsi" w:hAnsiTheme="minorHAnsi" w:eastAsiaTheme="minorEastAsia" w:cstheme="minorBidi"/>
              <w:sz w:val="22"/>
              <w:szCs w:val="22"/>
            </w:rPr>
          </w:pPr>
          <w:r>
            <w:fldChar w:fldCharType="begin"/>
          </w:r>
          <w:r>
            <w:instrText xml:space="preserve"> HYPERLINK \l "_Toc179904018" </w:instrText>
          </w:r>
          <w:r>
            <w:fldChar w:fldCharType="separate"/>
          </w:r>
          <w:r>
            <w:rPr>
              <w:rStyle w:val="44"/>
              <w:w w:val="110"/>
              <w:lang w:eastAsia="en-GB"/>
            </w:rPr>
            <w:t>ES 10: Identification of Environmental &amp; Social Impacts and Mitigation Measures</w:t>
          </w:r>
          <w:r>
            <w:tab/>
          </w:r>
          <w:r>
            <w:fldChar w:fldCharType="begin"/>
          </w:r>
          <w:r>
            <w:instrText xml:space="preserve"> PAGEREF _Toc179904018 \h </w:instrText>
          </w:r>
          <w:r>
            <w:fldChar w:fldCharType="separate"/>
          </w:r>
          <w:r>
            <w:t>xxii</w:t>
          </w:r>
          <w:r>
            <w:fldChar w:fldCharType="end"/>
          </w:r>
          <w:r>
            <w:fldChar w:fldCharType="end"/>
          </w:r>
        </w:p>
        <w:p w14:paraId="161676B9">
          <w:pPr>
            <w:pStyle w:val="93"/>
            <w:tabs>
              <w:tab w:val="left" w:pos="2242"/>
              <w:tab w:val="right" w:leader="dot" w:pos="9016"/>
            </w:tabs>
            <w:rPr>
              <w:rFonts w:asciiTheme="minorHAnsi" w:hAnsiTheme="minorHAnsi" w:eastAsiaTheme="minorEastAsia" w:cstheme="minorBidi"/>
              <w:sz w:val="22"/>
              <w:szCs w:val="22"/>
            </w:rPr>
          </w:pPr>
          <w:r>
            <w:fldChar w:fldCharType="begin"/>
          </w:r>
          <w:r>
            <w:instrText xml:space="preserve"> HYPERLINK \l "_Toc179904019" </w:instrText>
          </w:r>
          <w:r>
            <w:fldChar w:fldCharType="separate"/>
          </w:r>
          <w:r>
            <w:rPr>
              <w:rStyle w:val="44"/>
            </w:rPr>
            <w:t xml:space="preserve">ES 11: </w:t>
          </w:r>
          <w:r>
            <w:rPr>
              <w:rFonts w:asciiTheme="minorHAnsi" w:hAnsiTheme="minorHAnsi" w:eastAsiaTheme="minorEastAsia" w:cstheme="minorBidi"/>
              <w:sz w:val="22"/>
              <w:szCs w:val="22"/>
            </w:rPr>
            <w:tab/>
          </w:r>
          <w:r>
            <w:rPr>
              <w:rStyle w:val="44"/>
            </w:rPr>
            <w:t>ESMMP</w:t>
          </w:r>
          <w:r>
            <w:tab/>
          </w:r>
          <w:r>
            <w:fldChar w:fldCharType="begin"/>
          </w:r>
          <w:r>
            <w:instrText xml:space="preserve"> PAGEREF _Toc179904019 \h </w:instrText>
          </w:r>
          <w:r>
            <w:fldChar w:fldCharType="separate"/>
          </w:r>
          <w:r>
            <w:t>xxvii</w:t>
          </w:r>
          <w:r>
            <w:fldChar w:fldCharType="end"/>
          </w:r>
          <w:r>
            <w:fldChar w:fldCharType="end"/>
          </w:r>
        </w:p>
        <w:p w14:paraId="76D56774">
          <w:pPr>
            <w:pStyle w:val="93"/>
            <w:tabs>
              <w:tab w:val="left" w:pos="2242"/>
              <w:tab w:val="right" w:leader="dot" w:pos="9016"/>
            </w:tabs>
            <w:rPr>
              <w:rFonts w:asciiTheme="minorHAnsi" w:hAnsiTheme="minorHAnsi" w:eastAsiaTheme="minorEastAsia" w:cstheme="minorBidi"/>
              <w:sz w:val="22"/>
              <w:szCs w:val="22"/>
            </w:rPr>
          </w:pPr>
          <w:r>
            <w:fldChar w:fldCharType="begin"/>
          </w:r>
          <w:r>
            <w:instrText xml:space="preserve"> HYPERLINK \l "_Toc179904020" </w:instrText>
          </w:r>
          <w:r>
            <w:fldChar w:fldCharType="separate"/>
          </w:r>
          <w:r>
            <w:rPr>
              <w:rStyle w:val="44"/>
            </w:rPr>
            <w:t xml:space="preserve">ES 12: </w:t>
          </w:r>
          <w:r>
            <w:rPr>
              <w:rFonts w:asciiTheme="minorHAnsi" w:hAnsiTheme="minorHAnsi" w:eastAsiaTheme="minorEastAsia" w:cstheme="minorBidi"/>
              <w:sz w:val="22"/>
              <w:szCs w:val="22"/>
            </w:rPr>
            <w:tab/>
          </w:r>
          <w:r>
            <w:rPr>
              <w:rStyle w:val="44"/>
            </w:rPr>
            <w:t>Conclusion and Recommendations</w:t>
          </w:r>
          <w:r>
            <w:tab/>
          </w:r>
          <w:r>
            <w:fldChar w:fldCharType="begin"/>
          </w:r>
          <w:r>
            <w:instrText xml:space="preserve"> PAGEREF _Toc179904020 \h </w:instrText>
          </w:r>
          <w:r>
            <w:fldChar w:fldCharType="separate"/>
          </w:r>
          <w:r>
            <w:t>xxix</w:t>
          </w:r>
          <w:r>
            <w:fldChar w:fldCharType="end"/>
          </w:r>
          <w:r>
            <w:fldChar w:fldCharType="end"/>
          </w:r>
        </w:p>
        <w:p w14:paraId="73EEBB95">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"_Toc179904021" </w:instrText>
          </w:r>
          <w:r>
            <w:fldChar w:fldCharType="separate"/>
          </w:r>
          <w:r>
            <w:rPr>
              <w:rStyle w:val="44"/>
              <w:lang w:val="en-GB"/>
            </w:rPr>
            <w:t xml:space="preserve">1. </w:t>
          </w:r>
          <w:r>
            <w:rPr>
              <w:rFonts w:asciiTheme="minorHAnsi" w:hAnsiTheme="minorHAnsi" w:eastAsiaTheme="minorEastAsia" w:cstheme="minorBidi"/>
              <w:b w:val="0"/>
              <w:bCs w:val="0"/>
              <w:sz w:val="22"/>
              <w:szCs w:val="22"/>
            </w:rPr>
            <w:tab/>
          </w:r>
          <w:r>
            <w:rPr>
              <w:rStyle w:val="44"/>
              <w:lang w:val="en-GB"/>
            </w:rPr>
            <w:t>INTRODUCTION</w:t>
          </w:r>
          <w:r>
            <w:tab/>
          </w:r>
          <w:r>
            <w:fldChar w:fldCharType="begin"/>
          </w:r>
          <w:r>
            <w:instrText xml:space="preserve"> PAGEREF _Toc179904021 \h </w:instrText>
          </w:r>
          <w:r>
            <w:fldChar w:fldCharType="separate"/>
          </w:r>
          <w:r>
            <w:t>1</w:t>
          </w:r>
          <w:r>
            <w:fldChar w:fldCharType="end"/>
          </w:r>
          <w:r>
            <w:fldChar w:fldCharType="end"/>
          </w:r>
        </w:p>
        <w:p w14:paraId="289F3971">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"_Toc179904022" </w:instrText>
          </w:r>
          <w:r>
            <w:fldChar w:fldCharType="separate"/>
          </w:r>
          <w:r>
            <w:rPr>
              <w:rStyle w:val="44"/>
              <w:lang w:val="en-GB"/>
            </w:rPr>
            <w:t xml:space="preserve">1.1 </w:t>
          </w:r>
          <w:r>
            <w:rPr>
              <w:rFonts w:asciiTheme="minorHAnsi" w:hAnsiTheme="minorHAnsi" w:eastAsiaTheme="minorEastAsia" w:cstheme="minorBidi"/>
              <w:sz w:val="22"/>
              <w:szCs w:val="22"/>
            </w:rPr>
            <w:tab/>
          </w:r>
          <w:r>
            <w:rPr>
              <w:rStyle w:val="44"/>
              <w:lang w:val="en-GB"/>
            </w:rPr>
            <w:t>Back Ground Information</w:t>
          </w:r>
          <w:r>
            <w:tab/>
          </w:r>
          <w:r>
            <w:fldChar w:fldCharType="begin"/>
          </w:r>
          <w:r>
            <w:instrText xml:space="preserve"> PAGEREF _Toc179904022 \h </w:instrText>
          </w:r>
          <w:r>
            <w:fldChar w:fldCharType="separate"/>
          </w:r>
          <w:r>
            <w:t>1</w:t>
          </w:r>
          <w:r>
            <w:fldChar w:fldCharType="end"/>
          </w:r>
          <w:r>
            <w:fldChar w:fldCharType="end"/>
          </w:r>
        </w:p>
        <w:p w14:paraId="7F6B76B1">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"_Toc179904023" </w:instrText>
          </w:r>
          <w:r>
            <w:fldChar w:fldCharType="separate"/>
          </w:r>
          <w:r>
            <w:rPr>
              <w:rStyle w:val="44"/>
            </w:rPr>
            <w:t xml:space="preserve">1.2 </w:t>
          </w:r>
          <w:r>
            <w:rPr>
              <w:rFonts w:asciiTheme="minorHAnsi" w:hAnsiTheme="minorHAnsi" w:eastAsiaTheme="minorEastAsia" w:cstheme="minorBidi"/>
              <w:sz w:val="22"/>
              <w:szCs w:val="22"/>
            </w:rPr>
            <w:tab/>
          </w:r>
          <w:r>
            <w:rPr>
              <w:rStyle w:val="44"/>
            </w:rPr>
            <w:t>Project objectives</w:t>
          </w:r>
          <w:r>
            <w:tab/>
          </w:r>
          <w:r>
            <w:fldChar w:fldCharType="begin"/>
          </w:r>
          <w:r>
            <w:instrText xml:space="preserve"> PAGEREF _Toc179904023 \h </w:instrText>
          </w:r>
          <w:r>
            <w:fldChar w:fldCharType="separate"/>
          </w:r>
          <w:r>
            <w:t>1</w:t>
          </w:r>
          <w:r>
            <w:fldChar w:fldCharType="end"/>
          </w:r>
          <w:r>
            <w:fldChar w:fldCharType="end"/>
          </w:r>
        </w:p>
        <w:p w14:paraId="58B571EA">
          <w:pPr>
            <w:pStyle w:val="93"/>
            <w:tabs>
              <w:tab w:val="right" w:leader="dot" w:pos="9016"/>
            </w:tabs>
            <w:rPr>
              <w:rFonts w:asciiTheme="minorHAnsi" w:hAnsiTheme="minorHAnsi" w:eastAsiaTheme="minorEastAsia" w:cstheme="minorBidi"/>
              <w:sz w:val="22"/>
              <w:szCs w:val="22"/>
            </w:rPr>
          </w:pPr>
          <w:r>
            <w:fldChar w:fldCharType="begin"/>
          </w:r>
          <w:r>
            <w:instrText xml:space="preserve"> HYPERLINK \l "_Toc179904024" </w:instrText>
          </w:r>
          <w:r>
            <w:fldChar w:fldCharType="separate"/>
          </w:r>
          <w:r>
            <w:rPr>
              <w:rStyle w:val="44"/>
            </w:rPr>
            <w:t>1.3 Objectives of the Environmental and Social Impact Assessment Project Report.</w:t>
          </w:r>
          <w:r>
            <w:tab/>
          </w:r>
          <w:r>
            <w:fldChar w:fldCharType="begin"/>
          </w:r>
          <w:r>
            <w:instrText xml:space="preserve"> PAGEREF _Toc179904024 \h </w:instrText>
          </w:r>
          <w:r>
            <w:fldChar w:fldCharType="separate"/>
          </w:r>
          <w:r>
            <w:t>1</w:t>
          </w:r>
          <w:r>
            <w:fldChar w:fldCharType="end"/>
          </w:r>
          <w:r>
            <w:fldChar w:fldCharType="end"/>
          </w:r>
        </w:p>
        <w:p w14:paraId="43E00389">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"_Toc179904025" </w:instrText>
          </w:r>
          <w:r>
            <w:fldChar w:fldCharType="separate"/>
          </w:r>
          <w:r>
            <w:rPr>
              <w:rStyle w:val="44"/>
            </w:rPr>
            <w:t xml:space="preserve">1.4 </w:t>
          </w:r>
          <w:r>
            <w:rPr>
              <w:rFonts w:asciiTheme="minorHAnsi" w:hAnsiTheme="minorHAnsi" w:eastAsiaTheme="minorEastAsia" w:cstheme="minorBidi"/>
              <w:sz w:val="22"/>
              <w:szCs w:val="22"/>
            </w:rPr>
            <w:tab/>
          </w:r>
          <w:r>
            <w:rPr>
              <w:rStyle w:val="44"/>
            </w:rPr>
            <w:t>Scope of the Study</w:t>
          </w:r>
          <w:r>
            <w:tab/>
          </w:r>
          <w:r>
            <w:fldChar w:fldCharType="begin"/>
          </w:r>
          <w:r>
            <w:instrText xml:space="preserve"> PAGEREF _Toc179904025 \h </w:instrText>
          </w:r>
          <w:r>
            <w:fldChar w:fldCharType="separate"/>
          </w:r>
          <w:r>
            <w:t>2</w:t>
          </w:r>
          <w:r>
            <w:fldChar w:fldCharType="end"/>
          </w:r>
          <w:r>
            <w:fldChar w:fldCharType="end"/>
          </w:r>
        </w:p>
        <w:p w14:paraId="03F47D55">
          <w:pPr>
            <w:pStyle w:val="93"/>
            <w:tabs>
              <w:tab w:val="right" w:leader="dot" w:pos="9016"/>
            </w:tabs>
            <w:rPr>
              <w:rFonts w:asciiTheme="minorHAnsi" w:hAnsiTheme="minorHAnsi" w:eastAsiaTheme="minorEastAsia" w:cstheme="minorBidi"/>
              <w:sz w:val="22"/>
              <w:szCs w:val="22"/>
            </w:rPr>
          </w:pPr>
          <w:r>
            <w:fldChar w:fldCharType="begin"/>
          </w:r>
          <w:r>
            <w:instrText xml:space="preserve"> HYPERLINK \l "_Toc179904026" </w:instrText>
          </w:r>
          <w:r>
            <w:fldChar w:fldCharType="separate"/>
          </w:r>
          <w:r>
            <w:rPr>
              <w:rStyle w:val="44"/>
            </w:rPr>
            <w:t>1.5 Terms of Reference (ToR)</w:t>
          </w:r>
          <w:r>
            <w:tab/>
          </w:r>
          <w:r>
            <w:fldChar w:fldCharType="begin"/>
          </w:r>
          <w:r>
            <w:instrText xml:space="preserve"> PAGEREF _Toc179904026 \h </w:instrText>
          </w:r>
          <w:r>
            <w:fldChar w:fldCharType="separate"/>
          </w:r>
          <w:r>
            <w:t>2</w:t>
          </w:r>
          <w:r>
            <w:fldChar w:fldCharType="end"/>
          </w:r>
          <w:r>
            <w:fldChar w:fldCharType="end"/>
          </w:r>
        </w:p>
        <w:p w14:paraId="5578E232">
          <w:pPr>
            <w:pStyle w:val="93"/>
            <w:tabs>
              <w:tab w:val="left" w:pos="1959"/>
              <w:tab w:val="right" w:leader="dot" w:pos="9016"/>
            </w:tabs>
            <w:rPr>
              <w:rFonts w:asciiTheme="minorHAnsi" w:hAnsiTheme="minorHAnsi" w:eastAsiaTheme="minorEastAsia" w:cstheme="minorBidi"/>
              <w:sz w:val="22"/>
              <w:szCs w:val="22"/>
            </w:rPr>
          </w:pPr>
          <w:r>
            <w:fldChar w:fldCharType="begin"/>
          </w:r>
          <w:r>
            <w:instrText xml:space="preserve"> HYPERLINK \l "_Toc179904027" </w:instrText>
          </w:r>
          <w:r>
            <w:fldChar w:fldCharType="separate"/>
          </w:r>
          <w:r>
            <w:rPr>
              <w:rStyle w:val="44"/>
            </w:rPr>
            <w:t>1.6</w:t>
          </w:r>
          <w:r>
            <w:rPr>
              <w:rFonts w:asciiTheme="minorHAnsi" w:hAnsiTheme="minorHAnsi" w:eastAsiaTheme="minorEastAsia" w:cstheme="minorBidi"/>
              <w:sz w:val="22"/>
              <w:szCs w:val="22"/>
            </w:rPr>
            <w:tab/>
          </w:r>
          <w:r>
            <w:rPr>
              <w:rStyle w:val="44"/>
            </w:rPr>
            <w:t xml:space="preserve"> Justification of the ESIA</w:t>
          </w:r>
          <w:r>
            <w:tab/>
          </w:r>
          <w:r>
            <w:fldChar w:fldCharType="begin"/>
          </w:r>
          <w:r>
            <w:instrText xml:space="preserve"> PAGEREF _Toc179904027 \h </w:instrText>
          </w:r>
          <w:r>
            <w:fldChar w:fldCharType="separate"/>
          </w:r>
          <w:r>
            <w:t>3</w:t>
          </w:r>
          <w:r>
            <w:fldChar w:fldCharType="end"/>
          </w:r>
          <w:r>
            <w:fldChar w:fldCharType="end"/>
          </w:r>
        </w:p>
        <w:p w14:paraId="198A7A79">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"_Toc179904028" </w:instrText>
          </w:r>
          <w:r>
            <w:fldChar w:fldCharType="separate"/>
          </w:r>
          <w:r>
            <w:rPr>
              <w:rStyle w:val="44"/>
            </w:rPr>
            <w:t xml:space="preserve">1.7 </w:t>
          </w:r>
          <w:r>
            <w:rPr>
              <w:rFonts w:asciiTheme="minorHAnsi" w:hAnsiTheme="minorHAnsi" w:eastAsiaTheme="minorEastAsia" w:cstheme="minorBidi"/>
              <w:sz w:val="22"/>
              <w:szCs w:val="22"/>
            </w:rPr>
            <w:tab/>
          </w:r>
          <w:r>
            <w:rPr>
              <w:rStyle w:val="44"/>
            </w:rPr>
            <w:t>Environmental and Social Impact and Assessment Team</w:t>
          </w:r>
          <w:r>
            <w:tab/>
          </w:r>
          <w:r>
            <w:fldChar w:fldCharType="begin"/>
          </w:r>
          <w:r>
            <w:instrText xml:space="preserve"> PAGEREF _Toc179904028 \h </w:instrText>
          </w:r>
          <w:r>
            <w:fldChar w:fldCharType="separate"/>
          </w:r>
          <w:r>
            <w:t>3</w:t>
          </w:r>
          <w:r>
            <w:fldChar w:fldCharType="end"/>
          </w:r>
          <w:r>
            <w:fldChar w:fldCharType="end"/>
          </w:r>
        </w:p>
        <w:p w14:paraId="7089336B">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"_Toc179904029" </w:instrText>
          </w:r>
          <w:r>
            <w:fldChar w:fldCharType="separate"/>
          </w:r>
          <w:r>
            <w:rPr>
              <w:rStyle w:val="44"/>
            </w:rPr>
            <w:t>2.</w:t>
          </w:r>
          <w:r>
            <w:rPr>
              <w:rFonts w:asciiTheme="minorHAnsi" w:hAnsiTheme="minorHAnsi" w:eastAsiaTheme="minorEastAsia" w:cstheme="minorBidi"/>
              <w:b w:val="0"/>
              <w:bCs w:val="0"/>
              <w:sz w:val="22"/>
              <w:szCs w:val="22"/>
            </w:rPr>
            <w:tab/>
          </w:r>
          <w:r>
            <w:rPr>
              <w:rStyle w:val="44"/>
            </w:rPr>
            <w:t xml:space="preserve"> </w:t>
          </w:r>
          <w:r>
            <w:rPr>
              <w:rStyle w:val="44"/>
              <w:lang w:val="en-GB"/>
            </w:rPr>
            <w:t>ESIA APPROACH METHODOLOGY</w:t>
          </w:r>
          <w:r>
            <w:tab/>
          </w:r>
          <w:r>
            <w:fldChar w:fldCharType="begin"/>
          </w:r>
          <w:r>
            <w:instrText xml:space="preserve"> PAGEREF _Toc179904029 \h </w:instrText>
          </w:r>
          <w:r>
            <w:fldChar w:fldCharType="separate"/>
          </w:r>
          <w:r>
            <w:t>4</w:t>
          </w:r>
          <w:r>
            <w:fldChar w:fldCharType="end"/>
          </w:r>
          <w:r>
            <w:fldChar w:fldCharType="end"/>
          </w:r>
        </w:p>
        <w:p w14:paraId="5A868A4D">
          <w:pPr>
            <w:pStyle w:val="93"/>
            <w:tabs>
              <w:tab w:val="left" w:pos="1959"/>
              <w:tab w:val="right" w:leader="dot" w:pos="9016"/>
            </w:tabs>
            <w:rPr>
              <w:rFonts w:asciiTheme="minorHAnsi" w:hAnsiTheme="minorHAnsi" w:eastAsiaTheme="minorEastAsia" w:cstheme="minorBidi"/>
              <w:sz w:val="22"/>
              <w:szCs w:val="22"/>
            </w:rPr>
          </w:pPr>
          <w:r>
            <w:fldChar w:fldCharType="begin"/>
          </w:r>
          <w:r>
            <w:instrText xml:space="preserve"> HYPERLINK \l "_Toc179904030" </w:instrText>
          </w:r>
          <w:r>
            <w:fldChar w:fldCharType="separate"/>
          </w:r>
          <w:r>
            <w:rPr>
              <w:rStyle w:val="44"/>
            </w:rPr>
            <w:t>2.1</w:t>
          </w:r>
          <w:r>
            <w:rPr>
              <w:rFonts w:asciiTheme="minorHAnsi" w:hAnsiTheme="minorHAnsi" w:eastAsiaTheme="minorEastAsia" w:cstheme="minorBidi"/>
              <w:sz w:val="22"/>
              <w:szCs w:val="22"/>
            </w:rPr>
            <w:tab/>
          </w:r>
          <w:r>
            <w:rPr>
              <w:rStyle w:val="44"/>
            </w:rPr>
            <w:t xml:space="preserve"> Environmental and Social Screening</w:t>
          </w:r>
          <w:r>
            <w:tab/>
          </w:r>
          <w:r>
            <w:fldChar w:fldCharType="begin"/>
          </w:r>
          <w:r>
            <w:instrText xml:space="preserve"> PAGEREF _Toc179904030 \h </w:instrText>
          </w:r>
          <w:r>
            <w:fldChar w:fldCharType="separate"/>
          </w:r>
          <w:r>
            <w:t>4</w:t>
          </w:r>
          <w:r>
            <w:fldChar w:fldCharType="end"/>
          </w:r>
          <w:r>
            <w:fldChar w:fldCharType="end"/>
          </w:r>
        </w:p>
        <w:p w14:paraId="7674A4AE">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"_Toc179904031" </w:instrText>
          </w:r>
          <w:r>
            <w:fldChar w:fldCharType="separate"/>
          </w:r>
          <w:r>
            <w:rPr>
              <w:rStyle w:val="44"/>
            </w:rPr>
            <w:t xml:space="preserve">2.2 </w:t>
          </w:r>
          <w:r>
            <w:rPr>
              <w:rFonts w:asciiTheme="minorHAnsi" w:hAnsiTheme="minorHAnsi" w:eastAsiaTheme="minorEastAsia" w:cstheme="minorBidi"/>
              <w:sz w:val="22"/>
              <w:szCs w:val="22"/>
            </w:rPr>
            <w:tab/>
          </w:r>
          <w:r>
            <w:rPr>
              <w:rStyle w:val="44"/>
            </w:rPr>
            <w:t>Environmental and Social Scoping</w:t>
          </w:r>
          <w:r>
            <w:tab/>
          </w:r>
          <w:r>
            <w:fldChar w:fldCharType="begin"/>
          </w:r>
          <w:r>
            <w:instrText xml:space="preserve"> PAGEREF _Toc179904031 \h </w:instrText>
          </w:r>
          <w:r>
            <w:fldChar w:fldCharType="separate"/>
          </w:r>
          <w:r>
            <w:t>4</w:t>
          </w:r>
          <w:r>
            <w:fldChar w:fldCharType="end"/>
          </w:r>
          <w:r>
            <w:fldChar w:fldCharType="end"/>
          </w:r>
        </w:p>
        <w:p w14:paraId="73DE98F3">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"_Toc179904032" </w:instrText>
          </w:r>
          <w:r>
            <w:fldChar w:fldCharType="separate"/>
          </w:r>
          <w:r>
            <w:rPr>
              <w:rStyle w:val="44"/>
            </w:rPr>
            <w:t xml:space="preserve">2.3 </w:t>
          </w:r>
          <w:r>
            <w:rPr>
              <w:rFonts w:asciiTheme="minorHAnsi" w:hAnsiTheme="minorHAnsi" w:eastAsiaTheme="minorEastAsia" w:cstheme="minorBidi"/>
              <w:sz w:val="22"/>
              <w:szCs w:val="22"/>
            </w:rPr>
            <w:tab/>
          </w:r>
          <w:r>
            <w:rPr>
              <w:rStyle w:val="44"/>
            </w:rPr>
            <w:t>Desktop Study</w:t>
          </w:r>
          <w:r>
            <w:tab/>
          </w:r>
          <w:r>
            <w:fldChar w:fldCharType="begin"/>
          </w:r>
          <w:r>
            <w:instrText xml:space="preserve"> PAGEREF _Toc179904032 \h </w:instrText>
          </w:r>
          <w:r>
            <w:fldChar w:fldCharType="separate"/>
          </w:r>
          <w:r>
            <w:t>4</w:t>
          </w:r>
          <w:r>
            <w:fldChar w:fldCharType="end"/>
          </w:r>
          <w:r>
            <w:fldChar w:fldCharType="end"/>
          </w:r>
        </w:p>
        <w:p w14:paraId="3D9E984A">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"_Toc179904033" </w:instrText>
          </w:r>
          <w:r>
            <w:fldChar w:fldCharType="separate"/>
          </w:r>
          <w:r>
            <w:rPr>
              <w:rStyle w:val="44"/>
            </w:rPr>
            <w:t xml:space="preserve">2.4 </w:t>
          </w:r>
          <w:r>
            <w:rPr>
              <w:rFonts w:asciiTheme="minorHAnsi" w:hAnsiTheme="minorHAnsi" w:eastAsiaTheme="minorEastAsia" w:cstheme="minorBidi"/>
              <w:sz w:val="22"/>
              <w:szCs w:val="22"/>
            </w:rPr>
            <w:tab/>
          </w:r>
          <w:r>
            <w:rPr>
              <w:rStyle w:val="44"/>
            </w:rPr>
            <w:t>Site Assessment</w:t>
          </w:r>
          <w:r>
            <w:tab/>
          </w:r>
          <w:r>
            <w:fldChar w:fldCharType="begin"/>
          </w:r>
          <w:r>
            <w:instrText xml:space="preserve"> PAGEREF _Toc179904033 \h </w:instrText>
          </w:r>
          <w:r>
            <w:fldChar w:fldCharType="separate"/>
          </w:r>
          <w:r>
            <w:t>5</w:t>
          </w:r>
          <w:r>
            <w:fldChar w:fldCharType="end"/>
          </w:r>
          <w:r>
            <w:fldChar w:fldCharType="end"/>
          </w:r>
        </w:p>
        <w:p w14:paraId="08452C06">
          <w:pPr>
            <w:pStyle w:val="93"/>
            <w:tabs>
              <w:tab w:val="left" w:pos="1959"/>
              <w:tab w:val="right" w:leader="dot" w:pos="9016"/>
            </w:tabs>
            <w:rPr>
              <w:rFonts w:asciiTheme="minorHAnsi" w:hAnsiTheme="minorHAnsi" w:eastAsiaTheme="minorEastAsia" w:cstheme="minorBidi"/>
              <w:sz w:val="22"/>
              <w:szCs w:val="22"/>
            </w:rPr>
          </w:pPr>
          <w:r>
            <w:fldChar w:fldCharType="begin"/>
          </w:r>
          <w:r>
            <w:instrText xml:space="preserve"> HYPERLINK \l "_Toc179904034" </w:instrText>
          </w:r>
          <w:r>
            <w:fldChar w:fldCharType="separate"/>
          </w:r>
          <w:r>
            <w:rPr>
              <w:rStyle w:val="44"/>
              <w:lang w:val="en-GB"/>
            </w:rPr>
            <w:t>2.5</w:t>
          </w:r>
          <w:r>
            <w:rPr>
              <w:rFonts w:asciiTheme="minorHAnsi" w:hAnsiTheme="minorHAnsi" w:eastAsiaTheme="minorEastAsia" w:cstheme="minorBidi"/>
              <w:sz w:val="22"/>
              <w:szCs w:val="22"/>
            </w:rPr>
            <w:tab/>
          </w:r>
          <w:r>
            <w:rPr>
              <w:rStyle w:val="44"/>
              <w:lang w:val="en-GB"/>
            </w:rPr>
            <w:t xml:space="preserve"> Public Participation</w:t>
          </w:r>
          <w:r>
            <w:tab/>
          </w:r>
          <w:r>
            <w:fldChar w:fldCharType="begin"/>
          </w:r>
          <w:r>
            <w:instrText xml:space="preserve"> PAGEREF _Toc179904034 \h </w:instrText>
          </w:r>
          <w:r>
            <w:fldChar w:fldCharType="separate"/>
          </w:r>
          <w:r>
            <w:t>5</w:t>
          </w:r>
          <w:r>
            <w:fldChar w:fldCharType="end"/>
          </w:r>
          <w:r>
            <w:fldChar w:fldCharType="end"/>
          </w:r>
        </w:p>
        <w:p w14:paraId="60B68D30">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"_Toc179904035" </w:instrText>
          </w:r>
          <w:r>
            <w:fldChar w:fldCharType="separate"/>
          </w:r>
          <w:r>
            <w:rPr>
              <w:rStyle w:val="44"/>
            </w:rPr>
            <w:t xml:space="preserve">2.5.1 </w:t>
          </w:r>
          <w:r>
            <w:rPr>
              <w:rFonts w:asciiTheme="minorHAnsi" w:hAnsiTheme="minorHAnsi" w:eastAsiaTheme="minorEastAsia" w:cstheme="minorBidi"/>
              <w:b w:val="0"/>
              <w:bCs w:val="0"/>
              <w:sz w:val="22"/>
              <w:szCs w:val="22"/>
            </w:rPr>
            <w:tab/>
          </w:r>
          <w:r>
            <w:rPr>
              <w:rStyle w:val="44"/>
            </w:rPr>
            <w:t>Stakeholder engagement interviews</w:t>
          </w:r>
          <w:r>
            <w:tab/>
          </w:r>
          <w:r>
            <w:fldChar w:fldCharType="begin"/>
          </w:r>
          <w:r>
            <w:instrText xml:space="preserve"> PAGEREF _Toc179904035 \h </w:instrText>
          </w:r>
          <w:r>
            <w:fldChar w:fldCharType="separate"/>
          </w:r>
          <w:r>
            <w:t>5</w:t>
          </w:r>
          <w:r>
            <w:fldChar w:fldCharType="end"/>
          </w:r>
          <w:r>
            <w:fldChar w:fldCharType="end"/>
          </w:r>
        </w:p>
        <w:p w14:paraId="56534E51">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"_Toc179904036" </w:instrText>
          </w:r>
          <w:r>
            <w:fldChar w:fldCharType="separate"/>
          </w:r>
          <w:r>
            <w:rPr>
              <w:rStyle w:val="44"/>
            </w:rPr>
            <w:t xml:space="preserve">2.5.2 </w:t>
          </w:r>
          <w:r>
            <w:rPr>
              <w:rFonts w:asciiTheme="minorHAnsi" w:hAnsiTheme="minorHAnsi" w:eastAsiaTheme="minorEastAsia" w:cstheme="minorBidi"/>
              <w:b w:val="0"/>
              <w:bCs w:val="0"/>
              <w:sz w:val="22"/>
              <w:szCs w:val="22"/>
            </w:rPr>
            <w:tab/>
          </w:r>
          <w:r>
            <w:rPr>
              <w:rStyle w:val="44"/>
            </w:rPr>
            <w:t>Socio-economic surveys</w:t>
          </w:r>
          <w:r>
            <w:tab/>
          </w:r>
          <w:r>
            <w:fldChar w:fldCharType="begin"/>
          </w:r>
          <w:r>
            <w:instrText xml:space="preserve"> PAGEREF _Toc179904036 \h </w:instrText>
          </w:r>
          <w:r>
            <w:fldChar w:fldCharType="separate"/>
          </w:r>
          <w:r>
            <w:t>6</w:t>
          </w:r>
          <w:r>
            <w:fldChar w:fldCharType="end"/>
          </w:r>
          <w:r>
            <w:fldChar w:fldCharType="end"/>
          </w:r>
        </w:p>
        <w:p w14:paraId="54F05822">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"_Toc179904037" </w:instrText>
          </w:r>
          <w:r>
            <w:fldChar w:fldCharType="separate"/>
          </w:r>
          <w:r>
            <w:rPr>
              <w:rStyle w:val="44"/>
            </w:rPr>
            <w:t xml:space="preserve">2.6 </w:t>
          </w:r>
          <w:r>
            <w:rPr>
              <w:rFonts w:asciiTheme="minorHAnsi" w:hAnsiTheme="minorHAnsi" w:eastAsiaTheme="minorEastAsia" w:cstheme="minorBidi"/>
              <w:sz w:val="22"/>
              <w:szCs w:val="22"/>
            </w:rPr>
            <w:tab/>
          </w:r>
          <w:r>
            <w:rPr>
              <w:rStyle w:val="44"/>
            </w:rPr>
            <w:t>Data Analysis, Reporting and Documentation</w:t>
          </w:r>
          <w:r>
            <w:tab/>
          </w:r>
          <w:r>
            <w:fldChar w:fldCharType="begin"/>
          </w:r>
          <w:r>
            <w:instrText xml:space="preserve"> PAGEREF _Toc179904037 \h </w:instrText>
          </w:r>
          <w:r>
            <w:fldChar w:fldCharType="separate"/>
          </w:r>
          <w:r>
            <w:t>6</w:t>
          </w:r>
          <w:r>
            <w:fldChar w:fldCharType="end"/>
          </w:r>
          <w:r>
            <w:fldChar w:fldCharType="end"/>
          </w:r>
        </w:p>
        <w:p w14:paraId="237200F9">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"_Toc179904038" </w:instrText>
          </w:r>
          <w:r>
            <w:fldChar w:fldCharType="separate"/>
          </w:r>
          <w:r>
            <w:rPr>
              <w:rStyle w:val="44"/>
            </w:rPr>
            <w:t xml:space="preserve">3. </w:t>
          </w:r>
          <w:r>
            <w:rPr>
              <w:rFonts w:asciiTheme="minorHAnsi" w:hAnsiTheme="minorHAnsi" w:eastAsiaTheme="minorEastAsia" w:cstheme="minorBidi"/>
              <w:b w:val="0"/>
              <w:bCs w:val="0"/>
              <w:sz w:val="22"/>
              <w:szCs w:val="22"/>
            </w:rPr>
            <w:tab/>
          </w:r>
          <w:r>
            <w:rPr>
              <w:rStyle w:val="44"/>
            </w:rPr>
            <w:t>PROJECT DESCRIPTION</w:t>
          </w:r>
          <w:r>
            <w:tab/>
          </w:r>
          <w:r>
            <w:fldChar w:fldCharType="begin"/>
          </w:r>
          <w:r>
            <w:instrText xml:space="preserve"> PAGEREF _Toc179904038 \h </w:instrText>
          </w:r>
          <w:r>
            <w:fldChar w:fldCharType="separate"/>
          </w:r>
          <w:r>
            <w:t>7</w:t>
          </w:r>
          <w:r>
            <w:fldChar w:fldCharType="end"/>
          </w:r>
          <w:r>
            <w:fldChar w:fldCharType="end"/>
          </w:r>
        </w:p>
        <w:p w14:paraId="679C0428">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"_Toc179904039" </w:instrText>
          </w:r>
          <w:r>
            <w:fldChar w:fldCharType="separate"/>
          </w:r>
          <w:r>
            <w:rPr>
              <w:rStyle w:val="44"/>
            </w:rPr>
            <w:t xml:space="preserve">3.1 </w:t>
          </w:r>
          <w:r>
            <w:rPr>
              <w:rFonts w:asciiTheme="minorHAnsi" w:hAnsiTheme="minorHAnsi" w:eastAsiaTheme="minorEastAsia" w:cstheme="minorBidi"/>
              <w:sz w:val="22"/>
              <w:szCs w:val="22"/>
            </w:rPr>
            <w:tab/>
          </w:r>
          <w:r>
            <w:rPr>
              <w:rStyle w:val="44"/>
            </w:rPr>
            <w:t>Project</w:t>
          </w:r>
          <w:r>
            <w:rPr>
              <w:rStyle w:val="44"/>
              <w:spacing w:val="-5"/>
            </w:rPr>
            <w:t xml:space="preserve"> </w:t>
          </w:r>
          <w:r>
            <w:rPr>
              <w:rStyle w:val="44"/>
            </w:rPr>
            <w:t>Location</w:t>
          </w:r>
          <w:r>
            <w:tab/>
          </w:r>
          <w:r>
            <w:fldChar w:fldCharType="begin"/>
          </w:r>
          <w:r>
            <w:instrText xml:space="preserve"> PAGEREF _Toc179904039 \h </w:instrText>
          </w:r>
          <w:r>
            <w:fldChar w:fldCharType="separate"/>
          </w:r>
          <w:r>
            <w:t>7</w:t>
          </w:r>
          <w:r>
            <w:fldChar w:fldCharType="end"/>
          </w:r>
          <w:r>
            <w:fldChar w:fldCharType="end"/>
          </w:r>
        </w:p>
        <w:p w14:paraId="6758591B">
          <w:pPr>
            <w:pStyle w:val="94"/>
            <w:tabs>
              <w:tab w:val="left" w:pos="1487"/>
              <w:tab w:val="right" w:leader="dot" w:pos="9016"/>
            </w:tabs>
            <w:rPr>
              <w:rFonts w:asciiTheme="minorHAnsi" w:hAnsiTheme="minorHAnsi" w:eastAsiaTheme="minorEastAsia"/>
            </w:rPr>
          </w:pPr>
          <w:r>
            <w:fldChar w:fldCharType="begin"/>
          </w:r>
          <w:r>
            <w:instrText xml:space="preserve"> HYPERLINK \l "_Toc179904040" </w:instrText>
          </w:r>
          <w:r>
            <w:fldChar w:fldCharType="separate"/>
          </w:r>
          <w:r>
            <w:rPr>
              <w:rStyle w:val="44"/>
            </w:rPr>
            <w:t xml:space="preserve">3.2.1 </w:t>
          </w:r>
          <w:r>
            <w:rPr>
              <w:rFonts w:asciiTheme="minorHAnsi" w:hAnsiTheme="minorHAnsi" w:eastAsiaTheme="minorEastAsia"/>
            </w:rPr>
            <w:tab/>
          </w:r>
          <w:r>
            <w:rPr>
              <w:rStyle w:val="44"/>
            </w:rPr>
            <w:t>Proposed Scope of Works</w:t>
          </w:r>
          <w:r>
            <w:tab/>
          </w:r>
          <w:r>
            <w:fldChar w:fldCharType="begin"/>
          </w:r>
          <w:r>
            <w:instrText xml:space="preserve"> PAGEREF _Toc179904040 \h </w:instrText>
          </w:r>
          <w:r>
            <w:fldChar w:fldCharType="separate"/>
          </w:r>
          <w:r>
            <w:t>7</w:t>
          </w:r>
          <w:r>
            <w:fldChar w:fldCharType="end"/>
          </w:r>
          <w:r>
            <w:fldChar w:fldCharType="end"/>
          </w:r>
        </w:p>
        <w:p w14:paraId="435F5433">
          <w:pPr>
            <w:pStyle w:val="94"/>
            <w:tabs>
              <w:tab w:val="left" w:pos="1487"/>
              <w:tab w:val="right" w:leader="dot" w:pos="9016"/>
            </w:tabs>
            <w:rPr>
              <w:rFonts w:asciiTheme="minorHAnsi" w:hAnsiTheme="minorHAnsi" w:eastAsiaTheme="minorEastAsia"/>
            </w:rPr>
          </w:pPr>
          <w:r>
            <w:fldChar w:fldCharType="begin"/>
          </w:r>
          <w:r>
            <w:instrText xml:space="preserve"> HYPERLINK \l "_Toc179904041" </w:instrText>
          </w:r>
          <w:r>
            <w:fldChar w:fldCharType="separate"/>
          </w:r>
          <w:r>
            <w:rPr>
              <w:rStyle w:val="44"/>
            </w:rPr>
            <w:t>3.2.2</w:t>
          </w:r>
          <w:r>
            <w:rPr>
              <w:rFonts w:asciiTheme="minorHAnsi" w:hAnsiTheme="minorHAnsi" w:eastAsiaTheme="minorEastAsia"/>
            </w:rPr>
            <w:tab/>
          </w:r>
          <w:r>
            <w:rPr>
              <w:rStyle w:val="44"/>
            </w:rPr>
            <w:t>Project Activities and Processes</w:t>
          </w:r>
          <w:r>
            <w:tab/>
          </w:r>
          <w:r>
            <w:fldChar w:fldCharType="begin"/>
          </w:r>
          <w:r>
            <w:instrText xml:space="preserve"> PAGEREF _Toc179904041 \h </w:instrText>
          </w:r>
          <w:r>
            <w:fldChar w:fldCharType="separate"/>
          </w:r>
          <w:r>
            <w:t>9</w:t>
          </w:r>
          <w:r>
            <w:fldChar w:fldCharType="end"/>
          </w:r>
          <w:r>
            <w:fldChar w:fldCharType="end"/>
          </w:r>
        </w:p>
        <w:p w14:paraId="3B2DF7E1">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"_Toc179904042" </w:instrText>
          </w:r>
          <w:r>
            <w:fldChar w:fldCharType="separate"/>
          </w:r>
          <w:r>
            <w:rPr>
              <w:rStyle w:val="44"/>
              <w:rFonts w:eastAsiaTheme="minorHAnsi"/>
            </w:rPr>
            <w:t xml:space="preserve">3.3 </w:t>
          </w:r>
          <w:r>
            <w:rPr>
              <w:rFonts w:asciiTheme="minorHAnsi" w:hAnsiTheme="minorHAnsi" w:eastAsiaTheme="minorEastAsia" w:cstheme="minorBidi"/>
              <w:sz w:val="22"/>
              <w:szCs w:val="22"/>
            </w:rPr>
            <w:tab/>
          </w:r>
          <w:r>
            <w:rPr>
              <w:rStyle w:val="44"/>
            </w:rPr>
            <w:t>Safety and public health requirements</w:t>
          </w:r>
          <w:r>
            <w:tab/>
          </w:r>
          <w:r>
            <w:fldChar w:fldCharType="begin"/>
          </w:r>
          <w:r>
            <w:instrText xml:space="preserve"> PAGEREF _Toc179904042 \h </w:instrText>
          </w:r>
          <w:r>
            <w:fldChar w:fldCharType="separate"/>
          </w:r>
          <w:r>
            <w:t>10</w:t>
          </w:r>
          <w:r>
            <w:fldChar w:fldCharType="end"/>
          </w:r>
          <w:r>
            <w:fldChar w:fldCharType="end"/>
          </w:r>
        </w:p>
        <w:p w14:paraId="6D8B33EC">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"_Toc179904043" </w:instrText>
          </w:r>
          <w:r>
            <w:fldChar w:fldCharType="separate"/>
          </w:r>
          <w:r>
            <w:rPr>
              <w:rStyle w:val="44"/>
            </w:rPr>
            <w:t xml:space="preserve">3.4 </w:t>
          </w:r>
          <w:r>
            <w:rPr>
              <w:rFonts w:asciiTheme="minorHAnsi" w:hAnsiTheme="minorHAnsi" w:eastAsiaTheme="minorEastAsia" w:cstheme="minorBidi"/>
              <w:sz w:val="22"/>
              <w:szCs w:val="22"/>
            </w:rPr>
            <w:tab/>
          </w:r>
          <w:r>
            <w:rPr>
              <w:rStyle w:val="44"/>
            </w:rPr>
            <w:t>Environmental Protection</w:t>
          </w:r>
          <w:r>
            <w:tab/>
          </w:r>
          <w:r>
            <w:fldChar w:fldCharType="begin"/>
          </w:r>
          <w:r>
            <w:instrText xml:space="preserve"> PAGEREF _Toc179904043 \h </w:instrText>
          </w:r>
          <w:r>
            <w:fldChar w:fldCharType="separate"/>
          </w:r>
          <w:r>
            <w:t>10</w:t>
          </w:r>
          <w:r>
            <w:fldChar w:fldCharType="end"/>
          </w:r>
          <w:r>
            <w:fldChar w:fldCharType="end"/>
          </w:r>
        </w:p>
        <w:p w14:paraId="1053E5FD">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"_Toc179904044" </w:instrText>
          </w:r>
          <w:r>
            <w:fldChar w:fldCharType="separate"/>
          </w:r>
          <w:r>
            <w:rPr>
              <w:rStyle w:val="44"/>
            </w:rPr>
            <w:t xml:space="preserve">3.5 </w:t>
          </w:r>
          <w:r>
            <w:rPr>
              <w:rFonts w:asciiTheme="minorHAnsi" w:hAnsiTheme="minorHAnsi" w:eastAsiaTheme="minorEastAsia" w:cstheme="minorBidi"/>
              <w:sz w:val="22"/>
              <w:szCs w:val="22"/>
            </w:rPr>
            <w:tab/>
          </w:r>
          <w:r>
            <w:rPr>
              <w:rStyle w:val="44"/>
            </w:rPr>
            <w:t>Estimated Project Budget</w:t>
          </w:r>
          <w:r>
            <w:tab/>
          </w:r>
          <w:r>
            <w:fldChar w:fldCharType="begin"/>
          </w:r>
          <w:r>
            <w:instrText xml:space="preserve"> PAGEREF _Toc179904044 \h </w:instrText>
          </w:r>
          <w:r>
            <w:fldChar w:fldCharType="separate"/>
          </w:r>
          <w:r>
            <w:t>10</w:t>
          </w:r>
          <w:r>
            <w:fldChar w:fldCharType="end"/>
          </w:r>
          <w:r>
            <w:fldChar w:fldCharType="end"/>
          </w:r>
        </w:p>
        <w:p w14:paraId="7DAADB1F">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"_Toc179904045" </w:instrText>
          </w:r>
          <w:r>
            <w:fldChar w:fldCharType="separate"/>
          </w:r>
          <w:r>
            <w:rPr>
              <w:rStyle w:val="44"/>
            </w:rPr>
            <w:t>4.</w:t>
          </w:r>
          <w:r>
            <w:rPr>
              <w:rFonts w:asciiTheme="minorHAnsi" w:hAnsiTheme="minorHAnsi" w:eastAsiaTheme="minorEastAsia" w:cstheme="minorBidi"/>
              <w:b w:val="0"/>
              <w:bCs w:val="0"/>
              <w:sz w:val="22"/>
              <w:szCs w:val="22"/>
            </w:rPr>
            <w:tab/>
          </w:r>
          <w:r>
            <w:rPr>
              <w:rStyle w:val="44"/>
            </w:rPr>
            <w:t>PROJECT ALTERNATIVES</w:t>
          </w:r>
          <w:r>
            <w:tab/>
          </w:r>
          <w:r>
            <w:fldChar w:fldCharType="begin"/>
          </w:r>
          <w:r>
            <w:instrText xml:space="preserve"> PAGEREF _Toc179904045 \h </w:instrText>
          </w:r>
          <w:r>
            <w:fldChar w:fldCharType="separate"/>
          </w:r>
          <w:r>
            <w:t>12</w:t>
          </w:r>
          <w:r>
            <w:fldChar w:fldCharType="end"/>
          </w:r>
          <w:r>
            <w:fldChar w:fldCharType="end"/>
          </w:r>
        </w:p>
        <w:p w14:paraId="1EA527A7">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"_Toc179904046" </w:instrText>
          </w:r>
          <w:r>
            <w:fldChar w:fldCharType="separate"/>
          </w:r>
          <w:r>
            <w:rPr>
              <w:rStyle w:val="44"/>
            </w:rPr>
            <w:t xml:space="preserve">4.1 </w:t>
          </w:r>
          <w:r>
            <w:rPr>
              <w:rFonts w:asciiTheme="minorHAnsi" w:hAnsiTheme="minorHAnsi" w:eastAsiaTheme="minorEastAsia" w:cstheme="minorBidi"/>
              <w:sz w:val="22"/>
              <w:szCs w:val="22"/>
            </w:rPr>
            <w:tab/>
          </w:r>
          <w:r>
            <w:rPr>
              <w:rStyle w:val="44"/>
            </w:rPr>
            <w:t>The “no project” alternative</w:t>
          </w:r>
          <w:r>
            <w:tab/>
          </w:r>
          <w:r>
            <w:fldChar w:fldCharType="begin"/>
          </w:r>
          <w:r>
            <w:instrText xml:space="preserve"> PAGEREF _Toc179904046 \h </w:instrText>
          </w:r>
          <w:r>
            <w:fldChar w:fldCharType="separate"/>
          </w:r>
          <w:r>
            <w:t>12</w:t>
          </w:r>
          <w:r>
            <w:fldChar w:fldCharType="end"/>
          </w:r>
          <w:r>
            <w:fldChar w:fldCharType="end"/>
          </w:r>
        </w:p>
        <w:p w14:paraId="40EF0104">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"_Toc179904047" </w:instrText>
          </w:r>
          <w:r>
            <w:fldChar w:fldCharType="separate"/>
          </w:r>
          <w:r>
            <w:rPr>
              <w:rStyle w:val="44"/>
            </w:rPr>
            <w:t xml:space="preserve">4.2 </w:t>
          </w:r>
          <w:r>
            <w:rPr>
              <w:rFonts w:asciiTheme="minorHAnsi" w:hAnsiTheme="minorHAnsi" w:eastAsiaTheme="minorEastAsia" w:cstheme="minorBidi"/>
              <w:sz w:val="22"/>
              <w:szCs w:val="22"/>
            </w:rPr>
            <w:tab/>
          </w:r>
          <w:r>
            <w:rPr>
              <w:rStyle w:val="44"/>
            </w:rPr>
            <w:t>The ‘yes’ project alternative</w:t>
          </w:r>
          <w:r>
            <w:tab/>
          </w:r>
          <w:r>
            <w:fldChar w:fldCharType="begin"/>
          </w:r>
          <w:r>
            <w:instrText xml:space="preserve"> PAGEREF _Toc179904047 \h </w:instrText>
          </w:r>
          <w:r>
            <w:fldChar w:fldCharType="separate"/>
          </w:r>
          <w:r>
            <w:t>12</w:t>
          </w:r>
          <w:r>
            <w:fldChar w:fldCharType="end"/>
          </w:r>
          <w:r>
            <w:fldChar w:fldCharType="end"/>
          </w:r>
        </w:p>
        <w:p w14:paraId="2C06DE01">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"_Toc179904048" </w:instrText>
          </w:r>
          <w:r>
            <w:fldChar w:fldCharType="separate"/>
          </w:r>
          <w:r>
            <w:rPr>
              <w:rStyle w:val="44"/>
            </w:rPr>
            <w:t xml:space="preserve">4.3 </w:t>
          </w:r>
          <w:r>
            <w:rPr>
              <w:rFonts w:asciiTheme="minorHAnsi" w:hAnsiTheme="minorHAnsi" w:eastAsiaTheme="minorEastAsia" w:cstheme="minorBidi"/>
              <w:sz w:val="22"/>
              <w:szCs w:val="22"/>
            </w:rPr>
            <w:tab/>
          </w:r>
          <w:r>
            <w:rPr>
              <w:rStyle w:val="44"/>
            </w:rPr>
            <w:t>Alternative FSTP Location</w:t>
          </w:r>
          <w:r>
            <w:tab/>
          </w:r>
          <w:r>
            <w:fldChar w:fldCharType="begin"/>
          </w:r>
          <w:r>
            <w:instrText xml:space="preserve"> PAGEREF _Toc179904048 \h </w:instrText>
          </w:r>
          <w:r>
            <w:fldChar w:fldCharType="separate"/>
          </w:r>
          <w:r>
            <w:t>13</w:t>
          </w:r>
          <w:r>
            <w:fldChar w:fldCharType="end"/>
          </w:r>
          <w:r>
            <w:fldChar w:fldCharType="end"/>
          </w:r>
        </w:p>
        <w:p w14:paraId="1E7FA741">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"_Toc179904049" </w:instrText>
          </w:r>
          <w:r>
            <w:fldChar w:fldCharType="separate"/>
          </w:r>
          <w:r>
            <w:rPr>
              <w:rStyle w:val="44"/>
            </w:rPr>
            <w:t xml:space="preserve">4.4 </w:t>
          </w:r>
          <w:r>
            <w:rPr>
              <w:rFonts w:asciiTheme="minorHAnsi" w:hAnsiTheme="minorHAnsi" w:eastAsiaTheme="minorEastAsia" w:cstheme="minorBidi"/>
              <w:sz w:val="22"/>
              <w:szCs w:val="22"/>
            </w:rPr>
            <w:tab/>
          </w:r>
          <w:r>
            <w:rPr>
              <w:rStyle w:val="44"/>
            </w:rPr>
            <w:t>Alternative Sources for Construction Materials</w:t>
          </w:r>
          <w:r>
            <w:tab/>
          </w:r>
          <w:r>
            <w:fldChar w:fldCharType="begin"/>
          </w:r>
          <w:r>
            <w:instrText xml:space="preserve"> PAGEREF _Toc179904049 \h </w:instrText>
          </w:r>
          <w:r>
            <w:fldChar w:fldCharType="separate"/>
          </w:r>
          <w:r>
            <w:t>13</w:t>
          </w:r>
          <w:r>
            <w:fldChar w:fldCharType="end"/>
          </w:r>
          <w:r>
            <w:fldChar w:fldCharType="end"/>
          </w:r>
        </w:p>
        <w:p w14:paraId="224028C1">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"_Toc179904050" </w:instrText>
          </w:r>
          <w:r>
            <w:fldChar w:fldCharType="separate"/>
          </w:r>
          <w:r>
            <w:rPr>
              <w:rStyle w:val="44"/>
            </w:rPr>
            <w:t xml:space="preserve">4.5 </w:t>
          </w:r>
          <w:r>
            <w:rPr>
              <w:rFonts w:asciiTheme="minorHAnsi" w:hAnsiTheme="minorHAnsi" w:eastAsiaTheme="minorEastAsia" w:cstheme="minorBidi"/>
              <w:sz w:val="22"/>
              <w:szCs w:val="22"/>
            </w:rPr>
            <w:tab/>
          </w:r>
          <w:r>
            <w:rPr>
              <w:rStyle w:val="44"/>
            </w:rPr>
            <w:t>Technology Alternatives</w:t>
          </w:r>
          <w:r>
            <w:tab/>
          </w:r>
          <w:r>
            <w:fldChar w:fldCharType="begin"/>
          </w:r>
          <w:r>
            <w:instrText xml:space="preserve"> PAGEREF _Toc179904050 \h </w:instrText>
          </w:r>
          <w:r>
            <w:fldChar w:fldCharType="separate"/>
          </w:r>
          <w:r>
            <w:t>13</w:t>
          </w:r>
          <w:r>
            <w:fldChar w:fldCharType="end"/>
          </w:r>
          <w:r>
            <w:fldChar w:fldCharType="end"/>
          </w:r>
        </w:p>
        <w:p w14:paraId="12683A2D">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"_Toc179904051" </w:instrText>
          </w:r>
          <w:r>
            <w:fldChar w:fldCharType="separate"/>
          </w:r>
          <w:r>
            <w:rPr>
              <w:rStyle w:val="44"/>
            </w:rPr>
            <w:t xml:space="preserve">5. </w:t>
          </w:r>
          <w:r>
            <w:rPr>
              <w:rFonts w:asciiTheme="minorHAnsi" w:hAnsiTheme="minorHAnsi" w:eastAsiaTheme="minorEastAsia" w:cstheme="minorBidi"/>
              <w:b w:val="0"/>
              <w:bCs w:val="0"/>
              <w:sz w:val="22"/>
              <w:szCs w:val="22"/>
            </w:rPr>
            <w:tab/>
          </w:r>
          <w:r>
            <w:rPr>
              <w:rStyle w:val="44"/>
            </w:rPr>
            <w:t>SOCIO-ECONOMIC AND ENVIRONMENTAL BASELINE INFORMATION</w:t>
          </w:r>
          <w:r>
            <w:tab/>
          </w:r>
          <w:r>
            <w:fldChar w:fldCharType="begin"/>
          </w:r>
          <w:r>
            <w:instrText xml:space="preserve"> PAGEREF _Toc179904051 \h </w:instrText>
          </w:r>
          <w:r>
            <w:fldChar w:fldCharType="separate"/>
          </w:r>
          <w:r>
            <w:t>14</w:t>
          </w:r>
          <w:r>
            <w:fldChar w:fldCharType="end"/>
          </w:r>
          <w:r>
            <w:fldChar w:fldCharType="end"/>
          </w:r>
        </w:p>
        <w:p w14:paraId="438C7D74">
          <w:pPr>
            <w:pStyle w:val="93"/>
            <w:tabs>
              <w:tab w:val="left" w:pos="2050"/>
              <w:tab w:val="right" w:leader="dot" w:pos="9016"/>
            </w:tabs>
            <w:rPr>
              <w:rFonts w:asciiTheme="minorHAnsi" w:hAnsiTheme="minorHAnsi" w:eastAsiaTheme="minorEastAsia" w:cstheme="minorBidi"/>
              <w:sz w:val="22"/>
              <w:szCs w:val="22"/>
            </w:rPr>
          </w:pPr>
          <w:r>
            <w:fldChar w:fldCharType="begin"/>
          </w:r>
          <w:r>
            <w:instrText xml:space="preserve"> HYPERLINK \l "_Toc179904052" </w:instrText>
          </w:r>
          <w:r>
            <w:fldChar w:fldCharType="separate"/>
          </w:r>
          <w:r>
            <w:rPr>
              <w:rStyle w:val="44"/>
            </w:rPr>
            <w:t xml:space="preserve">5.1  </w:t>
          </w:r>
          <w:r>
            <w:rPr>
              <w:rFonts w:asciiTheme="minorHAnsi" w:hAnsiTheme="minorHAnsi" w:eastAsiaTheme="minorEastAsia" w:cstheme="minorBidi"/>
              <w:sz w:val="22"/>
              <w:szCs w:val="22"/>
            </w:rPr>
            <w:tab/>
          </w:r>
          <w:r>
            <w:rPr>
              <w:rStyle w:val="44"/>
            </w:rPr>
            <w:t>Biophysical Environmental Baseline</w:t>
          </w:r>
          <w:r>
            <w:tab/>
          </w:r>
          <w:r>
            <w:fldChar w:fldCharType="begin"/>
          </w:r>
          <w:r>
            <w:instrText xml:space="preserve"> PAGEREF _Toc179904052 \h </w:instrText>
          </w:r>
          <w:r>
            <w:fldChar w:fldCharType="separate"/>
          </w:r>
          <w:r>
            <w:t>14</w:t>
          </w:r>
          <w:r>
            <w:fldChar w:fldCharType="end"/>
          </w:r>
          <w:r>
            <w:fldChar w:fldCharType="end"/>
          </w:r>
        </w:p>
        <w:p w14:paraId="7FB5B250">
          <w:pPr>
            <w:pStyle w:val="94"/>
            <w:tabs>
              <w:tab w:val="left" w:pos="1487"/>
              <w:tab w:val="right" w:leader="dot" w:pos="9016"/>
            </w:tabs>
            <w:rPr>
              <w:rFonts w:asciiTheme="minorHAnsi" w:hAnsiTheme="minorHAnsi" w:eastAsiaTheme="minorEastAsia"/>
            </w:rPr>
          </w:pPr>
          <w:r>
            <w:fldChar w:fldCharType="begin"/>
          </w:r>
          <w:r>
            <w:instrText xml:space="preserve"> HYPERLINK \l "_Toc179904053" </w:instrText>
          </w:r>
          <w:r>
            <w:fldChar w:fldCharType="separate"/>
          </w:r>
          <w:r>
            <w:rPr>
              <w:rStyle w:val="44"/>
              <w:lang w:eastAsia="ja-JP"/>
            </w:rPr>
            <w:t xml:space="preserve">5.1.1 </w:t>
          </w:r>
          <w:r>
            <w:rPr>
              <w:rFonts w:asciiTheme="minorHAnsi" w:hAnsiTheme="minorHAnsi" w:eastAsiaTheme="minorEastAsia"/>
            </w:rPr>
            <w:tab/>
          </w:r>
          <w:r>
            <w:rPr>
              <w:rStyle w:val="44"/>
              <w:lang w:eastAsia="ja-JP"/>
            </w:rPr>
            <w:t>Topography</w:t>
          </w:r>
          <w:r>
            <w:tab/>
          </w:r>
          <w:r>
            <w:fldChar w:fldCharType="begin"/>
          </w:r>
          <w:r>
            <w:instrText xml:space="preserve"> PAGEREF _Toc179904053 \h </w:instrText>
          </w:r>
          <w:r>
            <w:fldChar w:fldCharType="separate"/>
          </w:r>
          <w:r>
            <w:t>14</w:t>
          </w:r>
          <w:r>
            <w:fldChar w:fldCharType="end"/>
          </w:r>
          <w:r>
            <w:fldChar w:fldCharType="end"/>
          </w:r>
        </w:p>
        <w:p w14:paraId="7886ABD5">
          <w:pPr>
            <w:pStyle w:val="94"/>
            <w:tabs>
              <w:tab w:val="left" w:pos="1487"/>
              <w:tab w:val="right" w:leader="dot" w:pos="9016"/>
            </w:tabs>
            <w:rPr>
              <w:rFonts w:asciiTheme="minorHAnsi" w:hAnsiTheme="minorHAnsi" w:eastAsiaTheme="minorEastAsia"/>
            </w:rPr>
          </w:pPr>
          <w:r>
            <w:fldChar w:fldCharType="begin"/>
          </w:r>
          <w:r>
            <w:instrText xml:space="preserve"> HYPERLINK \l "_Toc179904054" </w:instrText>
          </w:r>
          <w:r>
            <w:fldChar w:fldCharType="separate"/>
          </w:r>
          <w:r>
            <w:rPr>
              <w:rStyle w:val="44"/>
              <w:lang w:eastAsia="ja-JP"/>
            </w:rPr>
            <w:t xml:space="preserve">5.1.2 </w:t>
          </w:r>
          <w:r>
            <w:rPr>
              <w:rFonts w:asciiTheme="minorHAnsi" w:hAnsiTheme="minorHAnsi" w:eastAsiaTheme="minorEastAsia"/>
            </w:rPr>
            <w:tab/>
          </w:r>
          <w:r>
            <w:rPr>
              <w:rStyle w:val="44"/>
              <w:lang w:eastAsia="ja-JP"/>
            </w:rPr>
            <w:t>Climate</w:t>
          </w:r>
          <w:r>
            <w:tab/>
          </w:r>
          <w:r>
            <w:fldChar w:fldCharType="begin"/>
          </w:r>
          <w:r>
            <w:instrText xml:space="preserve"> PAGEREF _Toc179904054 \h </w:instrText>
          </w:r>
          <w:r>
            <w:fldChar w:fldCharType="separate"/>
          </w:r>
          <w:r>
            <w:t>14</w:t>
          </w:r>
          <w:r>
            <w:fldChar w:fldCharType="end"/>
          </w:r>
          <w:r>
            <w:fldChar w:fldCharType="end"/>
          </w:r>
        </w:p>
        <w:p w14:paraId="617B057C">
          <w:pPr>
            <w:pStyle w:val="94"/>
            <w:tabs>
              <w:tab w:val="left" w:pos="1487"/>
              <w:tab w:val="right" w:leader="dot" w:pos="9016"/>
            </w:tabs>
            <w:rPr>
              <w:rFonts w:asciiTheme="minorHAnsi" w:hAnsiTheme="minorHAnsi" w:eastAsiaTheme="minorEastAsia"/>
            </w:rPr>
          </w:pPr>
          <w:r>
            <w:fldChar w:fldCharType="begin"/>
          </w:r>
          <w:r>
            <w:instrText xml:space="preserve"> HYPERLINK \l "_Toc179904055" </w:instrText>
          </w:r>
          <w:r>
            <w:fldChar w:fldCharType="separate"/>
          </w:r>
          <w:r>
            <w:rPr>
              <w:rStyle w:val="44"/>
              <w:lang w:eastAsia="ja-JP"/>
            </w:rPr>
            <w:t xml:space="preserve">5.1.3 </w:t>
          </w:r>
          <w:r>
            <w:rPr>
              <w:rFonts w:asciiTheme="minorHAnsi" w:hAnsiTheme="minorHAnsi" w:eastAsiaTheme="minorEastAsia"/>
            </w:rPr>
            <w:tab/>
          </w:r>
          <w:r>
            <w:rPr>
              <w:rStyle w:val="44"/>
              <w:lang w:val="en-GB" w:eastAsia="ja-JP"/>
            </w:rPr>
            <w:t>Geology and Soils</w:t>
          </w:r>
          <w:r>
            <w:tab/>
          </w:r>
          <w:r>
            <w:fldChar w:fldCharType="begin"/>
          </w:r>
          <w:r>
            <w:instrText xml:space="preserve"> PAGEREF _Toc179904055 \h </w:instrText>
          </w:r>
          <w:r>
            <w:fldChar w:fldCharType="separate"/>
          </w:r>
          <w:r>
            <w:t>14</w:t>
          </w:r>
          <w:r>
            <w:fldChar w:fldCharType="end"/>
          </w:r>
          <w:r>
            <w:fldChar w:fldCharType="end"/>
          </w:r>
        </w:p>
        <w:p w14:paraId="478E50AB">
          <w:pPr>
            <w:pStyle w:val="94"/>
            <w:tabs>
              <w:tab w:val="left" w:pos="1487"/>
              <w:tab w:val="right" w:leader="dot" w:pos="9016"/>
            </w:tabs>
            <w:rPr>
              <w:rFonts w:asciiTheme="minorHAnsi" w:hAnsiTheme="minorHAnsi" w:eastAsiaTheme="minorEastAsia"/>
            </w:rPr>
          </w:pPr>
          <w:r>
            <w:fldChar w:fldCharType="begin"/>
          </w:r>
          <w:r>
            <w:instrText xml:space="preserve"> HYPERLINK \l "_Toc179904056" </w:instrText>
          </w:r>
          <w:r>
            <w:fldChar w:fldCharType="separate"/>
          </w:r>
          <w:r>
            <w:rPr>
              <w:rStyle w:val="44"/>
              <w:lang w:eastAsia="ja-JP"/>
            </w:rPr>
            <w:t xml:space="preserve">5.1.4 </w:t>
          </w:r>
          <w:r>
            <w:rPr>
              <w:rFonts w:asciiTheme="minorHAnsi" w:hAnsiTheme="minorHAnsi" w:eastAsiaTheme="minorEastAsia"/>
            </w:rPr>
            <w:tab/>
          </w:r>
          <w:r>
            <w:rPr>
              <w:rStyle w:val="44"/>
              <w:lang w:eastAsia="ja-JP"/>
            </w:rPr>
            <w:t>Flora</w:t>
          </w:r>
          <w:r>
            <w:tab/>
          </w:r>
          <w:r>
            <w:fldChar w:fldCharType="begin"/>
          </w:r>
          <w:r>
            <w:instrText xml:space="preserve"> PAGEREF _Toc179904056 \h </w:instrText>
          </w:r>
          <w:r>
            <w:fldChar w:fldCharType="separate"/>
          </w:r>
          <w:r>
            <w:t>14</w:t>
          </w:r>
          <w:r>
            <w:fldChar w:fldCharType="end"/>
          </w:r>
          <w:r>
            <w:fldChar w:fldCharType="end"/>
          </w:r>
        </w:p>
        <w:p w14:paraId="39B99C2B">
          <w:pPr>
            <w:pStyle w:val="94"/>
            <w:tabs>
              <w:tab w:val="left" w:pos="1487"/>
              <w:tab w:val="right" w:leader="dot" w:pos="9016"/>
            </w:tabs>
            <w:rPr>
              <w:rFonts w:asciiTheme="minorHAnsi" w:hAnsiTheme="minorHAnsi" w:eastAsiaTheme="minorEastAsia"/>
            </w:rPr>
          </w:pPr>
          <w:r>
            <w:fldChar w:fldCharType="begin"/>
          </w:r>
          <w:r>
            <w:instrText xml:space="preserve"> HYPERLINK \l "_Toc179904057" </w:instrText>
          </w:r>
          <w:r>
            <w:fldChar w:fldCharType="separate"/>
          </w:r>
          <w:r>
            <w:rPr>
              <w:rStyle w:val="44"/>
              <w:lang w:eastAsia="ja-JP"/>
            </w:rPr>
            <w:t>5.1.5</w:t>
          </w:r>
          <w:r>
            <w:rPr>
              <w:rFonts w:asciiTheme="minorHAnsi" w:hAnsiTheme="minorHAnsi" w:eastAsiaTheme="minorEastAsia"/>
            </w:rPr>
            <w:tab/>
          </w:r>
          <w:r>
            <w:rPr>
              <w:rStyle w:val="44"/>
              <w:lang w:eastAsia="ja-JP"/>
            </w:rPr>
            <w:t xml:space="preserve"> Fauna</w:t>
          </w:r>
          <w:r>
            <w:tab/>
          </w:r>
          <w:r>
            <w:fldChar w:fldCharType="begin"/>
          </w:r>
          <w:r>
            <w:instrText xml:space="preserve"> PAGEREF _Toc179904057 \h </w:instrText>
          </w:r>
          <w:r>
            <w:fldChar w:fldCharType="separate"/>
          </w:r>
          <w:r>
            <w:t>15</w:t>
          </w:r>
          <w:r>
            <w:fldChar w:fldCharType="end"/>
          </w:r>
          <w:r>
            <w:fldChar w:fldCharType="end"/>
          </w:r>
        </w:p>
        <w:p w14:paraId="20A8F49D">
          <w:pPr>
            <w:pStyle w:val="94"/>
            <w:tabs>
              <w:tab w:val="left" w:pos="1487"/>
              <w:tab w:val="right" w:leader="dot" w:pos="9016"/>
            </w:tabs>
            <w:rPr>
              <w:rFonts w:asciiTheme="minorHAnsi" w:hAnsiTheme="minorHAnsi" w:eastAsiaTheme="minorEastAsia"/>
            </w:rPr>
          </w:pPr>
          <w:r>
            <w:fldChar w:fldCharType="begin"/>
          </w:r>
          <w:r>
            <w:instrText xml:space="preserve"> HYPERLINK \l "_Toc179904058" </w:instrText>
          </w:r>
          <w:r>
            <w:fldChar w:fldCharType="separate"/>
          </w:r>
          <w:r>
            <w:rPr>
              <w:rStyle w:val="44"/>
              <w:lang w:eastAsia="ja-JP"/>
            </w:rPr>
            <w:t xml:space="preserve">5.1.6 </w:t>
          </w:r>
          <w:r>
            <w:rPr>
              <w:rFonts w:asciiTheme="minorHAnsi" w:hAnsiTheme="minorHAnsi" w:eastAsiaTheme="minorEastAsia"/>
            </w:rPr>
            <w:tab/>
          </w:r>
          <w:r>
            <w:rPr>
              <w:rStyle w:val="44"/>
              <w:lang w:eastAsia="ja-JP"/>
            </w:rPr>
            <w:t>Ecological Conditions</w:t>
          </w:r>
          <w:r>
            <w:tab/>
          </w:r>
          <w:r>
            <w:fldChar w:fldCharType="begin"/>
          </w:r>
          <w:r>
            <w:instrText xml:space="preserve"> PAGEREF _Toc179904058 \h </w:instrText>
          </w:r>
          <w:r>
            <w:fldChar w:fldCharType="separate"/>
          </w:r>
          <w:r>
            <w:t>16</w:t>
          </w:r>
          <w:r>
            <w:fldChar w:fldCharType="end"/>
          </w:r>
          <w:r>
            <w:fldChar w:fldCharType="end"/>
          </w:r>
        </w:p>
        <w:p w14:paraId="0CBD0075">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"_Toc179904059" </w:instrText>
          </w:r>
          <w:r>
            <w:fldChar w:fldCharType="separate"/>
          </w:r>
          <w:r>
            <w:rPr>
              <w:rStyle w:val="44"/>
            </w:rPr>
            <w:t xml:space="preserve">5.2 </w:t>
          </w:r>
          <w:r>
            <w:rPr>
              <w:rFonts w:asciiTheme="minorHAnsi" w:hAnsiTheme="minorHAnsi" w:eastAsiaTheme="minorEastAsia" w:cstheme="minorBidi"/>
              <w:sz w:val="22"/>
              <w:szCs w:val="22"/>
            </w:rPr>
            <w:tab/>
          </w:r>
          <w:r>
            <w:rPr>
              <w:rStyle w:val="44"/>
            </w:rPr>
            <w:t>Socio-Economic Baseline</w:t>
          </w:r>
          <w:r>
            <w:tab/>
          </w:r>
          <w:r>
            <w:fldChar w:fldCharType="begin"/>
          </w:r>
          <w:r>
            <w:instrText xml:space="preserve"> PAGEREF _Toc179904059 \h </w:instrText>
          </w:r>
          <w:r>
            <w:fldChar w:fldCharType="separate"/>
          </w:r>
          <w:r>
            <w:t>16</w:t>
          </w:r>
          <w:r>
            <w:fldChar w:fldCharType="end"/>
          </w:r>
          <w:r>
            <w:fldChar w:fldCharType="end"/>
          </w:r>
        </w:p>
        <w:p w14:paraId="49C73EAD">
          <w:pPr>
            <w:pStyle w:val="94"/>
            <w:tabs>
              <w:tab w:val="left" w:pos="1487"/>
              <w:tab w:val="right" w:leader="dot" w:pos="9016"/>
            </w:tabs>
            <w:rPr>
              <w:rFonts w:asciiTheme="minorHAnsi" w:hAnsiTheme="minorHAnsi" w:eastAsiaTheme="minorEastAsia"/>
            </w:rPr>
          </w:pPr>
          <w:r>
            <w:fldChar w:fldCharType="begin"/>
          </w:r>
          <w:r>
            <w:instrText xml:space="preserve"> HYPERLINK \l "_Toc179904060" </w:instrText>
          </w:r>
          <w:r>
            <w:fldChar w:fldCharType="separate"/>
          </w:r>
          <w:r>
            <w:rPr>
              <w:rStyle w:val="44"/>
              <w:lang w:eastAsia="ja-JP"/>
            </w:rPr>
            <w:t xml:space="preserve">5.2.1 </w:t>
          </w:r>
          <w:r>
            <w:rPr>
              <w:rFonts w:asciiTheme="minorHAnsi" w:hAnsiTheme="minorHAnsi" w:eastAsiaTheme="minorEastAsia"/>
            </w:rPr>
            <w:tab/>
          </w:r>
          <w:r>
            <w:rPr>
              <w:rStyle w:val="44"/>
              <w:lang w:eastAsia="ja-JP"/>
            </w:rPr>
            <w:t>Administrative and Political Units</w:t>
          </w:r>
          <w:r>
            <w:tab/>
          </w:r>
          <w:r>
            <w:fldChar w:fldCharType="begin"/>
          </w:r>
          <w:r>
            <w:instrText xml:space="preserve"> PAGEREF _Toc179904060 \h </w:instrText>
          </w:r>
          <w:r>
            <w:fldChar w:fldCharType="separate"/>
          </w:r>
          <w:r>
            <w:t>16</w:t>
          </w:r>
          <w:r>
            <w:fldChar w:fldCharType="end"/>
          </w:r>
          <w:r>
            <w:fldChar w:fldCharType="end"/>
          </w:r>
        </w:p>
        <w:p w14:paraId="7BBC5932">
          <w:pPr>
            <w:pStyle w:val="94"/>
            <w:tabs>
              <w:tab w:val="left" w:pos="1487"/>
              <w:tab w:val="right" w:leader="dot" w:pos="9016"/>
            </w:tabs>
            <w:rPr>
              <w:rFonts w:asciiTheme="minorHAnsi" w:hAnsiTheme="minorHAnsi" w:eastAsiaTheme="minorEastAsia"/>
            </w:rPr>
          </w:pPr>
          <w:r>
            <w:fldChar w:fldCharType="begin"/>
          </w:r>
          <w:r>
            <w:instrText xml:space="preserve"> HYPERLINK \l "_Toc179904061" </w:instrText>
          </w:r>
          <w:r>
            <w:fldChar w:fldCharType="separate"/>
          </w:r>
          <w:r>
            <w:rPr>
              <w:rStyle w:val="44"/>
              <w:lang w:eastAsia="ja-JP"/>
            </w:rPr>
            <w:t xml:space="preserve">5.2.2 </w:t>
          </w:r>
          <w:r>
            <w:rPr>
              <w:rFonts w:asciiTheme="minorHAnsi" w:hAnsiTheme="minorHAnsi" w:eastAsiaTheme="minorEastAsia"/>
            </w:rPr>
            <w:tab/>
          </w:r>
          <w:r>
            <w:rPr>
              <w:rStyle w:val="44"/>
              <w:lang w:eastAsia="ja-JP"/>
            </w:rPr>
            <w:t>Demographics</w:t>
          </w:r>
          <w:r>
            <w:tab/>
          </w:r>
          <w:r>
            <w:fldChar w:fldCharType="begin"/>
          </w:r>
          <w:r>
            <w:instrText xml:space="preserve"> PAGEREF _Toc179904061 \h </w:instrText>
          </w:r>
          <w:r>
            <w:fldChar w:fldCharType="separate"/>
          </w:r>
          <w:r>
            <w:t>18</w:t>
          </w:r>
          <w:r>
            <w:fldChar w:fldCharType="end"/>
          </w:r>
          <w:r>
            <w:fldChar w:fldCharType="end"/>
          </w:r>
        </w:p>
        <w:p w14:paraId="03B6D804">
          <w:pPr>
            <w:pStyle w:val="94"/>
            <w:tabs>
              <w:tab w:val="left" w:pos="1487"/>
              <w:tab w:val="right" w:leader="dot" w:pos="9016"/>
            </w:tabs>
            <w:rPr>
              <w:rFonts w:asciiTheme="minorHAnsi" w:hAnsiTheme="minorHAnsi" w:eastAsiaTheme="minorEastAsia"/>
            </w:rPr>
          </w:pPr>
          <w:r>
            <w:fldChar w:fldCharType="begin"/>
          </w:r>
          <w:r>
            <w:instrText xml:space="preserve"> HYPERLINK \l "_Toc179904062" </w:instrText>
          </w:r>
          <w:r>
            <w:fldChar w:fldCharType="separate"/>
          </w:r>
          <w:r>
            <w:rPr>
              <w:rStyle w:val="44"/>
            </w:rPr>
            <w:t xml:space="preserve">5.2.3 </w:t>
          </w:r>
          <w:r>
            <w:rPr>
              <w:rFonts w:asciiTheme="minorHAnsi" w:hAnsiTheme="minorHAnsi" w:eastAsiaTheme="minorEastAsia"/>
            </w:rPr>
            <w:tab/>
          </w:r>
          <w:r>
            <w:rPr>
              <w:rStyle w:val="44"/>
            </w:rPr>
            <w:t>Literacy Levels</w:t>
          </w:r>
          <w:r>
            <w:tab/>
          </w:r>
          <w:r>
            <w:fldChar w:fldCharType="begin"/>
          </w:r>
          <w:r>
            <w:instrText xml:space="preserve"> PAGEREF _Toc179904062 \h </w:instrText>
          </w:r>
          <w:r>
            <w:fldChar w:fldCharType="separate"/>
          </w:r>
          <w:r>
            <w:t>19</w:t>
          </w:r>
          <w:r>
            <w:fldChar w:fldCharType="end"/>
          </w:r>
          <w:r>
            <w:fldChar w:fldCharType="end"/>
          </w:r>
        </w:p>
        <w:p w14:paraId="1889C6E1">
          <w:pPr>
            <w:pStyle w:val="94"/>
            <w:tabs>
              <w:tab w:val="left" w:pos="1487"/>
              <w:tab w:val="right" w:leader="dot" w:pos="9016"/>
            </w:tabs>
            <w:rPr>
              <w:rFonts w:asciiTheme="minorHAnsi" w:hAnsiTheme="minorHAnsi" w:eastAsiaTheme="minorEastAsia"/>
            </w:rPr>
          </w:pPr>
          <w:r>
            <w:fldChar w:fldCharType="begin"/>
          </w:r>
          <w:r>
            <w:instrText xml:space="preserve"> HYPERLINK \l "_Toc179904063" </w:instrText>
          </w:r>
          <w:r>
            <w:fldChar w:fldCharType="separate"/>
          </w:r>
          <w:r>
            <w:rPr>
              <w:rStyle w:val="44"/>
            </w:rPr>
            <w:t xml:space="preserve">5.2.4 </w:t>
          </w:r>
          <w:r>
            <w:rPr>
              <w:rFonts w:asciiTheme="minorHAnsi" w:hAnsiTheme="minorHAnsi" w:eastAsiaTheme="minorEastAsia"/>
            </w:rPr>
            <w:tab/>
          </w:r>
          <w:r>
            <w:rPr>
              <w:rStyle w:val="44"/>
            </w:rPr>
            <w:t>Access to Health services</w:t>
          </w:r>
          <w:r>
            <w:tab/>
          </w:r>
          <w:r>
            <w:fldChar w:fldCharType="begin"/>
          </w:r>
          <w:r>
            <w:instrText xml:space="preserve"> PAGEREF _Toc179904063 \h </w:instrText>
          </w:r>
          <w:r>
            <w:fldChar w:fldCharType="separate"/>
          </w:r>
          <w:r>
            <w:t>20</w:t>
          </w:r>
          <w:r>
            <w:fldChar w:fldCharType="end"/>
          </w:r>
          <w:r>
            <w:fldChar w:fldCharType="end"/>
          </w:r>
        </w:p>
        <w:p w14:paraId="789F6CC4">
          <w:pPr>
            <w:pStyle w:val="94"/>
            <w:tabs>
              <w:tab w:val="left" w:pos="1487"/>
              <w:tab w:val="right" w:leader="dot" w:pos="9016"/>
            </w:tabs>
            <w:rPr>
              <w:rFonts w:asciiTheme="minorHAnsi" w:hAnsiTheme="minorHAnsi" w:eastAsiaTheme="minorEastAsia"/>
            </w:rPr>
          </w:pPr>
          <w:r>
            <w:fldChar w:fldCharType="begin"/>
          </w:r>
          <w:r>
            <w:instrText xml:space="preserve"> HYPERLINK \l "_Toc179904064" </w:instrText>
          </w:r>
          <w:r>
            <w:fldChar w:fldCharType="separate"/>
          </w:r>
          <w:r>
            <w:rPr>
              <w:rStyle w:val="44"/>
            </w:rPr>
            <w:t xml:space="preserve">5.2.5 </w:t>
          </w:r>
          <w:r>
            <w:rPr>
              <w:rFonts w:asciiTheme="minorHAnsi" w:hAnsiTheme="minorHAnsi" w:eastAsiaTheme="minorEastAsia"/>
            </w:rPr>
            <w:tab/>
          </w:r>
          <w:r>
            <w:rPr>
              <w:rStyle w:val="44"/>
            </w:rPr>
            <w:t>Transport</w:t>
          </w:r>
          <w:r>
            <w:tab/>
          </w:r>
          <w:r>
            <w:fldChar w:fldCharType="begin"/>
          </w:r>
          <w:r>
            <w:instrText xml:space="preserve"> PAGEREF _Toc179904064 \h </w:instrText>
          </w:r>
          <w:r>
            <w:fldChar w:fldCharType="separate"/>
          </w:r>
          <w:r>
            <w:t>21</w:t>
          </w:r>
          <w:r>
            <w:fldChar w:fldCharType="end"/>
          </w:r>
          <w:r>
            <w:fldChar w:fldCharType="end"/>
          </w:r>
        </w:p>
        <w:p w14:paraId="171CA2E7">
          <w:pPr>
            <w:pStyle w:val="94"/>
            <w:tabs>
              <w:tab w:val="left" w:pos="1487"/>
              <w:tab w:val="right" w:leader="dot" w:pos="9016"/>
            </w:tabs>
            <w:rPr>
              <w:rFonts w:asciiTheme="minorHAnsi" w:hAnsiTheme="minorHAnsi" w:eastAsiaTheme="minorEastAsia"/>
            </w:rPr>
          </w:pPr>
          <w:r>
            <w:fldChar w:fldCharType="begin"/>
          </w:r>
          <w:r>
            <w:instrText xml:space="preserve"> HYPERLINK \l "_Toc179904065" </w:instrText>
          </w:r>
          <w:r>
            <w:fldChar w:fldCharType="separate"/>
          </w:r>
          <w:r>
            <w:rPr>
              <w:rStyle w:val="44"/>
            </w:rPr>
            <w:t xml:space="preserve">5.2.6 </w:t>
          </w:r>
          <w:r>
            <w:rPr>
              <w:rFonts w:asciiTheme="minorHAnsi" w:hAnsiTheme="minorHAnsi" w:eastAsiaTheme="minorEastAsia"/>
            </w:rPr>
            <w:tab/>
          </w:r>
          <w:r>
            <w:rPr>
              <w:rStyle w:val="44"/>
            </w:rPr>
            <w:t>Sanitation</w:t>
          </w:r>
          <w:r>
            <w:tab/>
          </w:r>
          <w:r>
            <w:fldChar w:fldCharType="begin"/>
          </w:r>
          <w:r>
            <w:instrText xml:space="preserve"> PAGEREF _Toc179904065 \h </w:instrText>
          </w:r>
          <w:r>
            <w:fldChar w:fldCharType="separate"/>
          </w:r>
          <w:r>
            <w:t>21</w:t>
          </w:r>
          <w:r>
            <w:fldChar w:fldCharType="end"/>
          </w:r>
          <w:r>
            <w:fldChar w:fldCharType="end"/>
          </w:r>
        </w:p>
        <w:p w14:paraId="40A22999">
          <w:pPr>
            <w:pStyle w:val="94"/>
            <w:tabs>
              <w:tab w:val="left" w:pos="1487"/>
              <w:tab w:val="right" w:leader="dot" w:pos="9016"/>
            </w:tabs>
            <w:rPr>
              <w:rFonts w:asciiTheme="minorHAnsi" w:hAnsiTheme="minorHAnsi" w:eastAsiaTheme="minorEastAsia"/>
            </w:rPr>
          </w:pPr>
          <w:r>
            <w:fldChar w:fldCharType="begin"/>
          </w:r>
          <w:r>
            <w:instrText xml:space="preserve"> HYPERLINK \l "_Toc179904066" </w:instrText>
          </w:r>
          <w:r>
            <w:fldChar w:fldCharType="separate"/>
          </w:r>
          <w:r>
            <w:rPr>
              <w:rStyle w:val="44"/>
            </w:rPr>
            <w:t xml:space="preserve">5.2.7 </w:t>
          </w:r>
          <w:r>
            <w:rPr>
              <w:rFonts w:asciiTheme="minorHAnsi" w:hAnsiTheme="minorHAnsi" w:eastAsiaTheme="minorEastAsia"/>
            </w:rPr>
            <w:tab/>
          </w:r>
          <w:r>
            <w:rPr>
              <w:rStyle w:val="44"/>
            </w:rPr>
            <w:t>Water resources</w:t>
          </w:r>
          <w:r>
            <w:tab/>
          </w:r>
          <w:r>
            <w:fldChar w:fldCharType="begin"/>
          </w:r>
          <w:r>
            <w:instrText xml:space="preserve"> PAGEREF _Toc179904066 \h </w:instrText>
          </w:r>
          <w:r>
            <w:fldChar w:fldCharType="separate"/>
          </w:r>
          <w:r>
            <w:t>24</w:t>
          </w:r>
          <w:r>
            <w:fldChar w:fldCharType="end"/>
          </w:r>
          <w:r>
            <w:fldChar w:fldCharType="end"/>
          </w:r>
        </w:p>
        <w:p w14:paraId="28229678">
          <w:pPr>
            <w:pStyle w:val="94"/>
            <w:tabs>
              <w:tab w:val="left" w:pos="1487"/>
              <w:tab w:val="right" w:leader="dot" w:pos="9016"/>
            </w:tabs>
            <w:rPr>
              <w:rFonts w:asciiTheme="minorHAnsi" w:hAnsiTheme="minorHAnsi" w:eastAsiaTheme="minorEastAsia"/>
            </w:rPr>
          </w:pPr>
          <w:r>
            <w:fldChar w:fldCharType="begin"/>
          </w:r>
          <w:r>
            <w:instrText xml:space="preserve"> HYPERLINK \l "_Toc179904067" </w:instrText>
          </w:r>
          <w:r>
            <w:fldChar w:fldCharType="separate"/>
          </w:r>
          <w:r>
            <w:rPr>
              <w:rStyle w:val="44"/>
            </w:rPr>
            <w:t xml:space="preserve">5.2.8 </w:t>
          </w:r>
          <w:r>
            <w:rPr>
              <w:rFonts w:asciiTheme="minorHAnsi" w:hAnsiTheme="minorHAnsi" w:eastAsiaTheme="minorEastAsia"/>
            </w:rPr>
            <w:tab/>
          </w:r>
          <w:r>
            <w:rPr>
              <w:rStyle w:val="44"/>
            </w:rPr>
            <w:t>Land Use and Land Tenure</w:t>
          </w:r>
          <w:r>
            <w:tab/>
          </w:r>
          <w:r>
            <w:fldChar w:fldCharType="begin"/>
          </w:r>
          <w:r>
            <w:instrText xml:space="preserve"> PAGEREF _Toc179904067 \h </w:instrText>
          </w:r>
          <w:r>
            <w:fldChar w:fldCharType="separate"/>
          </w:r>
          <w:r>
            <w:t>25</w:t>
          </w:r>
          <w:r>
            <w:fldChar w:fldCharType="end"/>
          </w:r>
          <w:r>
            <w:fldChar w:fldCharType="end"/>
          </w:r>
        </w:p>
        <w:p w14:paraId="51F342CC">
          <w:pPr>
            <w:pStyle w:val="94"/>
            <w:tabs>
              <w:tab w:val="left" w:pos="1487"/>
              <w:tab w:val="right" w:leader="dot" w:pos="9016"/>
            </w:tabs>
            <w:rPr>
              <w:rFonts w:asciiTheme="minorHAnsi" w:hAnsiTheme="minorHAnsi" w:eastAsiaTheme="minorEastAsia"/>
            </w:rPr>
          </w:pPr>
          <w:r>
            <w:fldChar w:fldCharType="begin"/>
          </w:r>
          <w:r>
            <w:instrText xml:space="preserve"> HYPERLINK \l "_Toc179904068" </w:instrText>
          </w:r>
          <w:r>
            <w:fldChar w:fldCharType="separate"/>
          </w:r>
          <w:r>
            <w:rPr>
              <w:rStyle w:val="44"/>
            </w:rPr>
            <w:t xml:space="preserve">5.2.9 </w:t>
          </w:r>
          <w:r>
            <w:rPr>
              <w:rFonts w:asciiTheme="minorHAnsi" w:hAnsiTheme="minorHAnsi" w:eastAsiaTheme="minorEastAsia"/>
            </w:rPr>
            <w:tab/>
          </w:r>
          <w:r>
            <w:rPr>
              <w:rStyle w:val="44"/>
            </w:rPr>
            <w:t>Housing</w:t>
          </w:r>
          <w:r>
            <w:tab/>
          </w:r>
          <w:r>
            <w:fldChar w:fldCharType="begin"/>
          </w:r>
          <w:r>
            <w:instrText xml:space="preserve"> PAGEREF _Toc179904068 \h </w:instrText>
          </w:r>
          <w:r>
            <w:fldChar w:fldCharType="separate"/>
          </w:r>
          <w:r>
            <w:t>25</w:t>
          </w:r>
          <w:r>
            <w:fldChar w:fldCharType="end"/>
          </w:r>
          <w:r>
            <w:fldChar w:fldCharType="end"/>
          </w:r>
        </w:p>
        <w:p w14:paraId="7C5677B4">
          <w:pPr>
            <w:pStyle w:val="94"/>
            <w:tabs>
              <w:tab w:val="left" w:pos="1487"/>
              <w:tab w:val="right" w:leader="dot" w:pos="9016"/>
            </w:tabs>
            <w:rPr>
              <w:rFonts w:asciiTheme="minorHAnsi" w:hAnsiTheme="minorHAnsi" w:eastAsiaTheme="minorEastAsia"/>
            </w:rPr>
          </w:pPr>
          <w:r>
            <w:fldChar w:fldCharType="begin"/>
          </w:r>
          <w:r>
            <w:instrText xml:space="preserve"> HYPERLINK \l "_Toc179904069" </w:instrText>
          </w:r>
          <w:r>
            <w:fldChar w:fldCharType="separate"/>
          </w:r>
          <w:r>
            <w:rPr>
              <w:rStyle w:val="44"/>
              <w:lang w:val="en-GB" w:eastAsia="ja-JP"/>
            </w:rPr>
            <w:t xml:space="preserve">5.2.10 </w:t>
          </w:r>
          <w:r>
            <w:rPr>
              <w:rFonts w:asciiTheme="minorHAnsi" w:hAnsiTheme="minorHAnsi" w:eastAsiaTheme="minorEastAsia"/>
            </w:rPr>
            <w:tab/>
          </w:r>
          <w:r>
            <w:rPr>
              <w:rStyle w:val="44"/>
              <w:lang w:val="en-GB" w:eastAsia="ja-JP"/>
            </w:rPr>
            <w:t>Youth</w:t>
          </w:r>
          <w:r>
            <w:tab/>
          </w:r>
          <w:r>
            <w:fldChar w:fldCharType="begin"/>
          </w:r>
          <w:r>
            <w:instrText xml:space="preserve"> PAGEREF _Toc179904069 \h </w:instrText>
          </w:r>
          <w:r>
            <w:fldChar w:fldCharType="separate"/>
          </w:r>
          <w:r>
            <w:t>26</w:t>
          </w:r>
          <w:r>
            <w:fldChar w:fldCharType="end"/>
          </w:r>
          <w:r>
            <w:fldChar w:fldCharType="end"/>
          </w:r>
        </w:p>
        <w:p w14:paraId="1C3B2E4D">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"_Toc179904070" </w:instrText>
          </w:r>
          <w:r>
            <w:fldChar w:fldCharType="separate"/>
          </w:r>
          <w:r>
            <w:rPr>
              <w:rStyle w:val="44"/>
            </w:rPr>
            <w:t xml:space="preserve">5.3 </w:t>
          </w:r>
          <w:r>
            <w:rPr>
              <w:rFonts w:asciiTheme="minorHAnsi" w:hAnsiTheme="minorHAnsi" w:eastAsiaTheme="minorEastAsia" w:cstheme="minorBidi"/>
              <w:sz w:val="22"/>
              <w:szCs w:val="22"/>
            </w:rPr>
            <w:tab/>
          </w:r>
          <w:r>
            <w:rPr>
              <w:rStyle w:val="44"/>
            </w:rPr>
            <w:t>Cultural and archeological baseline</w:t>
          </w:r>
          <w:r>
            <w:tab/>
          </w:r>
          <w:r>
            <w:fldChar w:fldCharType="begin"/>
          </w:r>
          <w:r>
            <w:instrText xml:space="preserve"> PAGEREF _Toc179904070 \h </w:instrText>
          </w:r>
          <w:r>
            <w:fldChar w:fldCharType="separate"/>
          </w:r>
          <w:r>
            <w:t>26</w:t>
          </w:r>
          <w:r>
            <w:fldChar w:fldCharType="end"/>
          </w:r>
          <w:r>
            <w:fldChar w:fldCharType="end"/>
          </w:r>
        </w:p>
        <w:p w14:paraId="256C07D5">
          <w:pPr>
            <w:pStyle w:val="94"/>
            <w:tabs>
              <w:tab w:val="left" w:pos="1487"/>
              <w:tab w:val="right" w:leader="dot" w:pos="9016"/>
            </w:tabs>
            <w:rPr>
              <w:rFonts w:asciiTheme="minorHAnsi" w:hAnsiTheme="minorHAnsi" w:eastAsiaTheme="minorEastAsia"/>
            </w:rPr>
          </w:pPr>
          <w:r>
            <w:fldChar w:fldCharType="begin"/>
          </w:r>
          <w:r>
            <w:instrText xml:space="preserve"> HYPERLINK \l "_Toc179904071" </w:instrText>
          </w:r>
          <w:r>
            <w:fldChar w:fldCharType="separate"/>
          </w:r>
          <w:r>
            <w:rPr>
              <w:rStyle w:val="44"/>
            </w:rPr>
            <w:t xml:space="preserve">5.3.1 </w:t>
          </w:r>
          <w:r>
            <w:rPr>
              <w:rFonts w:asciiTheme="minorHAnsi" w:hAnsiTheme="minorHAnsi" w:eastAsiaTheme="minorEastAsia"/>
            </w:rPr>
            <w:tab/>
          </w:r>
          <w:r>
            <w:rPr>
              <w:rStyle w:val="44"/>
            </w:rPr>
            <w:t>Cultural baseline</w:t>
          </w:r>
          <w:r>
            <w:tab/>
          </w:r>
          <w:r>
            <w:fldChar w:fldCharType="begin"/>
          </w:r>
          <w:r>
            <w:instrText xml:space="preserve"> PAGEREF _Toc179904071 \h </w:instrText>
          </w:r>
          <w:r>
            <w:fldChar w:fldCharType="separate"/>
          </w:r>
          <w:r>
            <w:t>26</w:t>
          </w:r>
          <w:r>
            <w:fldChar w:fldCharType="end"/>
          </w:r>
          <w:r>
            <w:fldChar w:fldCharType="end"/>
          </w:r>
        </w:p>
        <w:p w14:paraId="3C753146">
          <w:pPr>
            <w:pStyle w:val="94"/>
            <w:tabs>
              <w:tab w:val="left" w:pos="1487"/>
              <w:tab w:val="right" w:leader="dot" w:pos="9016"/>
            </w:tabs>
            <w:rPr>
              <w:rFonts w:asciiTheme="minorHAnsi" w:hAnsiTheme="minorHAnsi" w:eastAsiaTheme="minorEastAsia"/>
            </w:rPr>
          </w:pPr>
          <w:r>
            <w:fldChar w:fldCharType="begin"/>
          </w:r>
          <w:r>
            <w:instrText xml:space="preserve"> HYPERLINK \l "_Toc179904072" </w:instrText>
          </w:r>
          <w:r>
            <w:fldChar w:fldCharType="separate"/>
          </w:r>
          <w:r>
            <w:rPr>
              <w:rStyle w:val="44"/>
            </w:rPr>
            <w:t xml:space="preserve">5.3.2 </w:t>
          </w:r>
          <w:r>
            <w:rPr>
              <w:rFonts w:asciiTheme="minorHAnsi" w:hAnsiTheme="minorHAnsi" w:eastAsiaTheme="minorEastAsia"/>
            </w:rPr>
            <w:tab/>
          </w:r>
          <w:r>
            <w:rPr>
              <w:rStyle w:val="44"/>
            </w:rPr>
            <w:t>Archaeological Baseline</w:t>
          </w:r>
          <w:r>
            <w:tab/>
          </w:r>
          <w:r>
            <w:fldChar w:fldCharType="begin"/>
          </w:r>
          <w:r>
            <w:instrText xml:space="preserve"> PAGEREF _Toc179904072 \h </w:instrText>
          </w:r>
          <w:r>
            <w:fldChar w:fldCharType="separate"/>
          </w:r>
          <w:r>
            <w:t>26</w:t>
          </w:r>
          <w:r>
            <w:fldChar w:fldCharType="end"/>
          </w:r>
          <w:r>
            <w:fldChar w:fldCharType="end"/>
          </w:r>
        </w:p>
        <w:p w14:paraId="76F01B6D">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"_Toc179904073" </w:instrText>
          </w:r>
          <w:r>
            <w:fldChar w:fldCharType="separate"/>
          </w:r>
          <w:r>
            <w:rPr>
              <w:rStyle w:val="44"/>
            </w:rPr>
            <w:t>6.</w:t>
          </w:r>
          <w:r>
            <w:rPr>
              <w:rFonts w:asciiTheme="minorHAnsi" w:hAnsiTheme="minorHAnsi" w:eastAsiaTheme="minorEastAsia" w:cstheme="minorBidi"/>
              <w:b w:val="0"/>
              <w:bCs w:val="0"/>
              <w:sz w:val="22"/>
              <w:szCs w:val="22"/>
            </w:rPr>
            <w:tab/>
          </w:r>
          <w:r>
            <w:rPr>
              <w:rStyle w:val="44"/>
            </w:rPr>
            <w:t>POLICIES, LEGAL AND INSTITUTIONAL FRAMEWORKS</w:t>
          </w:r>
          <w:r>
            <w:tab/>
          </w:r>
          <w:r>
            <w:fldChar w:fldCharType="begin"/>
          </w:r>
          <w:r>
            <w:instrText xml:space="preserve"> PAGEREF _Toc179904073 \h </w:instrText>
          </w:r>
          <w:r>
            <w:fldChar w:fldCharType="separate"/>
          </w:r>
          <w:r>
            <w:t>29</w:t>
          </w:r>
          <w:r>
            <w:fldChar w:fldCharType="end"/>
          </w:r>
          <w:r>
            <w:fldChar w:fldCharType="end"/>
          </w:r>
        </w:p>
        <w:p w14:paraId="74590BFF">
          <w:pPr>
            <w:pStyle w:val="93"/>
            <w:tabs>
              <w:tab w:val="left" w:pos="1959"/>
              <w:tab w:val="right" w:leader="dot" w:pos="9016"/>
            </w:tabs>
            <w:rPr>
              <w:rFonts w:asciiTheme="minorHAnsi" w:hAnsiTheme="minorHAnsi" w:eastAsiaTheme="minorEastAsia" w:cstheme="minorBidi"/>
              <w:sz w:val="22"/>
              <w:szCs w:val="22"/>
            </w:rPr>
          </w:pPr>
          <w:r>
            <w:fldChar w:fldCharType="begin"/>
          </w:r>
          <w:r>
            <w:instrText xml:space="preserve"> HYPERLINK \l "_Toc179904074" </w:instrText>
          </w:r>
          <w:r>
            <w:fldChar w:fldCharType="separate"/>
          </w:r>
          <w:r>
            <w:rPr>
              <w:rStyle w:val="44"/>
            </w:rPr>
            <w:t>6.1</w:t>
          </w:r>
          <w:r>
            <w:rPr>
              <w:rFonts w:asciiTheme="minorHAnsi" w:hAnsiTheme="minorHAnsi" w:eastAsiaTheme="minorEastAsia" w:cstheme="minorBidi"/>
              <w:sz w:val="22"/>
              <w:szCs w:val="22"/>
            </w:rPr>
            <w:tab/>
          </w:r>
          <w:r>
            <w:rPr>
              <w:rStyle w:val="44"/>
            </w:rPr>
            <w:t>National Laws and Regulations</w:t>
          </w:r>
          <w:r>
            <w:tab/>
          </w:r>
          <w:r>
            <w:fldChar w:fldCharType="begin"/>
          </w:r>
          <w:r>
            <w:instrText xml:space="preserve"> PAGEREF _Toc179904074 \h </w:instrText>
          </w:r>
          <w:r>
            <w:fldChar w:fldCharType="separate"/>
          </w:r>
          <w:r>
            <w:t>29</w:t>
          </w:r>
          <w:r>
            <w:fldChar w:fldCharType="end"/>
          </w:r>
          <w:r>
            <w:fldChar w:fldCharType="end"/>
          </w:r>
        </w:p>
        <w:p w14:paraId="172E28F4">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"_Toc179904075" </w:instrText>
          </w:r>
          <w:r>
            <w:fldChar w:fldCharType="separate"/>
          </w:r>
          <w:r>
            <w:rPr>
              <w:rStyle w:val="44"/>
            </w:rPr>
            <w:t xml:space="preserve">6.2 </w:t>
          </w:r>
          <w:r>
            <w:rPr>
              <w:rFonts w:asciiTheme="minorHAnsi" w:hAnsiTheme="minorHAnsi" w:eastAsiaTheme="minorEastAsia" w:cstheme="minorBidi"/>
              <w:sz w:val="22"/>
              <w:szCs w:val="22"/>
            </w:rPr>
            <w:tab/>
          </w:r>
          <w:r>
            <w:rPr>
              <w:rStyle w:val="44"/>
            </w:rPr>
            <w:t>County Laws and Regulation</w:t>
          </w:r>
          <w:r>
            <w:tab/>
          </w:r>
          <w:r>
            <w:fldChar w:fldCharType="begin"/>
          </w:r>
          <w:r>
            <w:instrText xml:space="preserve"> PAGEREF _Toc179904075 \h </w:instrText>
          </w:r>
          <w:r>
            <w:fldChar w:fldCharType="separate"/>
          </w:r>
          <w:r>
            <w:t>31</w:t>
          </w:r>
          <w:r>
            <w:fldChar w:fldCharType="end"/>
          </w:r>
          <w:r>
            <w:fldChar w:fldCharType="end"/>
          </w:r>
        </w:p>
        <w:p w14:paraId="60E5E118">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"_Toc179904076" </w:instrText>
          </w:r>
          <w:r>
            <w:fldChar w:fldCharType="separate"/>
          </w:r>
          <w:r>
            <w:rPr>
              <w:rStyle w:val="44"/>
            </w:rPr>
            <w:t xml:space="preserve">6.3 </w:t>
          </w:r>
          <w:r>
            <w:rPr>
              <w:rFonts w:asciiTheme="minorHAnsi" w:hAnsiTheme="minorHAnsi" w:eastAsiaTheme="minorEastAsia" w:cstheme="minorBidi"/>
              <w:sz w:val="22"/>
              <w:szCs w:val="22"/>
            </w:rPr>
            <w:tab/>
          </w:r>
          <w:r>
            <w:rPr>
              <w:rStyle w:val="44"/>
            </w:rPr>
            <w:t>National Policy Framework</w:t>
          </w:r>
          <w:r>
            <w:tab/>
          </w:r>
          <w:r>
            <w:fldChar w:fldCharType="begin"/>
          </w:r>
          <w:r>
            <w:instrText xml:space="preserve"> PAGEREF _Toc179904076 \h </w:instrText>
          </w:r>
          <w:r>
            <w:fldChar w:fldCharType="separate"/>
          </w:r>
          <w:r>
            <w:t>31</w:t>
          </w:r>
          <w:r>
            <w:fldChar w:fldCharType="end"/>
          </w:r>
          <w:r>
            <w:fldChar w:fldCharType="end"/>
          </w:r>
        </w:p>
        <w:p w14:paraId="6DF9485B">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"_Toc179904077" </w:instrText>
          </w:r>
          <w:r>
            <w:fldChar w:fldCharType="separate"/>
          </w:r>
          <w:r>
            <w:rPr>
              <w:rStyle w:val="44"/>
            </w:rPr>
            <w:t xml:space="preserve">6.4 </w:t>
          </w:r>
          <w:r>
            <w:rPr>
              <w:rFonts w:asciiTheme="minorHAnsi" w:hAnsiTheme="minorHAnsi" w:eastAsiaTheme="minorEastAsia" w:cstheme="minorBidi"/>
              <w:sz w:val="22"/>
              <w:szCs w:val="22"/>
            </w:rPr>
            <w:tab/>
          </w:r>
          <w:r>
            <w:rPr>
              <w:rStyle w:val="44"/>
            </w:rPr>
            <w:t>County Policy Framework</w:t>
          </w:r>
          <w:r>
            <w:tab/>
          </w:r>
          <w:r>
            <w:fldChar w:fldCharType="begin"/>
          </w:r>
          <w:r>
            <w:instrText xml:space="preserve"> PAGEREF _Toc179904077 \h </w:instrText>
          </w:r>
          <w:r>
            <w:fldChar w:fldCharType="separate"/>
          </w:r>
          <w:r>
            <w:t>34</w:t>
          </w:r>
          <w:r>
            <w:fldChar w:fldCharType="end"/>
          </w:r>
          <w:r>
            <w:fldChar w:fldCharType="end"/>
          </w:r>
        </w:p>
        <w:p w14:paraId="0F59C7D1">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"_Toc179904078" </w:instrText>
          </w:r>
          <w:r>
            <w:fldChar w:fldCharType="separate"/>
          </w:r>
          <w:r>
            <w:rPr>
              <w:rStyle w:val="44"/>
            </w:rPr>
            <w:t xml:space="preserve">6.5 </w:t>
          </w:r>
          <w:r>
            <w:rPr>
              <w:rFonts w:asciiTheme="minorHAnsi" w:hAnsiTheme="minorHAnsi" w:eastAsiaTheme="minorEastAsia" w:cstheme="minorBidi"/>
              <w:sz w:val="22"/>
              <w:szCs w:val="22"/>
            </w:rPr>
            <w:tab/>
          </w:r>
          <w:r>
            <w:rPr>
              <w:rStyle w:val="44"/>
            </w:rPr>
            <w:t>Sustainable Development Goals</w:t>
          </w:r>
          <w:r>
            <w:tab/>
          </w:r>
          <w:r>
            <w:fldChar w:fldCharType="begin"/>
          </w:r>
          <w:r>
            <w:instrText xml:space="preserve"> PAGEREF _Toc179904078 \h </w:instrText>
          </w:r>
          <w:r>
            <w:fldChar w:fldCharType="separate"/>
          </w:r>
          <w:r>
            <w:t>34</w:t>
          </w:r>
          <w:r>
            <w:fldChar w:fldCharType="end"/>
          </w:r>
          <w:r>
            <w:fldChar w:fldCharType="end"/>
          </w:r>
        </w:p>
        <w:p w14:paraId="0253610A">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"_Toc179904079" </w:instrText>
          </w:r>
          <w:r>
            <w:fldChar w:fldCharType="separate"/>
          </w:r>
          <w:r>
            <w:rPr>
              <w:rStyle w:val="44"/>
            </w:rPr>
            <w:t xml:space="preserve">6.6 </w:t>
          </w:r>
          <w:r>
            <w:rPr>
              <w:rFonts w:asciiTheme="minorHAnsi" w:hAnsiTheme="minorHAnsi" w:eastAsiaTheme="minorEastAsia" w:cstheme="minorBidi"/>
              <w:sz w:val="22"/>
              <w:szCs w:val="22"/>
            </w:rPr>
            <w:tab/>
          </w:r>
          <w:r>
            <w:rPr>
              <w:rStyle w:val="44"/>
            </w:rPr>
            <w:t>Multilateral Environmental Agreements</w:t>
          </w:r>
          <w:r>
            <w:tab/>
          </w:r>
          <w:r>
            <w:fldChar w:fldCharType="begin"/>
          </w:r>
          <w:r>
            <w:instrText xml:space="preserve"> PAGEREF _Toc179904079 \h </w:instrText>
          </w:r>
          <w:r>
            <w:fldChar w:fldCharType="separate"/>
          </w:r>
          <w:r>
            <w:t>35</w:t>
          </w:r>
          <w:r>
            <w:fldChar w:fldCharType="end"/>
          </w:r>
          <w:r>
            <w:fldChar w:fldCharType="end"/>
          </w:r>
        </w:p>
        <w:p w14:paraId="53BE7461">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"_Toc179904080" </w:instrText>
          </w:r>
          <w:r>
            <w:fldChar w:fldCharType="separate"/>
          </w:r>
          <w:r>
            <w:rPr>
              <w:rStyle w:val="44"/>
            </w:rPr>
            <w:t xml:space="preserve">6.7 </w:t>
          </w:r>
          <w:r>
            <w:rPr>
              <w:rFonts w:asciiTheme="minorHAnsi" w:hAnsiTheme="minorHAnsi" w:eastAsiaTheme="minorEastAsia" w:cstheme="minorBidi"/>
              <w:sz w:val="22"/>
              <w:szCs w:val="22"/>
            </w:rPr>
            <w:tab/>
          </w:r>
          <w:r>
            <w:rPr>
              <w:rStyle w:val="44"/>
            </w:rPr>
            <w:t>World Bank Operational Safeguards</w:t>
          </w:r>
          <w:r>
            <w:tab/>
          </w:r>
          <w:r>
            <w:fldChar w:fldCharType="begin"/>
          </w:r>
          <w:r>
            <w:instrText xml:space="preserve"> PAGEREF _Toc179904080 \h </w:instrText>
          </w:r>
          <w:r>
            <w:fldChar w:fldCharType="separate"/>
          </w:r>
          <w:r>
            <w:t>37</w:t>
          </w:r>
          <w:r>
            <w:fldChar w:fldCharType="end"/>
          </w:r>
          <w:r>
            <w:fldChar w:fldCharType="end"/>
          </w:r>
        </w:p>
        <w:p w14:paraId="4C838C79">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"_Toc179904081" </w:instrText>
          </w:r>
          <w:r>
            <w:fldChar w:fldCharType="separate"/>
          </w:r>
          <w:r>
            <w:rPr>
              <w:rStyle w:val="44"/>
            </w:rPr>
            <w:t xml:space="preserve">7. </w:t>
          </w:r>
          <w:r>
            <w:rPr>
              <w:rFonts w:asciiTheme="minorHAnsi" w:hAnsiTheme="minorHAnsi" w:eastAsiaTheme="minorEastAsia" w:cstheme="minorBidi"/>
              <w:b w:val="0"/>
              <w:bCs w:val="0"/>
              <w:sz w:val="22"/>
              <w:szCs w:val="22"/>
            </w:rPr>
            <w:tab/>
          </w:r>
          <w:r>
            <w:rPr>
              <w:rStyle w:val="44"/>
            </w:rPr>
            <w:t>PUBLIC PARTICIPATION AND STAKEHOLDER ENGAGEMENT</w:t>
          </w:r>
          <w:r>
            <w:tab/>
          </w:r>
          <w:r>
            <w:fldChar w:fldCharType="begin"/>
          </w:r>
          <w:r>
            <w:instrText xml:space="preserve"> PAGEREF _Toc179904081 \h </w:instrText>
          </w:r>
          <w:r>
            <w:fldChar w:fldCharType="separate"/>
          </w:r>
          <w:r>
            <w:t>39</w:t>
          </w:r>
          <w:r>
            <w:fldChar w:fldCharType="end"/>
          </w:r>
          <w:r>
            <w:fldChar w:fldCharType="end"/>
          </w:r>
        </w:p>
        <w:p w14:paraId="6DB0E9A0">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"_Toc179904082" </w:instrText>
          </w:r>
          <w:r>
            <w:fldChar w:fldCharType="separate"/>
          </w:r>
          <w:r>
            <w:rPr>
              <w:rStyle w:val="44"/>
            </w:rPr>
            <w:t xml:space="preserve">7.1 </w:t>
          </w:r>
          <w:r>
            <w:rPr>
              <w:rFonts w:asciiTheme="minorHAnsi" w:hAnsiTheme="minorHAnsi" w:eastAsiaTheme="minorEastAsia" w:cstheme="minorBidi"/>
              <w:sz w:val="22"/>
              <w:szCs w:val="22"/>
            </w:rPr>
            <w:tab/>
          </w:r>
          <w:r>
            <w:rPr>
              <w:rStyle w:val="44"/>
            </w:rPr>
            <w:t>Objectives of The Consultation and Public Participation (CPP)</w:t>
          </w:r>
          <w:r>
            <w:tab/>
          </w:r>
          <w:r>
            <w:fldChar w:fldCharType="begin"/>
          </w:r>
          <w:r>
            <w:instrText xml:space="preserve"> PAGEREF _Toc179904082 \h </w:instrText>
          </w:r>
          <w:r>
            <w:fldChar w:fldCharType="separate"/>
          </w:r>
          <w:r>
            <w:t>39</w:t>
          </w:r>
          <w:r>
            <w:fldChar w:fldCharType="end"/>
          </w:r>
          <w:r>
            <w:fldChar w:fldCharType="end"/>
          </w:r>
        </w:p>
        <w:p w14:paraId="36FFA001">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"_Toc179904083" </w:instrText>
          </w:r>
          <w:r>
            <w:fldChar w:fldCharType="separate"/>
          </w:r>
          <w:r>
            <w:rPr>
              <w:rStyle w:val="44"/>
            </w:rPr>
            <w:t xml:space="preserve">7.2 </w:t>
          </w:r>
          <w:r>
            <w:rPr>
              <w:rFonts w:asciiTheme="minorHAnsi" w:hAnsiTheme="minorHAnsi" w:eastAsiaTheme="minorEastAsia" w:cstheme="minorBidi"/>
              <w:sz w:val="22"/>
              <w:szCs w:val="22"/>
            </w:rPr>
            <w:tab/>
          </w:r>
          <w:r>
            <w:rPr>
              <w:rStyle w:val="44"/>
            </w:rPr>
            <w:t>Methods used for consultation and public participation</w:t>
          </w:r>
          <w:r>
            <w:tab/>
          </w:r>
          <w:r>
            <w:fldChar w:fldCharType="begin"/>
          </w:r>
          <w:r>
            <w:instrText xml:space="preserve"> PAGEREF _Toc179904083 \h </w:instrText>
          </w:r>
          <w:r>
            <w:fldChar w:fldCharType="separate"/>
          </w:r>
          <w:r>
            <w:t>39</w:t>
          </w:r>
          <w:r>
            <w:fldChar w:fldCharType="end"/>
          </w:r>
          <w:r>
            <w:fldChar w:fldCharType="end"/>
          </w:r>
        </w:p>
        <w:p w14:paraId="07AA0A07">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"_Toc179904084" </w:instrText>
          </w:r>
          <w:r>
            <w:fldChar w:fldCharType="separate"/>
          </w:r>
          <w:r>
            <w:rPr>
              <w:rStyle w:val="44"/>
            </w:rPr>
            <w:t xml:space="preserve">7.3 </w:t>
          </w:r>
          <w:r>
            <w:rPr>
              <w:rFonts w:asciiTheme="minorHAnsi" w:hAnsiTheme="minorHAnsi" w:eastAsiaTheme="minorEastAsia" w:cstheme="minorBidi"/>
              <w:sz w:val="22"/>
              <w:szCs w:val="22"/>
            </w:rPr>
            <w:tab/>
          </w:r>
          <w:r>
            <w:rPr>
              <w:rStyle w:val="44"/>
            </w:rPr>
            <w:t>Stakeholder Consultations</w:t>
          </w:r>
          <w:r>
            <w:tab/>
          </w:r>
          <w:r>
            <w:fldChar w:fldCharType="begin"/>
          </w:r>
          <w:r>
            <w:instrText xml:space="preserve"> PAGEREF _Toc179904084 \h </w:instrText>
          </w:r>
          <w:r>
            <w:fldChar w:fldCharType="separate"/>
          </w:r>
          <w:r>
            <w:t>39</w:t>
          </w:r>
          <w:r>
            <w:fldChar w:fldCharType="end"/>
          </w:r>
          <w:r>
            <w:fldChar w:fldCharType="end"/>
          </w:r>
        </w:p>
        <w:p w14:paraId="214F62D8">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"_Toc179904085" </w:instrText>
          </w:r>
          <w:r>
            <w:fldChar w:fldCharType="separate"/>
          </w:r>
          <w:r>
            <w:rPr>
              <w:rStyle w:val="44"/>
            </w:rPr>
            <w:t xml:space="preserve">7.4 </w:t>
          </w:r>
          <w:r>
            <w:rPr>
              <w:rFonts w:asciiTheme="minorHAnsi" w:hAnsiTheme="minorHAnsi" w:eastAsiaTheme="minorEastAsia" w:cstheme="minorBidi"/>
              <w:sz w:val="22"/>
              <w:szCs w:val="22"/>
            </w:rPr>
            <w:tab/>
          </w:r>
          <w:r>
            <w:rPr>
              <w:rStyle w:val="44"/>
            </w:rPr>
            <w:t>Schedule of stakeholder engagement</w:t>
          </w:r>
          <w:r>
            <w:tab/>
          </w:r>
          <w:r>
            <w:fldChar w:fldCharType="begin"/>
          </w:r>
          <w:r>
            <w:instrText xml:space="preserve"> PAGEREF _Toc179904085 \h </w:instrText>
          </w:r>
          <w:r>
            <w:fldChar w:fldCharType="separate"/>
          </w:r>
          <w:r>
            <w:t>40</w:t>
          </w:r>
          <w:r>
            <w:fldChar w:fldCharType="end"/>
          </w:r>
          <w:r>
            <w:fldChar w:fldCharType="end"/>
          </w:r>
        </w:p>
        <w:p w14:paraId="7D8FCA10">
          <w:pPr>
            <w:pStyle w:val="93"/>
            <w:tabs>
              <w:tab w:val="left" w:pos="1959"/>
              <w:tab w:val="right" w:leader="dot" w:pos="9016"/>
            </w:tabs>
            <w:rPr>
              <w:rFonts w:asciiTheme="minorHAnsi" w:hAnsiTheme="minorHAnsi" w:eastAsiaTheme="minorEastAsia" w:cstheme="minorBidi"/>
              <w:sz w:val="22"/>
              <w:szCs w:val="22"/>
            </w:rPr>
          </w:pPr>
          <w:r>
            <w:fldChar w:fldCharType="begin"/>
          </w:r>
          <w:r>
            <w:instrText xml:space="preserve"> HYPERLINK \l "_Toc179904086" </w:instrText>
          </w:r>
          <w:r>
            <w:fldChar w:fldCharType="separate"/>
          </w:r>
          <w:r>
            <w:rPr>
              <w:rStyle w:val="44"/>
            </w:rPr>
            <w:t>7.5</w:t>
          </w:r>
          <w:r>
            <w:rPr>
              <w:rFonts w:asciiTheme="minorHAnsi" w:hAnsiTheme="minorHAnsi" w:eastAsiaTheme="minorEastAsia" w:cstheme="minorBidi"/>
              <w:sz w:val="22"/>
              <w:szCs w:val="22"/>
            </w:rPr>
            <w:tab/>
          </w:r>
          <w:r>
            <w:rPr>
              <w:rStyle w:val="44"/>
            </w:rPr>
            <w:t>Stakeholder Engagement Outcomes in the EIA report and Final Design of the Project</w:t>
          </w:r>
          <w:r>
            <w:tab/>
          </w:r>
          <w:r>
            <w:fldChar w:fldCharType="begin"/>
          </w:r>
          <w:r>
            <w:instrText xml:space="preserve"> PAGEREF _Toc179904086 \h </w:instrText>
          </w:r>
          <w:r>
            <w:fldChar w:fldCharType="separate"/>
          </w:r>
          <w:r>
            <w:t>43</w:t>
          </w:r>
          <w:r>
            <w:fldChar w:fldCharType="end"/>
          </w:r>
          <w:r>
            <w:fldChar w:fldCharType="end"/>
          </w:r>
        </w:p>
        <w:p w14:paraId="1047C09A">
          <w:pPr>
            <w:pStyle w:val="93"/>
            <w:tabs>
              <w:tab w:val="left" w:pos="2004"/>
              <w:tab w:val="right" w:leader="dot" w:pos="9016"/>
            </w:tabs>
            <w:rPr>
              <w:rFonts w:asciiTheme="minorHAnsi" w:hAnsiTheme="minorHAnsi" w:eastAsiaTheme="minorEastAsia" w:cstheme="minorBidi"/>
              <w:sz w:val="22"/>
              <w:szCs w:val="22"/>
            </w:rPr>
          </w:pPr>
          <w:r>
            <w:fldChar w:fldCharType="begin"/>
          </w:r>
          <w:r>
            <w:instrText xml:space="preserve"> HYPERLINK \l "_Toc179904087" </w:instrText>
          </w:r>
          <w:r>
            <w:fldChar w:fldCharType="separate"/>
          </w:r>
          <w:r>
            <w:rPr>
              <w:rStyle w:val="44"/>
            </w:rPr>
            <w:t xml:space="preserve">7.6 </w:t>
          </w:r>
          <w:r>
            <w:rPr>
              <w:rFonts w:asciiTheme="minorHAnsi" w:hAnsiTheme="minorHAnsi" w:eastAsiaTheme="minorEastAsia" w:cstheme="minorBidi"/>
              <w:sz w:val="22"/>
              <w:szCs w:val="22"/>
            </w:rPr>
            <w:tab/>
          </w:r>
          <w:r>
            <w:rPr>
              <w:rStyle w:val="44"/>
            </w:rPr>
            <w:t>Public Disclosure of ESIA and Annual Monitoring Reports</w:t>
          </w:r>
          <w:r>
            <w:tab/>
          </w:r>
          <w:r>
            <w:fldChar w:fldCharType="begin"/>
          </w:r>
          <w:r>
            <w:instrText xml:space="preserve"> PAGEREF _Toc179904087 \h </w:instrText>
          </w:r>
          <w:r>
            <w:fldChar w:fldCharType="separate"/>
          </w:r>
          <w:r>
            <w:t>44</w:t>
          </w:r>
          <w:r>
            <w:fldChar w:fldCharType="end"/>
          </w:r>
          <w:r>
            <w:fldChar w:fldCharType="end"/>
          </w:r>
        </w:p>
        <w:p w14:paraId="2BB47FEE">
          <w:pPr>
            <w:pStyle w:val="93"/>
            <w:tabs>
              <w:tab w:val="left" w:pos="2010"/>
              <w:tab w:val="right" w:leader="dot" w:pos="9016"/>
            </w:tabs>
            <w:rPr>
              <w:rFonts w:asciiTheme="minorHAnsi" w:hAnsiTheme="minorHAnsi" w:eastAsiaTheme="minorEastAsia" w:cstheme="minorBidi"/>
              <w:sz w:val="22"/>
              <w:szCs w:val="22"/>
            </w:rPr>
          </w:pPr>
          <w:r>
            <w:fldChar w:fldCharType="begin"/>
          </w:r>
          <w:r>
            <w:instrText xml:space="preserve"> HYPERLINK \l "_Toc179904088" </w:instrText>
          </w:r>
          <w:r>
            <w:fldChar w:fldCharType="separate"/>
          </w:r>
          <w:r>
            <w:rPr>
              <w:rStyle w:val="44"/>
            </w:rPr>
            <w:t>7.7.</w:t>
          </w:r>
          <w:r>
            <w:rPr>
              <w:rFonts w:asciiTheme="minorHAnsi" w:hAnsiTheme="minorHAnsi" w:eastAsiaTheme="minorEastAsia" w:cstheme="minorBidi"/>
              <w:sz w:val="22"/>
              <w:szCs w:val="22"/>
            </w:rPr>
            <w:tab/>
          </w:r>
          <w:r>
            <w:rPr>
              <w:rStyle w:val="44"/>
            </w:rPr>
            <w:t>Continuous Public Participation and Engagement Outlook</w:t>
          </w:r>
          <w:r>
            <w:tab/>
          </w:r>
          <w:r>
            <w:fldChar w:fldCharType="begin"/>
          </w:r>
          <w:r>
            <w:instrText xml:space="preserve"> PAGEREF _Toc179904088 \h </w:instrText>
          </w:r>
          <w:r>
            <w:fldChar w:fldCharType="separate"/>
          </w:r>
          <w:r>
            <w:t>47</w:t>
          </w:r>
          <w:r>
            <w:fldChar w:fldCharType="end"/>
          </w:r>
          <w:r>
            <w:fldChar w:fldCharType="end"/>
          </w:r>
        </w:p>
        <w:p w14:paraId="469C98D7">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"_Toc179904089" </w:instrText>
          </w:r>
          <w:r>
            <w:fldChar w:fldCharType="separate"/>
          </w:r>
          <w:r>
            <w:rPr>
              <w:rStyle w:val="44"/>
              <w:w w:val="110"/>
              <w:lang w:eastAsia="en-GB"/>
            </w:rPr>
            <w:t>8.</w:t>
          </w:r>
          <w:r>
            <w:rPr>
              <w:rFonts w:asciiTheme="minorHAnsi" w:hAnsiTheme="minorHAnsi" w:eastAsiaTheme="minorEastAsia" w:cstheme="minorBidi"/>
              <w:b w:val="0"/>
              <w:bCs w:val="0"/>
              <w:sz w:val="22"/>
              <w:szCs w:val="22"/>
            </w:rPr>
            <w:tab/>
          </w:r>
          <w:r>
            <w:rPr>
              <w:rStyle w:val="44"/>
              <w:w w:val="110"/>
              <w:lang w:eastAsia="en-GB"/>
            </w:rPr>
            <w:t>IDENTIFICATION OF ENVIRONMENTAL &amp; SOCIAL IMPACTS AND MITIGATION MEASURES</w:t>
          </w:r>
          <w:r>
            <w:tab/>
          </w:r>
          <w:r>
            <w:fldChar w:fldCharType="begin"/>
          </w:r>
          <w:r>
            <w:instrText xml:space="preserve"> PAGEREF _Toc179904089 \h </w:instrText>
          </w:r>
          <w:r>
            <w:fldChar w:fldCharType="separate"/>
          </w:r>
          <w:r>
            <w:t>48</w:t>
          </w:r>
          <w:r>
            <w:fldChar w:fldCharType="end"/>
          </w:r>
          <w:r>
            <w:fldChar w:fldCharType="end"/>
          </w:r>
        </w:p>
        <w:p w14:paraId="00A03F9C">
          <w:pPr>
            <w:pStyle w:val="93"/>
            <w:tabs>
              <w:tab w:val="left" w:pos="1962"/>
              <w:tab w:val="right" w:leader="dot" w:pos="9016"/>
            </w:tabs>
            <w:rPr>
              <w:rFonts w:asciiTheme="minorHAnsi" w:hAnsiTheme="minorHAnsi" w:eastAsiaTheme="minorEastAsia" w:cstheme="minorBidi"/>
              <w:sz w:val="22"/>
              <w:szCs w:val="22"/>
            </w:rPr>
          </w:pPr>
          <w:r>
            <w:fldChar w:fldCharType="begin"/>
          </w:r>
          <w:r>
            <w:instrText xml:space="preserve"> HYPERLINK \l "_Toc179904090" </w:instrText>
          </w:r>
          <w:r>
            <w:fldChar w:fldCharType="separate"/>
          </w:r>
          <w:r>
            <w:rPr>
              <w:rStyle w:val="44"/>
              <w:rFonts w:eastAsia="Times New Roman Bold" w:cstheme="minorHAnsi"/>
              <w:b/>
              <w:bCs/>
              <w:iCs/>
              <w:lang w:eastAsia="ja-JP"/>
            </w:rPr>
            <w:t>8.1</w:t>
          </w:r>
          <w:r>
            <w:rPr>
              <w:rFonts w:asciiTheme="minorHAnsi" w:hAnsiTheme="minorHAnsi" w:eastAsiaTheme="minorEastAsia" w:cstheme="minorBidi"/>
              <w:sz w:val="22"/>
              <w:szCs w:val="22"/>
            </w:rPr>
            <w:tab/>
          </w:r>
          <w:r>
            <w:rPr>
              <w:rStyle w:val="44"/>
              <w:rFonts w:eastAsia="Times New Roman Bold" w:cstheme="minorHAnsi"/>
              <w:b/>
              <w:bCs/>
              <w:iCs/>
              <w:lang w:eastAsia="ja-JP"/>
            </w:rPr>
            <w:t>Environmental and Social Impact Identification and Analysis/Rating</w:t>
          </w:r>
          <w:r>
            <w:tab/>
          </w:r>
          <w:r>
            <w:fldChar w:fldCharType="begin"/>
          </w:r>
          <w:r>
            <w:instrText xml:space="preserve"> PAGEREF _Toc179904090 \h </w:instrText>
          </w:r>
          <w:r>
            <w:fldChar w:fldCharType="separate"/>
          </w:r>
          <w:r>
            <w:t>48</w:t>
          </w:r>
          <w:r>
            <w:fldChar w:fldCharType="end"/>
          </w:r>
          <w:r>
            <w:fldChar w:fldCharType="end"/>
          </w:r>
        </w:p>
        <w:p w14:paraId="1EB4EC6F">
          <w:pPr>
            <w:pStyle w:val="93"/>
            <w:tabs>
              <w:tab w:val="left" w:pos="1962"/>
              <w:tab w:val="right" w:leader="dot" w:pos="9016"/>
            </w:tabs>
            <w:rPr>
              <w:rFonts w:asciiTheme="minorHAnsi" w:hAnsiTheme="minorHAnsi" w:eastAsiaTheme="minorEastAsia" w:cstheme="minorBidi"/>
              <w:sz w:val="22"/>
              <w:szCs w:val="22"/>
            </w:rPr>
          </w:pPr>
          <w:r>
            <w:fldChar w:fldCharType="begin"/>
          </w:r>
          <w:r>
            <w:instrText xml:space="preserve"> HYPERLINK \l "_Toc179904091" </w:instrText>
          </w:r>
          <w:r>
            <w:fldChar w:fldCharType="separate"/>
          </w:r>
          <w:r>
            <w:rPr>
              <w:rStyle w:val="44"/>
              <w:rFonts w:eastAsia="Times New Roman Bold" w:cstheme="minorHAnsi"/>
              <w:b/>
              <w:bCs/>
              <w:iCs/>
              <w:lang w:eastAsia="ja-JP"/>
            </w:rPr>
            <w:t>8.2</w:t>
          </w:r>
          <w:r>
            <w:rPr>
              <w:rFonts w:asciiTheme="minorHAnsi" w:hAnsiTheme="minorHAnsi" w:eastAsiaTheme="minorEastAsia" w:cstheme="minorBidi"/>
              <w:sz w:val="22"/>
              <w:szCs w:val="22"/>
            </w:rPr>
            <w:tab/>
          </w:r>
          <w:r>
            <w:rPr>
              <w:rStyle w:val="44"/>
              <w:rFonts w:eastAsia="Times New Roman Bold" w:cstheme="minorHAnsi"/>
              <w:b/>
              <w:bCs/>
              <w:iCs/>
              <w:lang w:eastAsia="ja-JP"/>
            </w:rPr>
            <w:t>Anticipated project positive impacts During Pre-Construction Phase</w:t>
          </w:r>
          <w:r>
            <w:tab/>
          </w:r>
          <w:r>
            <w:fldChar w:fldCharType="begin"/>
          </w:r>
          <w:r>
            <w:instrText xml:space="preserve"> PAGEREF _Toc179904091 \h </w:instrText>
          </w:r>
          <w:r>
            <w:fldChar w:fldCharType="separate"/>
          </w:r>
          <w:r>
            <w:t>49</w:t>
          </w:r>
          <w:r>
            <w:fldChar w:fldCharType="end"/>
          </w:r>
          <w:r>
            <w:fldChar w:fldCharType="end"/>
          </w:r>
        </w:p>
        <w:p w14:paraId="1DDF30F9">
          <w:pPr>
            <w:pStyle w:val="93"/>
            <w:tabs>
              <w:tab w:val="left" w:pos="1962"/>
              <w:tab w:val="right" w:leader="dot" w:pos="9016"/>
            </w:tabs>
            <w:rPr>
              <w:rFonts w:asciiTheme="minorHAnsi" w:hAnsiTheme="minorHAnsi" w:eastAsiaTheme="minorEastAsia" w:cstheme="minorBidi"/>
              <w:sz w:val="22"/>
              <w:szCs w:val="22"/>
            </w:rPr>
          </w:pPr>
          <w:r>
            <w:fldChar w:fldCharType="begin"/>
          </w:r>
          <w:r>
            <w:instrText xml:space="preserve"> HYPERLINK \l "_Toc179904092" </w:instrText>
          </w:r>
          <w:r>
            <w:fldChar w:fldCharType="separate"/>
          </w:r>
          <w:r>
            <w:rPr>
              <w:rStyle w:val="44"/>
              <w:rFonts w:eastAsia="Times New Roman Bold" w:cstheme="minorHAnsi"/>
              <w:b/>
              <w:bCs/>
              <w:iCs/>
              <w:lang w:eastAsia="ja-JP"/>
            </w:rPr>
            <w:t>8.3</w:t>
          </w:r>
          <w:r>
            <w:rPr>
              <w:rFonts w:asciiTheme="minorHAnsi" w:hAnsiTheme="minorHAnsi" w:eastAsiaTheme="minorEastAsia" w:cstheme="minorBidi"/>
              <w:sz w:val="22"/>
              <w:szCs w:val="22"/>
            </w:rPr>
            <w:tab/>
          </w:r>
          <w:r>
            <w:rPr>
              <w:rStyle w:val="44"/>
              <w:rFonts w:eastAsia="Times New Roman Bold" w:cstheme="minorHAnsi"/>
              <w:b/>
              <w:bCs/>
              <w:iCs/>
              <w:lang w:eastAsia="ja-JP"/>
            </w:rPr>
            <w:t>Anticipated Positive Impacts During Construction Phase</w:t>
          </w:r>
          <w:r>
            <w:tab/>
          </w:r>
          <w:r>
            <w:fldChar w:fldCharType="begin"/>
          </w:r>
          <w:r>
            <w:instrText xml:space="preserve"> PAGEREF _Toc179904092 \h </w:instrText>
          </w:r>
          <w:r>
            <w:fldChar w:fldCharType="separate"/>
          </w:r>
          <w:r>
            <w:t>49</w:t>
          </w:r>
          <w:r>
            <w:fldChar w:fldCharType="end"/>
          </w:r>
          <w:r>
            <w:fldChar w:fldCharType="end"/>
          </w:r>
        </w:p>
        <w:p w14:paraId="16668CD9">
          <w:pPr>
            <w:pStyle w:val="93"/>
            <w:tabs>
              <w:tab w:val="left" w:pos="1962"/>
              <w:tab w:val="right" w:leader="dot" w:pos="9016"/>
            </w:tabs>
            <w:rPr>
              <w:rFonts w:asciiTheme="minorHAnsi" w:hAnsiTheme="minorHAnsi" w:eastAsiaTheme="minorEastAsia" w:cstheme="minorBidi"/>
              <w:sz w:val="22"/>
              <w:szCs w:val="22"/>
            </w:rPr>
          </w:pPr>
          <w:r>
            <w:fldChar w:fldCharType="begin"/>
          </w:r>
          <w:r>
            <w:instrText xml:space="preserve"> HYPERLINK \l "_Toc179904093" </w:instrText>
          </w:r>
          <w:r>
            <w:fldChar w:fldCharType="separate"/>
          </w:r>
          <w:r>
            <w:rPr>
              <w:rStyle w:val="44"/>
              <w:rFonts w:eastAsia="Times New Roman Bold" w:cstheme="minorHAnsi"/>
              <w:b/>
              <w:bCs/>
              <w:iCs/>
              <w:lang w:eastAsia="ja-JP"/>
            </w:rPr>
            <w:t>8.4</w:t>
          </w:r>
          <w:r>
            <w:rPr>
              <w:rFonts w:asciiTheme="minorHAnsi" w:hAnsiTheme="minorHAnsi" w:eastAsiaTheme="minorEastAsia" w:cstheme="minorBidi"/>
              <w:sz w:val="22"/>
              <w:szCs w:val="22"/>
            </w:rPr>
            <w:tab/>
          </w:r>
          <w:r>
            <w:rPr>
              <w:rStyle w:val="44"/>
              <w:rFonts w:eastAsia="Times New Roman Bold" w:cstheme="minorHAnsi"/>
              <w:b/>
              <w:bCs/>
              <w:iCs/>
              <w:lang w:eastAsia="ja-JP"/>
            </w:rPr>
            <w:t>Anticipated positive impacts during Operation Phase</w:t>
          </w:r>
          <w:r>
            <w:tab/>
          </w:r>
          <w:r>
            <w:fldChar w:fldCharType="begin"/>
          </w:r>
          <w:r>
            <w:instrText xml:space="preserve"> PAGEREF _Toc179904093 \h </w:instrText>
          </w:r>
          <w:r>
            <w:fldChar w:fldCharType="separate"/>
          </w:r>
          <w:r>
            <w:t>51</w:t>
          </w:r>
          <w:r>
            <w:fldChar w:fldCharType="end"/>
          </w:r>
          <w:r>
            <w:fldChar w:fldCharType="end"/>
          </w:r>
        </w:p>
        <w:p w14:paraId="77362E7E">
          <w:pPr>
            <w:pStyle w:val="93"/>
            <w:tabs>
              <w:tab w:val="left" w:pos="1962"/>
              <w:tab w:val="right" w:leader="dot" w:pos="9016"/>
            </w:tabs>
            <w:rPr>
              <w:rFonts w:asciiTheme="minorHAnsi" w:hAnsiTheme="minorHAnsi" w:eastAsiaTheme="minorEastAsia" w:cstheme="minorBidi"/>
              <w:sz w:val="22"/>
              <w:szCs w:val="22"/>
            </w:rPr>
          </w:pPr>
          <w:r>
            <w:fldChar w:fldCharType="begin"/>
          </w:r>
          <w:r>
            <w:instrText xml:space="preserve"> HYPERLINK \l "_Toc179904094" </w:instrText>
          </w:r>
          <w:r>
            <w:fldChar w:fldCharType="separate"/>
          </w:r>
          <w:r>
            <w:rPr>
              <w:rStyle w:val="44"/>
              <w:rFonts w:eastAsia="Times New Roman Bold" w:cstheme="minorHAnsi"/>
              <w:b/>
              <w:bCs/>
              <w:iCs/>
              <w:lang w:eastAsia="ja-JP"/>
            </w:rPr>
            <w:t>8.5</w:t>
          </w:r>
          <w:r>
            <w:rPr>
              <w:rFonts w:asciiTheme="minorHAnsi" w:hAnsiTheme="minorHAnsi" w:eastAsiaTheme="minorEastAsia" w:cstheme="minorBidi"/>
              <w:sz w:val="22"/>
              <w:szCs w:val="22"/>
            </w:rPr>
            <w:tab/>
          </w:r>
          <w:r>
            <w:rPr>
              <w:rStyle w:val="44"/>
              <w:rFonts w:eastAsia="Times New Roman Bold" w:cstheme="minorHAnsi"/>
              <w:b/>
              <w:bCs/>
              <w:iCs/>
              <w:lang w:eastAsia="ja-JP"/>
            </w:rPr>
            <w:t>Anticipated Positive Impacts During Decommissioning Phase</w:t>
          </w:r>
          <w:r>
            <w:tab/>
          </w:r>
          <w:r>
            <w:fldChar w:fldCharType="begin"/>
          </w:r>
          <w:r>
            <w:instrText xml:space="preserve"> PAGEREF _Toc179904094 \h </w:instrText>
          </w:r>
          <w:r>
            <w:fldChar w:fldCharType="separate"/>
          </w:r>
          <w:r>
            <w:t>51</w:t>
          </w:r>
          <w:r>
            <w:fldChar w:fldCharType="end"/>
          </w:r>
          <w:r>
            <w:fldChar w:fldCharType="end"/>
          </w:r>
        </w:p>
        <w:p w14:paraId="74A28F2B">
          <w:pPr>
            <w:pStyle w:val="93"/>
            <w:tabs>
              <w:tab w:val="left" w:pos="1962"/>
              <w:tab w:val="right" w:leader="dot" w:pos="9016"/>
            </w:tabs>
            <w:rPr>
              <w:rFonts w:asciiTheme="minorHAnsi" w:hAnsiTheme="minorHAnsi" w:eastAsiaTheme="minorEastAsia" w:cstheme="minorBidi"/>
              <w:sz w:val="22"/>
              <w:szCs w:val="22"/>
            </w:rPr>
          </w:pPr>
          <w:r>
            <w:fldChar w:fldCharType="begin"/>
          </w:r>
          <w:r>
            <w:instrText xml:space="preserve"> HYPERLINK \l "_Toc179904095" </w:instrText>
          </w:r>
          <w:r>
            <w:fldChar w:fldCharType="separate"/>
          </w:r>
          <w:r>
            <w:rPr>
              <w:rStyle w:val="44"/>
              <w:rFonts w:eastAsia="Times New Roman Bold" w:cstheme="minorHAnsi"/>
              <w:b/>
              <w:bCs/>
              <w:iCs/>
              <w:lang w:eastAsia="ja-JP"/>
            </w:rPr>
            <w:t>8.6</w:t>
          </w:r>
          <w:r>
            <w:rPr>
              <w:rFonts w:asciiTheme="minorHAnsi" w:hAnsiTheme="minorHAnsi" w:eastAsiaTheme="minorEastAsia" w:cstheme="minorBidi"/>
              <w:sz w:val="22"/>
              <w:szCs w:val="22"/>
            </w:rPr>
            <w:tab/>
          </w:r>
          <w:r>
            <w:rPr>
              <w:rStyle w:val="44"/>
              <w:rFonts w:eastAsia="Times New Roman Bold" w:cstheme="minorHAnsi"/>
              <w:b/>
              <w:bCs/>
              <w:iCs/>
              <w:lang w:eastAsia="ja-JP"/>
            </w:rPr>
            <w:t>Anticipated Negative impacts during pre-construction phase</w:t>
          </w:r>
          <w:r>
            <w:tab/>
          </w:r>
          <w:r>
            <w:fldChar w:fldCharType="begin"/>
          </w:r>
          <w:r>
            <w:instrText xml:space="preserve"> PAGEREF _Toc179904095 \h </w:instrText>
          </w:r>
          <w:r>
            <w:fldChar w:fldCharType="separate"/>
          </w:r>
          <w:r>
            <w:t>51</w:t>
          </w:r>
          <w:r>
            <w:fldChar w:fldCharType="end"/>
          </w:r>
          <w:r>
            <w:fldChar w:fldCharType="end"/>
          </w:r>
        </w:p>
        <w:p w14:paraId="1B5B62BA">
          <w:pPr>
            <w:pStyle w:val="93"/>
            <w:tabs>
              <w:tab w:val="left" w:pos="1962"/>
              <w:tab w:val="right" w:leader="dot" w:pos="9016"/>
            </w:tabs>
            <w:rPr>
              <w:rFonts w:asciiTheme="minorHAnsi" w:hAnsiTheme="minorHAnsi" w:eastAsiaTheme="minorEastAsia" w:cstheme="minorBidi"/>
              <w:sz w:val="22"/>
              <w:szCs w:val="22"/>
            </w:rPr>
          </w:pPr>
          <w:r>
            <w:fldChar w:fldCharType="begin"/>
          </w:r>
          <w:r>
            <w:instrText xml:space="preserve"> HYPERLINK \l "_Toc179904096" </w:instrText>
          </w:r>
          <w:r>
            <w:fldChar w:fldCharType="separate"/>
          </w:r>
          <w:r>
            <w:rPr>
              <w:rStyle w:val="44"/>
              <w:rFonts w:eastAsia="Times New Roman Bold" w:cstheme="minorHAnsi"/>
              <w:b/>
              <w:bCs/>
              <w:iCs/>
              <w:lang w:eastAsia="ja-JP"/>
            </w:rPr>
            <w:t>8.7</w:t>
          </w:r>
          <w:r>
            <w:rPr>
              <w:rFonts w:asciiTheme="minorHAnsi" w:hAnsiTheme="minorHAnsi" w:eastAsiaTheme="minorEastAsia" w:cstheme="minorBidi"/>
              <w:sz w:val="22"/>
              <w:szCs w:val="22"/>
            </w:rPr>
            <w:tab/>
          </w:r>
          <w:r>
            <w:rPr>
              <w:rStyle w:val="44"/>
              <w:rFonts w:eastAsia="Times New Roman Bold" w:cstheme="minorHAnsi"/>
              <w:b/>
              <w:bCs/>
              <w:iCs/>
              <w:lang w:eastAsia="ja-JP"/>
            </w:rPr>
            <w:t>Anticipated Negative Impacts during Construction</w:t>
          </w:r>
          <w:r>
            <w:tab/>
          </w:r>
          <w:r>
            <w:fldChar w:fldCharType="begin"/>
          </w:r>
          <w:r>
            <w:instrText xml:space="preserve"> PAGEREF _Toc179904096 \h </w:instrText>
          </w:r>
          <w:r>
            <w:fldChar w:fldCharType="separate"/>
          </w:r>
          <w:r>
            <w:t>53</w:t>
          </w:r>
          <w:r>
            <w:fldChar w:fldCharType="end"/>
          </w:r>
          <w:r>
            <w:fldChar w:fldCharType="end"/>
          </w:r>
        </w:p>
        <w:p w14:paraId="1BE74806">
          <w:pPr>
            <w:pStyle w:val="93"/>
            <w:tabs>
              <w:tab w:val="left" w:pos="1962"/>
              <w:tab w:val="right" w:leader="dot" w:pos="9016"/>
            </w:tabs>
            <w:rPr>
              <w:rFonts w:asciiTheme="minorHAnsi" w:hAnsiTheme="minorHAnsi" w:eastAsiaTheme="minorEastAsia" w:cstheme="minorBidi"/>
              <w:sz w:val="22"/>
              <w:szCs w:val="22"/>
            </w:rPr>
          </w:pPr>
          <w:r>
            <w:fldChar w:fldCharType="begin"/>
          </w:r>
          <w:r>
            <w:instrText xml:space="preserve"> HYPERLINK \l "_Toc179904097" </w:instrText>
          </w:r>
          <w:r>
            <w:fldChar w:fldCharType="separate"/>
          </w:r>
          <w:r>
            <w:rPr>
              <w:rStyle w:val="44"/>
              <w:rFonts w:eastAsia="Times New Roman Bold" w:cstheme="minorHAnsi"/>
              <w:b/>
              <w:bCs/>
              <w:iCs/>
              <w:lang w:eastAsia="ja-JP"/>
            </w:rPr>
            <w:t>8.8</w:t>
          </w:r>
          <w:r>
            <w:rPr>
              <w:rFonts w:asciiTheme="minorHAnsi" w:hAnsiTheme="minorHAnsi" w:eastAsiaTheme="minorEastAsia" w:cstheme="minorBidi"/>
              <w:sz w:val="22"/>
              <w:szCs w:val="22"/>
            </w:rPr>
            <w:tab/>
          </w:r>
          <w:r>
            <w:rPr>
              <w:rStyle w:val="44"/>
              <w:rFonts w:eastAsia="Times New Roman Bold" w:cstheme="minorHAnsi"/>
              <w:b/>
              <w:bCs/>
              <w:iCs/>
              <w:lang w:eastAsia="ja-JP"/>
            </w:rPr>
            <w:t>Anticipated Negative Impacts during Operation stage</w:t>
          </w:r>
          <w:r>
            <w:tab/>
          </w:r>
          <w:r>
            <w:fldChar w:fldCharType="begin"/>
          </w:r>
          <w:r>
            <w:instrText xml:space="preserve"> PAGEREF _Toc179904097 \h </w:instrText>
          </w:r>
          <w:r>
            <w:fldChar w:fldCharType="separate"/>
          </w:r>
          <w:r>
            <w:t>61</w:t>
          </w:r>
          <w:r>
            <w:fldChar w:fldCharType="end"/>
          </w:r>
          <w:r>
            <w:fldChar w:fldCharType="end"/>
          </w:r>
        </w:p>
        <w:p w14:paraId="12C2C87A">
          <w:pPr>
            <w:pStyle w:val="93"/>
            <w:tabs>
              <w:tab w:val="left" w:pos="1962"/>
              <w:tab w:val="right" w:leader="dot" w:pos="9016"/>
            </w:tabs>
            <w:rPr>
              <w:rFonts w:asciiTheme="minorHAnsi" w:hAnsiTheme="minorHAnsi" w:eastAsiaTheme="minorEastAsia" w:cstheme="minorBidi"/>
              <w:sz w:val="22"/>
              <w:szCs w:val="22"/>
            </w:rPr>
          </w:pPr>
          <w:r>
            <w:fldChar w:fldCharType="begin"/>
          </w:r>
          <w:r>
            <w:instrText xml:space="preserve"> HYPERLINK \l "_Toc179904098" </w:instrText>
          </w:r>
          <w:r>
            <w:fldChar w:fldCharType="separate"/>
          </w:r>
          <w:r>
            <w:rPr>
              <w:rStyle w:val="44"/>
              <w:rFonts w:eastAsia="Times New Roman Bold" w:cstheme="minorHAnsi"/>
              <w:b/>
              <w:bCs/>
              <w:iCs/>
              <w:lang w:eastAsia="ja-JP"/>
            </w:rPr>
            <w:t>8.9</w:t>
          </w:r>
          <w:r>
            <w:rPr>
              <w:rFonts w:asciiTheme="minorHAnsi" w:hAnsiTheme="minorHAnsi" w:eastAsiaTheme="minorEastAsia" w:cstheme="minorBidi"/>
              <w:sz w:val="22"/>
              <w:szCs w:val="22"/>
            </w:rPr>
            <w:tab/>
          </w:r>
          <w:r>
            <w:rPr>
              <w:rStyle w:val="44"/>
              <w:rFonts w:eastAsia="Times New Roman Bold" w:cstheme="minorHAnsi"/>
              <w:b/>
              <w:bCs/>
              <w:iCs/>
              <w:lang w:eastAsia="ja-JP"/>
            </w:rPr>
            <w:t>Anticipated Negative Impacts During Decommisioning Phase</w:t>
          </w:r>
          <w:r>
            <w:tab/>
          </w:r>
          <w:r>
            <w:fldChar w:fldCharType="begin"/>
          </w:r>
          <w:r>
            <w:instrText xml:space="preserve"> PAGEREF _Toc179904098 \h </w:instrText>
          </w:r>
          <w:r>
            <w:fldChar w:fldCharType="separate"/>
          </w:r>
          <w:r>
            <w:t>67</w:t>
          </w:r>
          <w:r>
            <w:fldChar w:fldCharType="end"/>
          </w:r>
          <w:r>
            <w:fldChar w:fldCharType="end"/>
          </w:r>
        </w:p>
        <w:p w14:paraId="5591AFEF">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"_Toc179904099" </w:instrText>
          </w:r>
          <w:r>
            <w:fldChar w:fldCharType="separate"/>
          </w:r>
          <w:r>
            <w:rPr>
              <w:rStyle w:val="44"/>
            </w:rPr>
            <w:t xml:space="preserve">9. </w:t>
          </w:r>
          <w:r>
            <w:rPr>
              <w:rFonts w:asciiTheme="minorHAnsi" w:hAnsiTheme="minorHAnsi" w:eastAsiaTheme="minorEastAsia" w:cstheme="minorBidi"/>
              <w:b w:val="0"/>
              <w:bCs w:val="0"/>
              <w:sz w:val="22"/>
              <w:szCs w:val="22"/>
            </w:rPr>
            <w:tab/>
          </w:r>
          <w:r>
            <w:rPr>
              <w:rStyle w:val="44"/>
            </w:rPr>
            <w:t>ENVIRONMENTAL &amp; SOCIAL MONITORING &amp; MANAGEMENT PLAN(ESMMP)</w:t>
          </w:r>
          <w:r>
            <w:tab/>
          </w:r>
          <w:r>
            <w:fldChar w:fldCharType="begin"/>
          </w:r>
          <w:r>
            <w:instrText xml:space="preserve"> PAGEREF _Toc179904099 \h </w:instrText>
          </w:r>
          <w:r>
            <w:fldChar w:fldCharType="separate"/>
          </w:r>
          <w:r>
            <w:t>69</w:t>
          </w:r>
          <w:r>
            <w:fldChar w:fldCharType="end"/>
          </w:r>
          <w:r>
            <w:fldChar w:fldCharType="end"/>
          </w:r>
        </w:p>
        <w:p w14:paraId="511745D4">
          <w:pPr>
            <w:pStyle w:val="93"/>
            <w:tabs>
              <w:tab w:val="left" w:pos="1959"/>
              <w:tab w:val="right" w:leader="dot" w:pos="9016"/>
            </w:tabs>
            <w:rPr>
              <w:rFonts w:asciiTheme="minorHAnsi" w:hAnsiTheme="minorHAnsi" w:eastAsiaTheme="minorEastAsia" w:cstheme="minorBidi"/>
              <w:sz w:val="22"/>
              <w:szCs w:val="22"/>
            </w:rPr>
          </w:pPr>
          <w:r>
            <w:fldChar w:fldCharType="begin"/>
          </w:r>
          <w:r>
            <w:instrText xml:space="preserve"> HYPERLINK \l "_Toc179904100" </w:instrText>
          </w:r>
          <w:r>
            <w:fldChar w:fldCharType="separate"/>
          </w:r>
          <w:r>
            <w:rPr>
              <w:rStyle w:val="44"/>
            </w:rPr>
            <w:t>9.1</w:t>
          </w:r>
          <w:r>
            <w:rPr>
              <w:rFonts w:asciiTheme="minorHAnsi" w:hAnsiTheme="minorHAnsi" w:eastAsiaTheme="minorEastAsia" w:cstheme="minorBidi"/>
              <w:sz w:val="22"/>
              <w:szCs w:val="22"/>
            </w:rPr>
            <w:tab/>
          </w:r>
          <w:r>
            <w:rPr>
              <w:rStyle w:val="44"/>
            </w:rPr>
            <w:t>Objectives of the ESMMP</w:t>
          </w:r>
          <w:r>
            <w:tab/>
          </w:r>
          <w:r>
            <w:fldChar w:fldCharType="begin"/>
          </w:r>
          <w:r>
            <w:instrText xml:space="preserve"> PAGEREF _Toc179904100 \h </w:instrText>
          </w:r>
          <w:r>
            <w:fldChar w:fldCharType="separate"/>
          </w:r>
          <w:r>
            <w:t>69</w:t>
          </w:r>
          <w:r>
            <w:fldChar w:fldCharType="end"/>
          </w:r>
          <w:r>
            <w:fldChar w:fldCharType="end"/>
          </w:r>
        </w:p>
        <w:p w14:paraId="04DEC656">
          <w:pPr>
            <w:pStyle w:val="93"/>
            <w:tabs>
              <w:tab w:val="left" w:pos="1959"/>
              <w:tab w:val="right" w:leader="dot" w:pos="9016"/>
            </w:tabs>
            <w:rPr>
              <w:rFonts w:asciiTheme="minorHAnsi" w:hAnsiTheme="minorHAnsi" w:eastAsiaTheme="minorEastAsia" w:cstheme="minorBidi"/>
              <w:sz w:val="22"/>
              <w:szCs w:val="22"/>
            </w:rPr>
          </w:pPr>
          <w:r>
            <w:fldChar w:fldCharType="begin"/>
          </w:r>
          <w:r>
            <w:instrText xml:space="preserve"> HYPERLINK \l "_Toc179904101" </w:instrText>
          </w:r>
          <w:r>
            <w:fldChar w:fldCharType="separate"/>
          </w:r>
          <w:r>
            <w:rPr>
              <w:rStyle w:val="44"/>
            </w:rPr>
            <w:t>9.2</w:t>
          </w:r>
          <w:r>
            <w:rPr>
              <w:rFonts w:asciiTheme="minorHAnsi" w:hAnsiTheme="minorHAnsi" w:eastAsiaTheme="minorEastAsia" w:cstheme="minorBidi"/>
              <w:sz w:val="22"/>
              <w:szCs w:val="22"/>
            </w:rPr>
            <w:tab/>
          </w:r>
          <w:r>
            <w:rPr>
              <w:rStyle w:val="44"/>
            </w:rPr>
            <w:t>Impacts Classification Criteria</w:t>
          </w:r>
          <w:r>
            <w:tab/>
          </w:r>
          <w:r>
            <w:fldChar w:fldCharType="begin"/>
          </w:r>
          <w:r>
            <w:instrText xml:space="preserve"> PAGEREF _Toc179904101 \h </w:instrText>
          </w:r>
          <w:r>
            <w:fldChar w:fldCharType="separate"/>
          </w:r>
          <w:r>
            <w:t>69</w:t>
          </w:r>
          <w:r>
            <w:fldChar w:fldCharType="end"/>
          </w:r>
          <w:r>
            <w:fldChar w:fldCharType="end"/>
          </w:r>
        </w:p>
        <w:p w14:paraId="716B8F6E">
          <w:pPr>
            <w:pStyle w:val="93"/>
            <w:tabs>
              <w:tab w:val="left" w:pos="1959"/>
              <w:tab w:val="right" w:leader="dot" w:pos="9016"/>
            </w:tabs>
            <w:rPr>
              <w:rFonts w:asciiTheme="minorHAnsi" w:hAnsiTheme="minorHAnsi" w:eastAsiaTheme="minorEastAsia" w:cstheme="minorBidi"/>
              <w:sz w:val="22"/>
              <w:szCs w:val="22"/>
            </w:rPr>
          </w:pPr>
          <w:r>
            <w:fldChar w:fldCharType="begin"/>
          </w:r>
          <w:r>
            <w:instrText xml:space="preserve"> HYPERLINK \l "_Toc179904102" </w:instrText>
          </w:r>
          <w:r>
            <w:fldChar w:fldCharType="separate"/>
          </w:r>
          <w:r>
            <w:rPr>
              <w:rStyle w:val="44"/>
            </w:rPr>
            <w:t>9.3</w:t>
          </w:r>
          <w:r>
            <w:rPr>
              <w:rFonts w:asciiTheme="minorHAnsi" w:hAnsiTheme="minorHAnsi" w:eastAsiaTheme="minorEastAsia" w:cstheme="minorBidi"/>
              <w:sz w:val="22"/>
              <w:szCs w:val="22"/>
            </w:rPr>
            <w:tab/>
          </w:r>
          <w:r>
            <w:rPr>
              <w:rStyle w:val="44"/>
            </w:rPr>
            <w:t>Implementation Arrangements for the Environmental and Social Management Plan</w:t>
          </w:r>
          <w:r>
            <w:tab/>
          </w:r>
          <w:r>
            <w:fldChar w:fldCharType="begin"/>
          </w:r>
          <w:r>
            <w:instrText xml:space="preserve"> PAGEREF _Toc179904102 \h </w:instrText>
          </w:r>
          <w:r>
            <w:fldChar w:fldCharType="separate"/>
          </w:r>
          <w:r>
            <w:t>70</w:t>
          </w:r>
          <w:r>
            <w:fldChar w:fldCharType="end"/>
          </w:r>
          <w:r>
            <w:fldChar w:fldCharType="end"/>
          </w:r>
        </w:p>
        <w:p w14:paraId="466A6606">
          <w:pPr>
            <w:pStyle w:val="93"/>
            <w:tabs>
              <w:tab w:val="left" w:pos="1959"/>
              <w:tab w:val="right" w:leader="dot" w:pos="9016"/>
            </w:tabs>
            <w:rPr>
              <w:rFonts w:asciiTheme="minorHAnsi" w:hAnsiTheme="minorHAnsi" w:eastAsiaTheme="minorEastAsia" w:cstheme="minorBidi"/>
              <w:sz w:val="22"/>
              <w:szCs w:val="22"/>
            </w:rPr>
          </w:pPr>
          <w:r>
            <w:fldChar w:fldCharType="begin"/>
          </w:r>
          <w:r>
            <w:instrText xml:space="preserve"> HYPERLINK \l "_Toc179904103" </w:instrText>
          </w:r>
          <w:r>
            <w:fldChar w:fldCharType="separate"/>
          </w:r>
          <w:r>
            <w:rPr>
              <w:rStyle w:val="44"/>
            </w:rPr>
            <w:t>9.4</w:t>
          </w:r>
          <w:r>
            <w:rPr>
              <w:rFonts w:asciiTheme="minorHAnsi" w:hAnsiTheme="minorHAnsi" w:eastAsiaTheme="minorEastAsia" w:cstheme="minorBidi"/>
              <w:sz w:val="22"/>
              <w:szCs w:val="22"/>
            </w:rPr>
            <w:tab/>
          </w:r>
          <w:r>
            <w:rPr>
              <w:rStyle w:val="44"/>
            </w:rPr>
            <w:t>ESMMP</w:t>
          </w:r>
          <w:r>
            <w:tab/>
          </w:r>
          <w:r>
            <w:fldChar w:fldCharType="begin"/>
          </w:r>
          <w:r>
            <w:instrText xml:space="preserve"> PAGEREF _Toc179904103 \h </w:instrText>
          </w:r>
          <w:r>
            <w:fldChar w:fldCharType="separate"/>
          </w:r>
          <w:r>
            <w:t>72</w:t>
          </w:r>
          <w:r>
            <w:fldChar w:fldCharType="end"/>
          </w:r>
          <w:r>
            <w:fldChar w:fldCharType="end"/>
          </w:r>
        </w:p>
        <w:p w14:paraId="7AD8BFC7">
          <w:pPr>
            <w:pStyle w:val="94"/>
            <w:tabs>
              <w:tab w:val="left" w:pos="1487"/>
              <w:tab w:val="right" w:leader="dot" w:pos="9016"/>
            </w:tabs>
            <w:rPr>
              <w:rFonts w:asciiTheme="minorHAnsi" w:hAnsiTheme="minorHAnsi" w:eastAsiaTheme="minorEastAsia"/>
            </w:rPr>
          </w:pPr>
          <w:r>
            <w:fldChar w:fldCharType="begin"/>
          </w:r>
          <w:r>
            <w:instrText xml:space="preserve"> HYPERLINK \l "_Toc179904104" </w:instrText>
          </w:r>
          <w:r>
            <w:fldChar w:fldCharType="separate"/>
          </w:r>
          <w:r>
            <w:rPr>
              <w:rStyle w:val="44"/>
            </w:rPr>
            <w:t>9.4.1</w:t>
          </w:r>
          <w:r>
            <w:rPr>
              <w:rFonts w:asciiTheme="minorHAnsi" w:hAnsiTheme="minorHAnsi" w:eastAsiaTheme="minorEastAsia"/>
            </w:rPr>
            <w:tab/>
          </w:r>
          <w:r>
            <w:rPr>
              <w:rStyle w:val="44"/>
              <w:i/>
            </w:rPr>
            <w:t xml:space="preserve"> </w:t>
          </w:r>
          <w:r>
            <w:rPr>
              <w:rStyle w:val="44"/>
            </w:rPr>
            <w:t>ESMMP for Preconstruction Stage</w:t>
          </w:r>
          <w:r>
            <w:tab/>
          </w:r>
          <w:r>
            <w:fldChar w:fldCharType="begin"/>
          </w:r>
          <w:r>
            <w:instrText xml:space="preserve"> PAGEREF _Toc179904104 \h </w:instrText>
          </w:r>
          <w:r>
            <w:fldChar w:fldCharType="separate"/>
          </w:r>
          <w:r>
            <w:t>72</w:t>
          </w:r>
          <w:r>
            <w:fldChar w:fldCharType="end"/>
          </w:r>
          <w:r>
            <w:fldChar w:fldCharType="end"/>
          </w:r>
        </w:p>
        <w:p w14:paraId="6842400F">
          <w:pPr>
            <w:pStyle w:val="94"/>
            <w:tabs>
              <w:tab w:val="left" w:pos="1487"/>
              <w:tab w:val="right" w:leader="dot" w:pos="9016"/>
            </w:tabs>
            <w:rPr>
              <w:rFonts w:asciiTheme="minorHAnsi" w:hAnsiTheme="minorHAnsi" w:eastAsiaTheme="minorEastAsia"/>
            </w:rPr>
          </w:pPr>
          <w:r>
            <w:fldChar w:fldCharType="begin"/>
          </w:r>
          <w:r>
            <w:instrText xml:space="preserve"> HYPERLINK \l "_Toc179904105" </w:instrText>
          </w:r>
          <w:r>
            <w:fldChar w:fldCharType="separate"/>
          </w:r>
          <w:r>
            <w:rPr>
              <w:rStyle w:val="44"/>
            </w:rPr>
            <w:t>9.4.2</w:t>
          </w:r>
          <w:r>
            <w:rPr>
              <w:rFonts w:asciiTheme="minorHAnsi" w:hAnsiTheme="minorHAnsi" w:eastAsiaTheme="minorEastAsia"/>
            </w:rPr>
            <w:tab/>
          </w:r>
          <w:r>
            <w:rPr>
              <w:rStyle w:val="44"/>
            </w:rPr>
            <w:t xml:space="preserve"> ESMMP for Construction Phase</w:t>
          </w:r>
          <w:r>
            <w:tab/>
          </w:r>
          <w:r>
            <w:fldChar w:fldCharType="begin"/>
          </w:r>
          <w:r>
            <w:instrText xml:space="preserve"> PAGEREF _Toc179904105 \h </w:instrText>
          </w:r>
          <w:r>
            <w:fldChar w:fldCharType="separate"/>
          </w:r>
          <w:r>
            <w:t>73</w:t>
          </w:r>
          <w:r>
            <w:fldChar w:fldCharType="end"/>
          </w:r>
          <w:r>
            <w:fldChar w:fldCharType="end"/>
          </w:r>
        </w:p>
        <w:p w14:paraId="50A06893">
          <w:pPr>
            <w:pStyle w:val="94"/>
            <w:tabs>
              <w:tab w:val="left" w:pos="1487"/>
              <w:tab w:val="right" w:leader="dot" w:pos="9016"/>
            </w:tabs>
            <w:rPr>
              <w:rFonts w:asciiTheme="minorHAnsi" w:hAnsiTheme="minorHAnsi" w:eastAsiaTheme="minorEastAsia"/>
            </w:rPr>
          </w:pPr>
          <w:r>
            <w:fldChar w:fldCharType="begin"/>
          </w:r>
          <w:r>
            <w:instrText xml:space="preserve"> HYPERLINK \l "_Toc179904106" </w:instrText>
          </w:r>
          <w:r>
            <w:fldChar w:fldCharType="separate"/>
          </w:r>
          <w:r>
            <w:rPr>
              <w:rStyle w:val="44"/>
            </w:rPr>
            <w:t xml:space="preserve">9.4.3 </w:t>
          </w:r>
          <w:r>
            <w:rPr>
              <w:rFonts w:asciiTheme="minorHAnsi" w:hAnsiTheme="minorHAnsi" w:eastAsiaTheme="minorEastAsia"/>
            </w:rPr>
            <w:tab/>
          </w:r>
          <w:r>
            <w:rPr>
              <w:rStyle w:val="44"/>
            </w:rPr>
            <w:t>ESMMP for Operation Phase</w:t>
          </w:r>
          <w:r>
            <w:tab/>
          </w:r>
          <w:r>
            <w:fldChar w:fldCharType="begin"/>
          </w:r>
          <w:r>
            <w:instrText xml:space="preserve"> PAGEREF _Toc179904106 \h </w:instrText>
          </w:r>
          <w:r>
            <w:fldChar w:fldCharType="separate"/>
          </w:r>
          <w:r>
            <w:t>83</w:t>
          </w:r>
          <w:r>
            <w:fldChar w:fldCharType="end"/>
          </w:r>
          <w:r>
            <w:fldChar w:fldCharType="end"/>
          </w:r>
        </w:p>
        <w:p w14:paraId="34D8A32C">
          <w:pPr>
            <w:pStyle w:val="94"/>
            <w:tabs>
              <w:tab w:val="left" w:pos="1487"/>
              <w:tab w:val="right" w:leader="dot" w:pos="9016"/>
            </w:tabs>
            <w:rPr>
              <w:rFonts w:asciiTheme="minorHAnsi" w:hAnsiTheme="minorHAnsi" w:eastAsiaTheme="minorEastAsia"/>
            </w:rPr>
          </w:pPr>
          <w:r>
            <w:fldChar w:fldCharType="begin"/>
          </w:r>
          <w:r>
            <w:instrText xml:space="preserve"> HYPERLINK \l "_Toc179904107" </w:instrText>
          </w:r>
          <w:r>
            <w:fldChar w:fldCharType="separate"/>
          </w:r>
          <w:r>
            <w:rPr>
              <w:rStyle w:val="44"/>
            </w:rPr>
            <w:t xml:space="preserve">9.4.4 </w:t>
          </w:r>
          <w:r>
            <w:rPr>
              <w:rFonts w:asciiTheme="minorHAnsi" w:hAnsiTheme="minorHAnsi" w:eastAsiaTheme="minorEastAsia"/>
            </w:rPr>
            <w:tab/>
          </w:r>
          <w:r>
            <w:rPr>
              <w:rStyle w:val="44"/>
            </w:rPr>
            <w:t>ESMMP for Decommissioning Phase</w:t>
          </w:r>
          <w:r>
            <w:tab/>
          </w:r>
          <w:r>
            <w:fldChar w:fldCharType="begin"/>
          </w:r>
          <w:r>
            <w:instrText xml:space="preserve"> PAGEREF _Toc179904107 \h </w:instrText>
          </w:r>
          <w:r>
            <w:fldChar w:fldCharType="separate"/>
          </w:r>
          <w:r>
            <w:t>90</w:t>
          </w:r>
          <w:r>
            <w:fldChar w:fldCharType="end"/>
          </w:r>
          <w:r>
            <w:fldChar w:fldCharType="end"/>
          </w:r>
        </w:p>
        <w:p w14:paraId="75F8ABAB">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"_Toc179904108" </w:instrText>
          </w:r>
          <w:r>
            <w:fldChar w:fldCharType="separate"/>
          </w:r>
          <w:r>
            <w:rPr>
              <w:rStyle w:val="44"/>
            </w:rPr>
            <w:t>10.</w:t>
          </w:r>
          <w:r>
            <w:rPr>
              <w:rFonts w:asciiTheme="minorHAnsi" w:hAnsiTheme="minorHAnsi" w:eastAsiaTheme="minorEastAsia" w:cstheme="minorBidi"/>
              <w:b w:val="0"/>
              <w:bCs w:val="0"/>
              <w:sz w:val="22"/>
              <w:szCs w:val="22"/>
            </w:rPr>
            <w:tab/>
          </w:r>
          <w:r>
            <w:rPr>
              <w:rStyle w:val="44"/>
            </w:rPr>
            <w:t>GRIEVANCE REDRESS MECHANISM</w:t>
          </w:r>
          <w:r>
            <w:tab/>
          </w:r>
          <w:r>
            <w:fldChar w:fldCharType="begin"/>
          </w:r>
          <w:r>
            <w:instrText xml:space="preserve"> PAGEREF _Toc179904108 \h </w:instrText>
          </w:r>
          <w:r>
            <w:fldChar w:fldCharType="separate"/>
          </w:r>
          <w:r>
            <w:t>91</w:t>
          </w:r>
          <w:r>
            <w:fldChar w:fldCharType="end"/>
          </w:r>
          <w:r>
            <w:fldChar w:fldCharType="end"/>
          </w:r>
        </w:p>
        <w:p w14:paraId="5FDEB368">
          <w:pPr>
            <w:pStyle w:val="93"/>
            <w:tabs>
              <w:tab w:val="right" w:leader="dot" w:pos="9016"/>
            </w:tabs>
            <w:rPr>
              <w:rFonts w:asciiTheme="minorHAnsi" w:hAnsiTheme="minorHAnsi" w:eastAsiaTheme="minorEastAsia" w:cstheme="minorBidi"/>
              <w:sz w:val="22"/>
              <w:szCs w:val="22"/>
            </w:rPr>
          </w:pPr>
          <w:r>
            <w:fldChar w:fldCharType="begin"/>
          </w:r>
          <w:r>
            <w:instrText xml:space="preserve"> HYPERLINK \l "_Toc179904109" </w:instrText>
          </w:r>
          <w:r>
            <w:fldChar w:fldCharType="separate"/>
          </w:r>
          <w:r>
            <w:rPr>
              <w:rStyle w:val="44"/>
            </w:rPr>
            <w:t>10.1 Objectives of the GRM</w:t>
          </w:r>
          <w:r>
            <w:tab/>
          </w:r>
          <w:r>
            <w:fldChar w:fldCharType="begin"/>
          </w:r>
          <w:r>
            <w:instrText xml:space="preserve"> PAGEREF _Toc179904109 \h </w:instrText>
          </w:r>
          <w:r>
            <w:fldChar w:fldCharType="separate"/>
          </w:r>
          <w:r>
            <w:t>91</w:t>
          </w:r>
          <w:r>
            <w:fldChar w:fldCharType="end"/>
          </w:r>
          <w:r>
            <w:fldChar w:fldCharType="end"/>
          </w:r>
        </w:p>
        <w:p w14:paraId="7D959962">
          <w:pPr>
            <w:pStyle w:val="93"/>
            <w:tabs>
              <w:tab w:val="left" w:pos="2106"/>
              <w:tab w:val="right" w:leader="dot" w:pos="9016"/>
            </w:tabs>
            <w:rPr>
              <w:rFonts w:asciiTheme="minorHAnsi" w:hAnsiTheme="minorHAnsi" w:eastAsiaTheme="minorEastAsia" w:cstheme="minorBidi"/>
              <w:sz w:val="22"/>
              <w:szCs w:val="22"/>
            </w:rPr>
          </w:pPr>
          <w:r>
            <w:fldChar w:fldCharType="begin"/>
          </w:r>
          <w:r>
            <w:instrText xml:space="preserve"> HYPERLINK \l "_Toc179904110" </w:instrText>
          </w:r>
          <w:r>
            <w:fldChar w:fldCharType="separate"/>
          </w:r>
          <w:r>
            <w:rPr>
              <w:rStyle w:val="44"/>
            </w:rPr>
            <w:t xml:space="preserve">10.2 </w:t>
          </w:r>
          <w:r>
            <w:rPr>
              <w:rFonts w:asciiTheme="minorHAnsi" w:hAnsiTheme="minorHAnsi" w:eastAsiaTheme="minorEastAsia" w:cstheme="minorBidi"/>
              <w:sz w:val="22"/>
              <w:szCs w:val="22"/>
            </w:rPr>
            <w:tab/>
          </w:r>
          <w:r>
            <w:rPr>
              <w:rStyle w:val="44"/>
            </w:rPr>
            <w:t>Proposed Grievance Redress Procedure</w:t>
          </w:r>
          <w:r>
            <w:tab/>
          </w:r>
          <w:r>
            <w:fldChar w:fldCharType="begin"/>
          </w:r>
          <w:r>
            <w:instrText xml:space="preserve"> PAGEREF _Toc179904110 \h </w:instrText>
          </w:r>
          <w:r>
            <w:fldChar w:fldCharType="separate"/>
          </w:r>
          <w:r>
            <w:t>91</w:t>
          </w:r>
          <w:r>
            <w:fldChar w:fldCharType="end"/>
          </w:r>
          <w:r>
            <w:fldChar w:fldCharType="end"/>
          </w:r>
        </w:p>
        <w:p w14:paraId="6F2A476C">
          <w:pPr>
            <w:pStyle w:val="93"/>
            <w:tabs>
              <w:tab w:val="left" w:pos="2106"/>
              <w:tab w:val="right" w:leader="dot" w:pos="9016"/>
            </w:tabs>
            <w:rPr>
              <w:rFonts w:asciiTheme="minorHAnsi" w:hAnsiTheme="minorHAnsi" w:eastAsiaTheme="minorEastAsia" w:cstheme="minorBidi"/>
              <w:sz w:val="22"/>
              <w:szCs w:val="22"/>
            </w:rPr>
          </w:pPr>
          <w:r>
            <w:fldChar w:fldCharType="begin"/>
          </w:r>
          <w:r>
            <w:instrText xml:space="preserve"> HYPERLINK \l "_Toc179904111" </w:instrText>
          </w:r>
          <w:r>
            <w:fldChar w:fldCharType="separate"/>
          </w:r>
          <w:r>
            <w:rPr>
              <w:rStyle w:val="44"/>
            </w:rPr>
            <w:t xml:space="preserve">10.3 </w:t>
          </w:r>
          <w:r>
            <w:rPr>
              <w:rFonts w:asciiTheme="minorHAnsi" w:hAnsiTheme="minorHAnsi" w:eastAsiaTheme="minorEastAsia" w:cstheme="minorBidi"/>
              <w:sz w:val="22"/>
              <w:szCs w:val="22"/>
            </w:rPr>
            <w:tab/>
          </w:r>
          <w:r>
            <w:rPr>
              <w:rStyle w:val="44"/>
            </w:rPr>
            <w:t>The Four Tiers of Grievance Redress Mechanism</w:t>
          </w:r>
          <w:r>
            <w:tab/>
          </w:r>
          <w:r>
            <w:fldChar w:fldCharType="begin"/>
          </w:r>
          <w:r>
            <w:instrText xml:space="preserve"> PAGEREF _Toc179904111 \h </w:instrText>
          </w:r>
          <w:r>
            <w:fldChar w:fldCharType="separate"/>
          </w:r>
          <w:r>
            <w:t>94</w:t>
          </w:r>
          <w:r>
            <w:fldChar w:fldCharType="end"/>
          </w:r>
          <w:r>
            <w:fldChar w:fldCharType="end"/>
          </w:r>
        </w:p>
        <w:p w14:paraId="44030022">
          <w:pPr>
            <w:pStyle w:val="93"/>
            <w:tabs>
              <w:tab w:val="left" w:pos="2061"/>
              <w:tab w:val="right" w:leader="dot" w:pos="9016"/>
            </w:tabs>
            <w:rPr>
              <w:rFonts w:asciiTheme="minorHAnsi" w:hAnsiTheme="minorHAnsi" w:eastAsiaTheme="minorEastAsia" w:cstheme="minorBidi"/>
              <w:sz w:val="22"/>
              <w:szCs w:val="22"/>
            </w:rPr>
          </w:pPr>
          <w:r>
            <w:fldChar w:fldCharType="begin"/>
          </w:r>
          <w:r>
            <w:instrText xml:space="preserve"> HYPERLINK \l "_Toc179904112" </w:instrText>
          </w:r>
          <w:r>
            <w:fldChar w:fldCharType="separate"/>
          </w:r>
          <w:r>
            <w:rPr>
              <w:rStyle w:val="44"/>
            </w:rPr>
            <w:t>10.4</w:t>
          </w:r>
          <w:r>
            <w:rPr>
              <w:rFonts w:asciiTheme="minorHAnsi" w:hAnsiTheme="minorHAnsi" w:eastAsiaTheme="minorEastAsia" w:cstheme="minorBidi"/>
              <w:sz w:val="22"/>
              <w:szCs w:val="22"/>
            </w:rPr>
            <w:tab/>
          </w:r>
          <w:r>
            <w:rPr>
              <w:rStyle w:val="44"/>
            </w:rPr>
            <w:t xml:space="preserve"> Worker Grievance Procedure</w:t>
          </w:r>
          <w:r>
            <w:tab/>
          </w:r>
          <w:r>
            <w:fldChar w:fldCharType="begin"/>
          </w:r>
          <w:r>
            <w:instrText xml:space="preserve"> PAGEREF _Toc179904112 \h </w:instrText>
          </w:r>
          <w:r>
            <w:fldChar w:fldCharType="separate"/>
          </w:r>
          <w:r>
            <w:t>94</w:t>
          </w:r>
          <w:r>
            <w:fldChar w:fldCharType="end"/>
          </w:r>
          <w:r>
            <w:fldChar w:fldCharType="end"/>
          </w:r>
        </w:p>
        <w:p w14:paraId="4228E29B">
          <w:pPr>
            <w:pStyle w:val="93"/>
            <w:tabs>
              <w:tab w:val="left" w:pos="2106"/>
              <w:tab w:val="right" w:leader="dot" w:pos="9016"/>
            </w:tabs>
            <w:rPr>
              <w:rFonts w:asciiTheme="minorHAnsi" w:hAnsiTheme="minorHAnsi" w:eastAsiaTheme="minorEastAsia" w:cstheme="minorBidi"/>
              <w:sz w:val="22"/>
              <w:szCs w:val="22"/>
            </w:rPr>
          </w:pPr>
          <w:r>
            <w:fldChar w:fldCharType="begin"/>
          </w:r>
          <w:r>
            <w:instrText xml:space="preserve"> HYPERLINK \l "_Toc179904113" </w:instrText>
          </w:r>
          <w:r>
            <w:fldChar w:fldCharType="separate"/>
          </w:r>
          <w:r>
            <w:rPr>
              <w:rStyle w:val="44"/>
            </w:rPr>
            <w:t xml:space="preserve">10.5 </w:t>
          </w:r>
          <w:r>
            <w:rPr>
              <w:rFonts w:asciiTheme="minorHAnsi" w:hAnsiTheme="minorHAnsi" w:eastAsiaTheme="minorEastAsia" w:cstheme="minorBidi"/>
              <w:sz w:val="22"/>
              <w:szCs w:val="22"/>
            </w:rPr>
            <w:tab/>
          </w:r>
          <w:r>
            <w:rPr>
              <w:rStyle w:val="44"/>
            </w:rPr>
            <w:t>World Bank Group Grievance Redress Service</w:t>
          </w:r>
          <w:r>
            <w:tab/>
          </w:r>
          <w:r>
            <w:fldChar w:fldCharType="begin"/>
          </w:r>
          <w:r>
            <w:instrText xml:space="preserve"> PAGEREF _Toc179904113 \h </w:instrText>
          </w:r>
          <w:r>
            <w:fldChar w:fldCharType="separate"/>
          </w:r>
          <w:r>
            <w:t>95</w:t>
          </w:r>
          <w:r>
            <w:fldChar w:fldCharType="end"/>
          </w:r>
          <w:r>
            <w:fldChar w:fldCharType="end"/>
          </w:r>
        </w:p>
        <w:p w14:paraId="358A2E60">
          <w:pPr>
            <w:pStyle w:val="92"/>
            <w:tabs>
              <w:tab w:val="left" w:pos="1847"/>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"_Toc179904114" </w:instrText>
          </w:r>
          <w:r>
            <w:fldChar w:fldCharType="separate"/>
          </w:r>
          <w:r>
            <w:rPr>
              <w:rStyle w:val="44"/>
            </w:rPr>
            <w:t>11.</w:t>
          </w:r>
          <w:r>
            <w:rPr>
              <w:rFonts w:asciiTheme="minorHAnsi" w:hAnsiTheme="minorHAnsi" w:eastAsiaTheme="minorEastAsia" w:cstheme="minorBidi"/>
              <w:b w:val="0"/>
              <w:bCs w:val="0"/>
              <w:sz w:val="22"/>
              <w:szCs w:val="22"/>
            </w:rPr>
            <w:tab/>
          </w:r>
          <w:r>
            <w:rPr>
              <w:rStyle w:val="44"/>
            </w:rPr>
            <w:t>CONCLUSION AND RECOMMENDATIONS</w:t>
          </w:r>
          <w:r>
            <w:tab/>
          </w:r>
          <w:r>
            <w:fldChar w:fldCharType="begin"/>
          </w:r>
          <w:r>
            <w:instrText xml:space="preserve"> PAGEREF _Toc179904114 \h </w:instrText>
          </w:r>
          <w:r>
            <w:fldChar w:fldCharType="separate"/>
          </w:r>
          <w:r>
            <w:t>97</w:t>
          </w:r>
          <w:r>
            <w:fldChar w:fldCharType="end"/>
          </w:r>
          <w:r>
            <w:fldChar w:fldCharType="end"/>
          </w:r>
        </w:p>
        <w:p w14:paraId="1121D917">
          <w:pPr>
            <w:pStyle w:val="93"/>
            <w:tabs>
              <w:tab w:val="left" w:pos="2061"/>
              <w:tab w:val="right" w:leader="dot" w:pos="9016"/>
            </w:tabs>
            <w:rPr>
              <w:rFonts w:asciiTheme="minorHAnsi" w:hAnsiTheme="minorHAnsi" w:eastAsiaTheme="minorEastAsia" w:cstheme="minorBidi"/>
              <w:sz w:val="22"/>
              <w:szCs w:val="22"/>
            </w:rPr>
          </w:pPr>
          <w:r>
            <w:fldChar w:fldCharType="begin"/>
          </w:r>
          <w:r>
            <w:instrText xml:space="preserve"> HYPERLINK \l "_Toc179904115" </w:instrText>
          </w:r>
          <w:r>
            <w:fldChar w:fldCharType="separate"/>
          </w:r>
          <w:r>
            <w:rPr>
              <w:rStyle w:val="44"/>
            </w:rPr>
            <w:t>11.1</w:t>
          </w:r>
          <w:r>
            <w:rPr>
              <w:rFonts w:asciiTheme="minorHAnsi" w:hAnsiTheme="minorHAnsi" w:eastAsiaTheme="minorEastAsia" w:cstheme="minorBidi"/>
              <w:sz w:val="22"/>
              <w:szCs w:val="22"/>
            </w:rPr>
            <w:tab/>
          </w:r>
          <w:r>
            <w:rPr>
              <w:rStyle w:val="44"/>
            </w:rPr>
            <w:t>CONCLUSION</w:t>
          </w:r>
          <w:r>
            <w:tab/>
          </w:r>
          <w:r>
            <w:fldChar w:fldCharType="begin"/>
          </w:r>
          <w:r>
            <w:instrText xml:space="preserve"> PAGEREF _Toc179904115 \h </w:instrText>
          </w:r>
          <w:r>
            <w:fldChar w:fldCharType="separate"/>
          </w:r>
          <w:r>
            <w:t>97</w:t>
          </w:r>
          <w:r>
            <w:fldChar w:fldCharType="end"/>
          </w:r>
          <w:r>
            <w:fldChar w:fldCharType="end"/>
          </w:r>
        </w:p>
        <w:p w14:paraId="5A921461">
          <w:pPr>
            <w:pStyle w:val="93"/>
            <w:tabs>
              <w:tab w:val="left" w:pos="2061"/>
              <w:tab w:val="right" w:leader="dot" w:pos="9016"/>
            </w:tabs>
            <w:rPr>
              <w:rFonts w:asciiTheme="minorHAnsi" w:hAnsiTheme="minorHAnsi" w:eastAsiaTheme="minorEastAsia" w:cstheme="minorBidi"/>
              <w:sz w:val="22"/>
              <w:szCs w:val="22"/>
            </w:rPr>
          </w:pPr>
          <w:r>
            <w:fldChar w:fldCharType="begin"/>
          </w:r>
          <w:r>
            <w:instrText xml:space="preserve"> HYPERLINK \l "_Toc179904116" </w:instrText>
          </w:r>
          <w:r>
            <w:fldChar w:fldCharType="separate"/>
          </w:r>
          <w:r>
            <w:rPr>
              <w:rStyle w:val="44"/>
            </w:rPr>
            <w:t>10.2</w:t>
          </w:r>
          <w:r>
            <w:rPr>
              <w:rFonts w:asciiTheme="minorHAnsi" w:hAnsiTheme="minorHAnsi" w:eastAsiaTheme="minorEastAsia" w:cstheme="minorBidi"/>
              <w:sz w:val="22"/>
              <w:szCs w:val="22"/>
            </w:rPr>
            <w:tab/>
          </w:r>
          <w:r>
            <w:rPr>
              <w:rStyle w:val="44"/>
            </w:rPr>
            <w:t>RECOMMENDATION</w:t>
          </w:r>
          <w:r>
            <w:tab/>
          </w:r>
          <w:r>
            <w:fldChar w:fldCharType="begin"/>
          </w:r>
          <w:r>
            <w:instrText xml:space="preserve"> PAGEREF _Toc179904116 \h </w:instrText>
          </w:r>
          <w:r>
            <w:fldChar w:fldCharType="separate"/>
          </w:r>
          <w:r>
            <w:t>97</w:t>
          </w:r>
          <w:r>
            <w:fldChar w:fldCharType="end"/>
          </w:r>
          <w:r>
            <w:fldChar w:fldCharType="end"/>
          </w:r>
        </w:p>
        <w:p w14:paraId="3124C2F4">
          <w:pPr>
            <w:pStyle w:val="92"/>
            <w:tabs>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"_Toc179904117" </w:instrText>
          </w:r>
          <w:r>
            <w:fldChar w:fldCharType="separate"/>
          </w:r>
          <w:r>
            <w:rPr>
              <w:rStyle w:val="44"/>
            </w:rPr>
            <w:t>REFERENCES</w:t>
          </w:r>
          <w:r>
            <w:tab/>
          </w:r>
          <w:r>
            <w:fldChar w:fldCharType="begin"/>
          </w:r>
          <w:r>
            <w:instrText xml:space="preserve"> PAGEREF _Toc179904117 \h </w:instrText>
          </w:r>
          <w:r>
            <w:fldChar w:fldCharType="separate"/>
          </w:r>
          <w:r>
            <w:t>98</w:t>
          </w:r>
          <w:r>
            <w:fldChar w:fldCharType="end"/>
          </w:r>
          <w:r>
            <w:fldChar w:fldCharType="end"/>
          </w:r>
        </w:p>
        <w:p w14:paraId="6A57CBD3">
          <w:pPr>
            <w:pStyle w:val="92"/>
            <w:tabs>
              <w:tab w:val="right" w:leader="dot" w:pos="9016"/>
            </w:tabs>
            <w:rPr>
              <w:rFonts w:asciiTheme="minorHAnsi" w:hAnsiTheme="minorHAnsi" w:eastAsiaTheme="minorEastAsia" w:cstheme="minorBidi"/>
              <w:b w:val="0"/>
              <w:bCs w:val="0"/>
              <w:sz w:val="22"/>
              <w:szCs w:val="22"/>
            </w:rPr>
          </w:pPr>
          <w:r>
            <w:fldChar w:fldCharType="begin"/>
          </w:r>
          <w:r>
            <w:instrText xml:space="preserve"> HYPERLINK \l "_Toc179904118" </w:instrText>
          </w:r>
          <w:r>
            <w:fldChar w:fldCharType="separate"/>
          </w:r>
          <w:r>
            <w:rPr>
              <w:rStyle w:val="44"/>
            </w:rPr>
            <w:t>ANNEXES</w:t>
          </w:r>
          <w:r>
            <w:tab/>
          </w:r>
          <w:r>
            <w:fldChar w:fldCharType="begin"/>
          </w:r>
          <w:r>
            <w:instrText xml:space="preserve"> PAGEREF _Toc179904118 \h </w:instrText>
          </w:r>
          <w:r>
            <w:fldChar w:fldCharType="separate"/>
          </w:r>
          <w:r>
            <w:t>99</w:t>
          </w:r>
          <w:r>
            <w:fldChar w:fldCharType="end"/>
          </w:r>
          <w:r>
            <w:fldChar w:fldCharType="end"/>
          </w:r>
        </w:p>
        <w:p w14:paraId="72EC32FC">
          <w:pPr>
            <w:tabs>
              <w:tab w:val="left" w:pos="709"/>
            </w:tabs>
            <w:jc w:val="both"/>
          </w:pPr>
          <w:r>
            <w:rPr>
              <w:b/>
              <w:bCs/>
            </w:rPr>
            <w:fldChar w:fldCharType="end"/>
          </w:r>
        </w:p>
      </w:sdtContent>
    </w:sdt>
    <w:p w14:paraId="6011DB79">
      <w:pPr>
        <w:tabs>
          <w:tab w:val="left" w:pos="709"/>
        </w:tabs>
        <w:jc w:val="both"/>
        <w:sectPr>
          <w:headerReference r:id="rId9" w:type="default"/>
          <w:footerReference r:id="rId10" w:type="default"/>
          <w:pgSz w:w="11906" w:h="16838"/>
          <w:pgMar w:top="1440" w:right="1440" w:bottom="1440" w:left="1440" w:header="708" w:footer="708" w:gutter="0"/>
          <w:pgNumType w:fmt="lowerRoman"/>
          <w:cols w:space="708" w:num="1"/>
          <w:docGrid w:linePitch="360" w:charSpace="0"/>
        </w:sectPr>
      </w:pPr>
    </w:p>
    <w:p w14:paraId="0C991BF8">
      <w:pPr>
        <w:pStyle w:val="2"/>
      </w:pPr>
      <w:bookmarkStart w:id="17" w:name="_Toc170722932"/>
      <w:bookmarkStart w:id="18" w:name="_Toc179904006"/>
      <w:r>
        <w:t>LIST OF A</w:t>
      </w:r>
      <w:bookmarkEnd w:id="17"/>
      <w:r>
        <w:t>PPENDICIES</w:t>
      </w:r>
      <w:bookmarkEnd w:id="18"/>
    </w:p>
    <w:p w14:paraId="6F5002CA">
      <w:pPr>
        <w:pStyle w:val="88"/>
        <w:tabs>
          <w:tab w:val="right" w:leader="dot" w:pos="9016"/>
        </w:tabs>
        <w:rPr>
          <w:rFonts w:ascii="Arial Narrow" w:hAnsi="Arial Narrow" w:eastAsiaTheme="minorEastAsia"/>
        </w:rPr>
      </w:pPr>
      <w:r>
        <w:rPr>
          <w:rFonts w:ascii="Arial Narrow" w:hAnsi="Arial Narrow"/>
          <w:lang w:eastAsia="en-GB"/>
        </w:rPr>
        <w:fldChar w:fldCharType="begin"/>
      </w:r>
      <w:r>
        <w:rPr>
          <w:rFonts w:ascii="Arial Narrow" w:hAnsi="Arial Narrow"/>
          <w:lang w:eastAsia="en-GB"/>
        </w:rPr>
        <w:instrText xml:space="preserve"> TOC \h \z \c "Appendix" </w:instrText>
      </w:r>
      <w:r>
        <w:rPr>
          <w:rFonts w:ascii="Arial Narrow" w:hAnsi="Arial Narrow"/>
          <w:lang w:eastAsia="en-GB"/>
        </w:rPr>
        <w:fldChar w:fldCharType="separate"/>
      </w:r>
      <w:r>
        <w:fldChar w:fldCharType="begin"/>
      </w:r>
      <w:r>
        <w:instrText xml:space="preserve"> HYPERLINK \l "_Toc179556801" </w:instrText>
      </w:r>
      <w:r>
        <w:fldChar w:fldCharType="separate"/>
      </w:r>
      <w:r>
        <w:rPr>
          <w:rStyle w:val="44"/>
          <w:rFonts w:ascii="Arial Narrow" w:hAnsi="Arial Narrow"/>
        </w:rPr>
        <w:t>Appendix 1: Lead Expert License</w:t>
      </w:r>
      <w:r>
        <w:rPr>
          <w:rFonts w:ascii="Arial Narrow" w:hAnsi="Arial Narrow"/>
        </w:rPr>
        <w:tab/>
      </w:r>
      <w:r>
        <w:rPr>
          <w:rFonts w:ascii="Arial Narrow" w:hAnsi="Arial Narrow"/>
        </w:rPr>
        <w:fldChar w:fldCharType="begin"/>
      </w:r>
      <w:r>
        <w:rPr>
          <w:rFonts w:ascii="Arial Narrow" w:hAnsi="Arial Narrow"/>
        </w:rPr>
        <w:instrText xml:space="preserve"> PAGEREF _Toc179556801 \h </w:instrText>
      </w:r>
      <w:r>
        <w:rPr>
          <w:rFonts w:ascii="Arial Narrow" w:hAnsi="Arial Narrow"/>
        </w:rPr>
        <w:fldChar w:fldCharType="separate"/>
      </w:r>
      <w:r>
        <w:rPr>
          <w:rFonts w:ascii="Arial Narrow" w:hAnsi="Arial Narrow"/>
        </w:rPr>
        <w:t>100</w:t>
      </w:r>
      <w:r>
        <w:rPr>
          <w:rFonts w:ascii="Arial Narrow" w:hAnsi="Arial Narrow"/>
        </w:rPr>
        <w:fldChar w:fldCharType="end"/>
      </w:r>
      <w:r>
        <w:rPr>
          <w:rFonts w:ascii="Arial Narrow" w:hAnsi="Arial Narrow"/>
        </w:rPr>
        <w:fldChar w:fldCharType="end"/>
      </w:r>
    </w:p>
    <w:p w14:paraId="6B87F04C">
      <w:pPr>
        <w:pStyle w:val="88"/>
        <w:tabs>
          <w:tab w:val="right" w:leader="dot" w:pos="9016"/>
        </w:tabs>
        <w:rPr>
          <w:rFonts w:ascii="Arial Narrow" w:hAnsi="Arial Narrow" w:eastAsiaTheme="minorEastAsia"/>
        </w:rPr>
      </w:pPr>
      <w:r>
        <w:fldChar w:fldCharType="begin"/>
      </w:r>
      <w:r>
        <w:instrText xml:space="preserve"> HYPERLINK \l "_Toc179556802" </w:instrText>
      </w:r>
      <w:r>
        <w:fldChar w:fldCharType="separate"/>
      </w:r>
      <w:r>
        <w:rPr>
          <w:rStyle w:val="44"/>
          <w:rFonts w:ascii="Arial Narrow" w:hAnsi="Arial Narrow"/>
        </w:rPr>
        <w:t>Appendix 2: List of participants in the Stakeholder  Engagement Meeting</w:t>
      </w:r>
      <w:r>
        <w:rPr>
          <w:rFonts w:ascii="Arial Narrow" w:hAnsi="Arial Narrow"/>
        </w:rPr>
        <w:tab/>
      </w:r>
      <w:r>
        <w:rPr>
          <w:rFonts w:ascii="Arial Narrow" w:hAnsi="Arial Narrow"/>
        </w:rPr>
        <w:fldChar w:fldCharType="begin"/>
      </w:r>
      <w:r>
        <w:rPr>
          <w:rFonts w:ascii="Arial Narrow" w:hAnsi="Arial Narrow"/>
        </w:rPr>
        <w:instrText xml:space="preserve"> PAGEREF _Toc179556802 \h </w:instrText>
      </w:r>
      <w:r>
        <w:rPr>
          <w:rFonts w:ascii="Arial Narrow" w:hAnsi="Arial Narrow"/>
        </w:rPr>
        <w:fldChar w:fldCharType="separate"/>
      </w:r>
      <w:r>
        <w:rPr>
          <w:rFonts w:ascii="Arial Narrow" w:hAnsi="Arial Narrow"/>
        </w:rPr>
        <w:t>103</w:t>
      </w:r>
      <w:r>
        <w:rPr>
          <w:rFonts w:ascii="Arial Narrow" w:hAnsi="Arial Narrow"/>
        </w:rPr>
        <w:fldChar w:fldCharType="end"/>
      </w:r>
      <w:r>
        <w:rPr>
          <w:rFonts w:ascii="Arial Narrow" w:hAnsi="Arial Narrow"/>
        </w:rPr>
        <w:fldChar w:fldCharType="end"/>
      </w:r>
    </w:p>
    <w:p w14:paraId="591A899F">
      <w:pPr>
        <w:pStyle w:val="88"/>
        <w:tabs>
          <w:tab w:val="right" w:leader="dot" w:pos="9016"/>
        </w:tabs>
        <w:rPr>
          <w:rFonts w:ascii="Arial Narrow" w:hAnsi="Arial Narrow" w:eastAsiaTheme="minorEastAsia"/>
        </w:rPr>
      </w:pPr>
      <w:r>
        <w:fldChar w:fldCharType="begin"/>
      </w:r>
      <w:r>
        <w:instrText xml:space="preserve"> HYPERLINK \l "_Toc179556803" </w:instrText>
      </w:r>
      <w:r>
        <w:fldChar w:fldCharType="separate"/>
      </w:r>
      <w:r>
        <w:rPr>
          <w:rStyle w:val="44"/>
          <w:rFonts w:ascii="Arial Narrow" w:hAnsi="Arial Narrow"/>
        </w:rPr>
        <w:t>Appendix 3: Minutes of the Stakeholders Meeting</w:t>
      </w:r>
      <w:r>
        <w:rPr>
          <w:rFonts w:ascii="Arial Narrow" w:hAnsi="Arial Narrow"/>
        </w:rPr>
        <w:tab/>
      </w:r>
      <w:r>
        <w:rPr>
          <w:rFonts w:ascii="Arial Narrow" w:hAnsi="Arial Narrow"/>
        </w:rPr>
        <w:fldChar w:fldCharType="begin"/>
      </w:r>
      <w:r>
        <w:rPr>
          <w:rFonts w:ascii="Arial Narrow" w:hAnsi="Arial Narrow"/>
        </w:rPr>
        <w:instrText xml:space="preserve"> PAGEREF _Toc179556803 \h </w:instrText>
      </w:r>
      <w:r>
        <w:rPr>
          <w:rFonts w:ascii="Arial Narrow" w:hAnsi="Arial Narrow"/>
        </w:rPr>
        <w:fldChar w:fldCharType="separate"/>
      </w:r>
      <w:r>
        <w:rPr>
          <w:rFonts w:ascii="Arial Narrow" w:hAnsi="Arial Narrow"/>
        </w:rPr>
        <w:t>108</w:t>
      </w:r>
      <w:r>
        <w:rPr>
          <w:rFonts w:ascii="Arial Narrow" w:hAnsi="Arial Narrow"/>
        </w:rPr>
        <w:fldChar w:fldCharType="end"/>
      </w:r>
      <w:r>
        <w:rPr>
          <w:rFonts w:ascii="Arial Narrow" w:hAnsi="Arial Narrow"/>
        </w:rPr>
        <w:fldChar w:fldCharType="end"/>
      </w:r>
    </w:p>
    <w:p w14:paraId="6A1E75E5">
      <w:pPr>
        <w:pStyle w:val="88"/>
        <w:tabs>
          <w:tab w:val="right" w:leader="dot" w:pos="9016"/>
        </w:tabs>
        <w:rPr>
          <w:rFonts w:ascii="Arial Narrow" w:hAnsi="Arial Narrow" w:eastAsiaTheme="minorEastAsia"/>
        </w:rPr>
      </w:pPr>
      <w:r>
        <w:fldChar w:fldCharType="begin"/>
      </w:r>
      <w:r>
        <w:instrText xml:space="preserve"> HYPERLINK \l "_Toc179556804" </w:instrText>
      </w:r>
      <w:r>
        <w:fldChar w:fldCharType="separate"/>
      </w:r>
      <w:r>
        <w:rPr>
          <w:rStyle w:val="44"/>
          <w:rFonts w:ascii="Arial Narrow" w:hAnsi="Arial Narrow"/>
        </w:rPr>
        <w:t>Appendix 4: Sample of filled stakeholder questionnaire</w:t>
      </w:r>
      <w:r>
        <w:rPr>
          <w:rFonts w:ascii="Arial Narrow" w:hAnsi="Arial Narrow"/>
        </w:rPr>
        <w:tab/>
      </w:r>
      <w:r>
        <w:rPr>
          <w:rFonts w:ascii="Arial Narrow" w:hAnsi="Arial Narrow"/>
        </w:rPr>
        <w:fldChar w:fldCharType="begin"/>
      </w:r>
      <w:r>
        <w:rPr>
          <w:rFonts w:ascii="Arial Narrow" w:hAnsi="Arial Narrow"/>
        </w:rPr>
        <w:instrText xml:space="preserve"> PAGEREF _Toc179556804 \h </w:instrText>
      </w:r>
      <w:r>
        <w:rPr>
          <w:rFonts w:ascii="Arial Narrow" w:hAnsi="Arial Narrow"/>
        </w:rPr>
        <w:fldChar w:fldCharType="separate"/>
      </w:r>
      <w:r>
        <w:rPr>
          <w:rFonts w:ascii="Arial Narrow" w:hAnsi="Arial Narrow"/>
        </w:rPr>
        <w:t>111</w:t>
      </w:r>
      <w:r>
        <w:rPr>
          <w:rFonts w:ascii="Arial Narrow" w:hAnsi="Arial Narrow"/>
        </w:rPr>
        <w:fldChar w:fldCharType="end"/>
      </w:r>
      <w:r>
        <w:rPr>
          <w:rFonts w:ascii="Arial Narrow" w:hAnsi="Arial Narrow"/>
        </w:rPr>
        <w:fldChar w:fldCharType="end"/>
      </w:r>
    </w:p>
    <w:p w14:paraId="2D9DC9EE">
      <w:pPr>
        <w:pStyle w:val="88"/>
        <w:tabs>
          <w:tab w:val="right" w:leader="dot" w:pos="9016"/>
        </w:tabs>
        <w:rPr>
          <w:rFonts w:ascii="Arial Narrow" w:hAnsi="Arial Narrow" w:eastAsiaTheme="minorEastAsia"/>
        </w:rPr>
      </w:pPr>
      <w:r>
        <w:fldChar w:fldCharType="begin"/>
      </w:r>
      <w:r>
        <w:instrText xml:space="preserve"> HYPERLINK \l "_Toc179556805" </w:instrText>
      </w:r>
      <w:r>
        <w:fldChar w:fldCharType="separate"/>
      </w:r>
      <w:r>
        <w:rPr>
          <w:rStyle w:val="44"/>
          <w:rFonts w:ascii="Arial Narrow" w:hAnsi="Arial Narrow"/>
        </w:rPr>
        <w:t>Appendix 5: Public participation Attendance List</w:t>
      </w:r>
      <w:r>
        <w:rPr>
          <w:rFonts w:ascii="Arial Narrow" w:hAnsi="Arial Narrow"/>
        </w:rPr>
        <w:tab/>
      </w:r>
      <w:r>
        <w:rPr>
          <w:rFonts w:ascii="Arial Narrow" w:hAnsi="Arial Narrow"/>
        </w:rPr>
        <w:fldChar w:fldCharType="begin"/>
      </w:r>
      <w:r>
        <w:rPr>
          <w:rFonts w:ascii="Arial Narrow" w:hAnsi="Arial Narrow"/>
        </w:rPr>
        <w:instrText xml:space="preserve"> PAGEREF _Toc179556805 \h </w:instrText>
      </w:r>
      <w:r>
        <w:rPr>
          <w:rFonts w:ascii="Arial Narrow" w:hAnsi="Arial Narrow"/>
        </w:rPr>
        <w:fldChar w:fldCharType="separate"/>
      </w:r>
      <w:r>
        <w:rPr>
          <w:rFonts w:ascii="Arial Narrow" w:hAnsi="Arial Narrow"/>
        </w:rPr>
        <w:t>128</w:t>
      </w:r>
      <w:r>
        <w:rPr>
          <w:rFonts w:ascii="Arial Narrow" w:hAnsi="Arial Narrow"/>
        </w:rPr>
        <w:fldChar w:fldCharType="end"/>
      </w:r>
      <w:r>
        <w:rPr>
          <w:rFonts w:ascii="Arial Narrow" w:hAnsi="Arial Narrow"/>
        </w:rPr>
        <w:fldChar w:fldCharType="end"/>
      </w:r>
    </w:p>
    <w:p w14:paraId="19586CFB">
      <w:pPr>
        <w:pStyle w:val="88"/>
        <w:tabs>
          <w:tab w:val="right" w:leader="dot" w:pos="9016"/>
        </w:tabs>
        <w:rPr>
          <w:rFonts w:ascii="Arial Narrow" w:hAnsi="Arial Narrow" w:eastAsiaTheme="minorEastAsia"/>
        </w:rPr>
      </w:pPr>
      <w:r>
        <w:fldChar w:fldCharType="begin"/>
      </w:r>
      <w:r>
        <w:instrText xml:space="preserve"> HYPERLINK \l "_Toc179556806" </w:instrText>
      </w:r>
      <w:r>
        <w:fldChar w:fldCharType="separate"/>
      </w:r>
      <w:r>
        <w:rPr>
          <w:rStyle w:val="44"/>
          <w:rFonts w:ascii="Arial Narrow" w:hAnsi="Arial Narrow"/>
        </w:rPr>
        <w:t>Appendix 6: Minutes of the Public Participation Meeting</w:t>
      </w:r>
      <w:r>
        <w:rPr>
          <w:rFonts w:ascii="Arial Narrow" w:hAnsi="Arial Narrow"/>
        </w:rPr>
        <w:tab/>
      </w:r>
      <w:r>
        <w:rPr>
          <w:rFonts w:ascii="Arial Narrow" w:hAnsi="Arial Narrow"/>
        </w:rPr>
        <w:fldChar w:fldCharType="begin"/>
      </w:r>
      <w:r>
        <w:rPr>
          <w:rFonts w:ascii="Arial Narrow" w:hAnsi="Arial Narrow"/>
        </w:rPr>
        <w:instrText xml:space="preserve"> PAGEREF _Toc179556806 \h </w:instrText>
      </w:r>
      <w:r>
        <w:rPr>
          <w:rFonts w:ascii="Arial Narrow" w:hAnsi="Arial Narrow"/>
        </w:rPr>
        <w:fldChar w:fldCharType="separate"/>
      </w:r>
      <w:r>
        <w:rPr>
          <w:rFonts w:ascii="Arial Narrow" w:hAnsi="Arial Narrow"/>
        </w:rPr>
        <w:t>131</w:t>
      </w:r>
      <w:r>
        <w:rPr>
          <w:rFonts w:ascii="Arial Narrow" w:hAnsi="Arial Narrow"/>
        </w:rPr>
        <w:fldChar w:fldCharType="end"/>
      </w:r>
      <w:r>
        <w:rPr>
          <w:rFonts w:ascii="Arial Narrow" w:hAnsi="Arial Narrow"/>
        </w:rPr>
        <w:fldChar w:fldCharType="end"/>
      </w:r>
    </w:p>
    <w:p w14:paraId="70599187">
      <w:pPr>
        <w:pStyle w:val="88"/>
        <w:tabs>
          <w:tab w:val="right" w:leader="dot" w:pos="9016"/>
        </w:tabs>
        <w:rPr>
          <w:rFonts w:ascii="Arial Narrow" w:hAnsi="Arial Narrow" w:eastAsiaTheme="minorEastAsia"/>
        </w:rPr>
      </w:pPr>
      <w:r>
        <w:fldChar w:fldCharType="begin"/>
      </w:r>
      <w:r>
        <w:instrText xml:space="preserve"> HYPERLINK \l "_Toc179556807" </w:instrText>
      </w:r>
      <w:r>
        <w:fldChar w:fldCharType="separate"/>
      </w:r>
      <w:r>
        <w:rPr>
          <w:rStyle w:val="44"/>
          <w:rFonts w:ascii="Arial Narrow" w:hAnsi="Arial Narrow"/>
        </w:rPr>
        <w:t>Appendix 7: Land Ownership Documents</w:t>
      </w:r>
      <w:r>
        <w:rPr>
          <w:rFonts w:ascii="Arial Narrow" w:hAnsi="Arial Narrow"/>
        </w:rPr>
        <w:tab/>
      </w:r>
      <w:r>
        <w:rPr>
          <w:rFonts w:ascii="Arial Narrow" w:hAnsi="Arial Narrow"/>
        </w:rPr>
        <w:fldChar w:fldCharType="begin"/>
      </w:r>
      <w:r>
        <w:rPr>
          <w:rFonts w:ascii="Arial Narrow" w:hAnsi="Arial Narrow"/>
        </w:rPr>
        <w:instrText xml:space="preserve"> PAGEREF _Toc179556807 \h </w:instrText>
      </w:r>
      <w:r>
        <w:rPr>
          <w:rFonts w:ascii="Arial Narrow" w:hAnsi="Arial Narrow"/>
        </w:rPr>
        <w:fldChar w:fldCharType="separate"/>
      </w:r>
      <w:r>
        <w:rPr>
          <w:rFonts w:ascii="Arial Narrow" w:hAnsi="Arial Narrow"/>
        </w:rPr>
        <w:t>134</w:t>
      </w:r>
      <w:r>
        <w:rPr>
          <w:rFonts w:ascii="Arial Narrow" w:hAnsi="Arial Narrow"/>
        </w:rPr>
        <w:fldChar w:fldCharType="end"/>
      </w:r>
      <w:r>
        <w:rPr>
          <w:rFonts w:ascii="Arial Narrow" w:hAnsi="Arial Narrow"/>
        </w:rPr>
        <w:fldChar w:fldCharType="end"/>
      </w:r>
    </w:p>
    <w:p w14:paraId="3730D8A9">
      <w:pPr>
        <w:pStyle w:val="88"/>
        <w:tabs>
          <w:tab w:val="right" w:leader="dot" w:pos="9016"/>
        </w:tabs>
        <w:rPr>
          <w:rFonts w:ascii="Arial Narrow" w:hAnsi="Arial Narrow" w:eastAsiaTheme="minorEastAsia"/>
        </w:rPr>
      </w:pPr>
      <w:r>
        <w:fldChar w:fldCharType="begin"/>
      </w:r>
      <w:r>
        <w:instrText xml:space="preserve"> HYPERLINK \l "_Toc179556808" </w:instrText>
      </w:r>
      <w:r>
        <w:fldChar w:fldCharType="separate"/>
      </w:r>
      <w:r>
        <w:rPr>
          <w:rStyle w:val="44"/>
          <w:rFonts w:ascii="Arial Narrow" w:hAnsi="Arial Narrow"/>
        </w:rPr>
        <w:t>Appendix 8: Proposed FSTP Schematics</w:t>
      </w:r>
      <w:r>
        <w:rPr>
          <w:rFonts w:ascii="Arial Narrow" w:hAnsi="Arial Narrow"/>
        </w:rPr>
        <w:tab/>
      </w:r>
      <w:r>
        <w:rPr>
          <w:rFonts w:ascii="Arial Narrow" w:hAnsi="Arial Narrow"/>
        </w:rPr>
        <w:fldChar w:fldCharType="begin"/>
      </w:r>
      <w:r>
        <w:rPr>
          <w:rFonts w:ascii="Arial Narrow" w:hAnsi="Arial Narrow"/>
        </w:rPr>
        <w:instrText xml:space="preserve"> PAGEREF _Toc179556808 \h </w:instrText>
      </w:r>
      <w:r>
        <w:rPr>
          <w:rFonts w:ascii="Arial Narrow" w:hAnsi="Arial Narrow"/>
        </w:rPr>
        <w:fldChar w:fldCharType="separate"/>
      </w:r>
      <w:r>
        <w:rPr>
          <w:rFonts w:ascii="Arial Narrow" w:hAnsi="Arial Narrow"/>
        </w:rPr>
        <w:t>137</w:t>
      </w:r>
      <w:r>
        <w:rPr>
          <w:rFonts w:ascii="Arial Narrow" w:hAnsi="Arial Narrow"/>
        </w:rPr>
        <w:fldChar w:fldCharType="end"/>
      </w:r>
      <w:r>
        <w:rPr>
          <w:rFonts w:ascii="Arial Narrow" w:hAnsi="Arial Narrow"/>
        </w:rPr>
        <w:fldChar w:fldCharType="end"/>
      </w:r>
    </w:p>
    <w:p w14:paraId="67F4A588">
      <w:pPr>
        <w:pStyle w:val="88"/>
        <w:tabs>
          <w:tab w:val="left" w:pos="1487"/>
          <w:tab w:val="right" w:leader="dot" w:pos="9016"/>
        </w:tabs>
        <w:rPr>
          <w:rFonts w:ascii="Arial Narrow" w:hAnsi="Arial Narrow" w:eastAsiaTheme="minorEastAsia"/>
        </w:rPr>
      </w:pPr>
      <w:r>
        <w:fldChar w:fldCharType="begin"/>
      </w:r>
      <w:r>
        <w:instrText xml:space="preserve"> HYPERLINK \l "_Toc179556809" </w:instrText>
      </w:r>
      <w:r>
        <w:fldChar w:fldCharType="separate"/>
      </w:r>
      <w:r>
        <w:rPr>
          <w:rStyle w:val="44"/>
          <w:rFonts w:ascii="Arial Narrow" w:hAnsi="Arial Narrow"/>
        </w:rPr>
        <w:t>Appendix 9:</w:t>
      </w:r>
      <w:r>
        <w:rPr>
          <w:rFonts w:ascii="Arial Narrow" w:hAnsi="Arial Narrow" w:eastAsiaTheme="minorEastAsia"/>
        </w:rPr>
        <w:tab/>
      </w:r>
      <w:r>
        <w:rPr>
          <w:rStyle w:val="44"/>
          <w:rFonts w:ascii="Arial Narrow" w:hAnsi="Arial Narrow"/>
        </w:rPr>
        <w:t>Chance Find Procedure</w:t>
      </w:r>
      <w:r>
        <w:rPr>
          <w:rFonts w:ascii="Arial Narrow" w:hAnsi="Arial Narrow"/>
        </w:rPr>
        <w:tab/>
      </w:r>
      <w:r>
        <w:rPr>
          <w:rFonts w:ascii="Arial Narrow" w:hAnsi="Arial Narrow"/>
        </w:rPr>
        <w:fldChar w:fldCharType="begin"/>
      </w:r>
      <w:r>
        <w:rPr>
          <w:rFonts w:ascii="Arial Narrow" w:hAnsi="Arial Narrow"/>
        </w:rPr>
        <w:instrText xml:space="preserve"> PAGEREF _Toc179556809 \h </w:instrText>
      </w:r>
      <w:r>
        <w:rPr>
          <w:rFonts w:ascii="Arial Narrow" w:hAnsi="Arial Narrow"/>
        </w:rPr>
        <w:fldChar w:fldCharType="separate"/>
      </w:r>
      <w:r>
        <w:rPr>
          <w:rFonts w:ascii="Arial Narrow" w:hAnsi="Arial Narrow"/>
        </w:rPr>
        <w:t>138</w:t>
      </w:r>
      <w:r>
        <w:rPr>
          <w:rFonts w:ascii="Arial Narrow" w:hAnsi="Arial Narrow"/>
        </w:rPr>
        <w:fldChar w:fldCharType="end"/>
      </w:r>
      <w:r>
        <w:rPr>
          <w:rFonts w:ascii="Arial Narrow" w:hAnsi="Arial Narrow"/>
        </w:rPr>
        <w:fldChar w:fldCharType="end"/>
      </w:r>
    </w:p>
    <w:p w14:paraId="329E52C3">
      <w:pPr>
        <w:tabs>
          <w:tab w:val="left" w:pos="709"/>
        </w:tabs>
        <w:ind w:left="709"/>
        <w:jc w:val="both"/>
        <w:rPr>
          <w:lang w:eastAsia="en-GB"/>
        </w:rPr>
      </w:pPr>
      <w:r>
        <w:rPr>
          <w:lang w:eastAsia="en-GB"/>
        </w:rPr>
        <w:fldChar w:fldCharType="end"/>
      </w:r>
    </w:p>
    <w:p w14:paraId="7ED9CDB1">
      <w:pPr>
        <w:pStyle w:val="2"/>
      </w:pPr>
      <w:bookmarkStart w:id="19" w:name="_Toc170722933"/>
      <w:bookmarkStart w:id="20" w:name="_Toc179904007"/>
      <w:r>
        <w:t>LIST OF FIGURES</w:t>
      </w:r>
      <w:bookmarkEnd w:id="19"/>
      <w:bookmarkEnd w:id="20"/>
    </w:p>
    <w:p w14:paraId="1C9BB01A">
      <w:pPr>
        <w:pStyle w:val="88"/>
        <w:tabs>
          <w:tab w:val="right" w:leader="dot" w:pos="9016"/>
        </w:tabs>
        <w:rPr>
          <w:rFonts w:ascii="Arial Narrow" w:hAnsi="Arial Narrow" w:eastAsiaTheme="minorEastAsia"/>
        </w:rPr>
      </w:pPr>
      <w:r>
        <w:rPr>
          <w:rFonts w:ascii="Arial Narrow" w:hAnsi="Arial Narrow"/>
          <w:lang w:eastAsia="en-GB"/>
        </w:rPr>
        <w:fldChar w:fldCharType="begin"/>
      </w:r>
      <w:r>
        <w:rPr>
          <w:rFonts w:ascii="Arial Narrow" w:hAnsi="Arial Narrow"/>
          <w:lang w:eastAsia="en-GB"/>
        </w:rPr>
        <w:instrText xml:space="preserve"> TOC \h \z \c "Figure" </w:instrText>
      </w:r>
      <w:r>
        <w:rPr>
          <w:rFonts w:ascii="Arial Narrow" w:hAnsi="Arial Narrow"/>
          <w:lang w:eastAsia="en-GB"/>
        </w:rPr>
        <w:fldChar w:fldCharType="separate"/>
      </w:r>
      <w:r>
        <w:fldChar w:fldCharType="begin"/>
      </w:r>
      <w:r>
        <w:instrText xml:space="preserve"> HYPERLINK \l "_Toc179551686" </w:instrText>
      </w:r>
      <w:r>
        <w:fldChar w:fldCharType="separate"/>
      </w:r>
      <w:r>
        <w:rPr>
          <w:rStyle w:val="44"/>
          <w:rFonts w:ascii="Arial Narrow" w:hAnsi="Arial Narrow" w:eastAsia="Times New Roman" w:cs="Times New Roman"/>
        </w:rPr>
        <w:t>Figure 1: Location of Wajir town</w:t>
      </w:r>
      <w:r>
        <w:rPr>
          <w:rFonts w:ascii="Arial Narrow" w:hAnsi="Arial Narrow"/>
        </w:rPr>
        <w:tab/>
      </w:r>
      <w:r>
        <w:rPr>
          <w:rFonts w:ascii="Arial Narrow" w:hAnsi="Arial Narrow"/>
        </w:rPr>
        <w:fldChar w:fldCharType="begin"/>
      </w:r>
      <w:r>
        <w:rPr>
          <w:rFonts w:ascii="Arial Narrow" w:hAnsi="Arial Narrow"/>
        </w:rPr>
        <w:instrText xml:space="preserve"> PAGEREF _Toc179551686 \h </w:instrText>
      </w:r>
      <w:r>
        <w:rPr>
          <w:rFonts w:ascii="Arial Narrow" w:hAnsi="Arial Narrow"/>
        </w:rPr>
        <w:fldChar w:fldCharType="separate"/>
      </w:r>
      <w:r>
        <w:rPr>
          <w:rFonts w:ascii="Arial Narrow" w:hAnsi="Arial Narrow"/>
        </w:rPr>
        <w:t>7</w:t>
      </w:r>
      <w:r>
        <w:rPr>
          <w:rFonts w:ascii="Arial Narrow" w:hAnsi="Arial Narrow"/>
        </w:rPr>
        <w:fldChar w:fldCharType="end"/>
      </w:r>
      <w:r>
        <w:rPr>
          <w:rFonts w:ascii="Arial Narrow" w:hAnsi="Arial Narrow"/>
        </w:rPr>
        <w:fldChar w:fldCharType="end"/>
      </w:r>
    </w:p>
    <w:p w14:paraId="1BBFA8FE">
      <w:pPr>
        <w:pStyle w:val="88"/>
        <w:tabs>
          <w:tab w:val="right" w:leader="dot" w:pos="9016"/>
        </w:tabs>
        <w:rPr>
          <w:rFonts w:ascii="Arial Narrow" w:hAnsi="Arial Narrow" w:eastAsiaTheme="minorEastAsia"/>
        </w:rPr>
      </w:pPr>
      <w:r>
        <w:fldChar w:fldCharType="begin"/>
      </w:r>
      <w:r>
        <w:instrText xml:space="preserve"> HYPERLINK \l "_Toc179551687" </w:instrText>
      </w:r>
      <w:r>
        <w:fldChar w:fldCharType="separate"/>
      </w:r>
      <w:r>
        <w:rPr>
          <w:rStyle w:val="44"/>
          <w:rFonts w:ascii="Arial Narrow" w:hAnsi="Arial Narrow"/>
          <w:i/>
          <w:iCs/>
          <w:lang w:eastAsia="ja-JP" w:bidi="en-US"/>
        </w:rPr>
        <w:t>Figure 3</w:t>
      </w:r>
      <w:r>
        <w:rPr>
          <w:rStyle w:val="44"/>
          <w:rFonts w:ascii="Arial Narrow" w:hAnsi="Arial Narrow"/>
          <w:i/>
          <w:iCs/>
          <w:lang w:eastAsia="ja-JP"/>
        </w:rPr>
        <w:t>: Plant cover in the proposed project site</w:t>
      </w:r>
      <w:r>
        <w:rPr>
          <w:rFonts w:ascii="Arial Narrow" w:hAnsi="Arial Narrow"/>
        </w:rPr>
        <w:tab/>
      </w:r>
      <w:r>
        <w:rPr>
          <w:rFonts w:ascii="Arial Narrow" w:hAnsi="Arial Narrow"/>
        </w:rPr>
        <w:fldChar w:fldCharType="begin"/>
      </w:r>
      <w:r>
        <w:rPr>
          <w:rFonts w:ascii="Arial Narrow" w:hAnsi="Arial Narrow"/>
        </w:rPr>
        <w:instrText xml:space="preserve"> PAGEREF _Toc179551687 \h </w:instrText>
      </w:r>
      <w:r>
        <w:rPr>
          <w:rFonts w:ascii="Arial Narrow" w:hAnsi="Arial Narrow"/>
        </w:rPr>
        <w:fldChar w:fldCharType="separate"/>
      </w:r>
      <w:r>
        <w:rPr>
          <w:rFonts w:ascii="Arial Narrow" w:hAnsi="Arial Narrow"/>
        </w:rPr>
        <w:t>15</w:t>
      </w:r>
      <w:r>
        <w:rPr>
          <w:rFonts w:ascii="Arial Narrow" w:hAnsi="Arial Narrow"/>
        </w:rPr>
        <w:fldChar w:fldCharType="end"/>
      </w:r>
      <w:r>
        <w:rPr>
          <w:rFonts w:ascii="Arial Narrow" w:hAnsi="Arial Narrow"/>
        </w:rPr>
        <w:fldChar w:fldCharType="end"/>
      </w:r>
    </w:p>
    <w:p w14:paraId="22C2E00F">
      <w:pPr>
        <w:pStyle w:val="88"/>
        <w:tabs>
          <w:tab w:val="right" w:leader="dot" w:pos="9016"/>
        </w:tabs>
        <w:rPr>
          <w:rFonts w:ascii="Arial Narrow" w:hAnsi="Arial Narrow" w:eastAsiaTheme="minorEastAsia"/>
        </w:rPr>
      </w:pPr>
      <w:r>
        <w:fldChar w:fldCharType="begin"/>
      </w:r>
      <w:r>
        <w:instrText xml:space="preserve"> HYPERLINK \l "_Toc179551688" </w:instrText>
      </w:r>
      <w:r>
        <w:fldChar w:fldCharType="separate"/>
      </w:r>
      <w:r>
        <w:rPr>
          <w:rStyle w:val="44"/>
          <w:rFonts w:ascii="Arial Narrow" w:hAnsi="Arial Narrow"/>
        </w:rPr>
        <w:t>Figure 4: Marabou stork in the existing dumping site</w:t>
      </w:r>
      <w:r>
        <w:rPr>
          <w:rFonts w:ascii="Arial Narrow" w:hAnsi="Arial Narrow"/>
        </w:rPr>
        <w:tab/>
      </w:r>
      <w:r>
        <w:rPr>
          <w:rFonts w:ascii="Arial Narrow" w:hAnsi="Arial Narrow"/>
        </w:rPr>
        <w:fldChar w:fldCharType="begin"/>
      </w:r>
      <w:r>
        <w:rPr>
          <w:rFonts w:ascii="Arial Narrow" w:hAnsi="Arial Narrow"/>
        </w:rPr>
        <w:instrText xml:space="preserve"> PAGEREF _Toc179551688 \h </w:instrText>
      </w:r>
      <w:r>
        <w:rPr>
          <w:rFonts w:ascii="Arial Narrow" w:hAnsi="Arial Narrow"/>
        </w:rPr>
        <w:fldChar w:fldCharType="separate"/>
      </w:r>
      <w:r>
        <w:rPr>
          <w:rFonts w:ascii="Arial Narrow" w:hAnsi="Arial Narrow"/>
        </w:rPr>
        <w:t>15</w:t>
      </w:r>
      <w:r>
        <w:rPr>
          <w:rFonts w:ascii="Arial Narrow" w:hAnsi="Arial Narrow"/>
        </w:rPr>
        <w:fldChar w:fldCharType="end"/>
      </w:r>
      <w:r>
        <w:rPr>
          <w:rFonts w:ascii="Arial Narrow" w:hAnsi="Arial Narrow"/>
        </w:rPr>
        <w:fldChar w:fldCharType="end"/>
      </w:r>
    </w:p>
    <w:p w14:paraId="291A5360">
      <w:pPr>
        <w:pStyle w:val="88"/>
        <w:tabs>
          <w:tab w:val="right" w:leader="dot" w:pos="9016"/>
        </w:tabs>
        <w:rPr>
          <w:rFonts w:ascii="Arial Narrow" w:hAnsi="Arial Narrow" w:eastAsiaTheme="minorEastAsia"/>
        </w:rPr>
      </w:pPr>
      <w:r>
        <w:fldChar w:fldCharType="begin"/>
      </w:r>
      <w:r>
        <w:instrText xml:space="preserve"> HYPERLINK \l "_Toc179551689" </w:instrText>
      </w:r>
      <w:r>
        <w:fldChar w:fldCharType="separate"/>
      </w:r>
      <w:r>
        <w:rPr>
          <w:rStyle w:val="44"/>
          <w:rFonts w:ascii="Arial Narrow" w:hAnsi="Arial Narrow"/>
        </w:rPr>
        <w:t>Figure 5: Cow at the proposed site</w:t>
      </w:r>
      <w:r>
        <w:rPr>
          <w:rFonts w:ascii="Arial Narrow" w:hAnsi="Arial Narrow"/>
        </w:rPr>
        <w:tab/>
      </w:r>
      <w:r>
        <w:rPr>
          <w:rFonts w:ascii="Arial Narrow" w:hAnsi="Arial Narrow"/>
        </w:rPr>
        <w:fldChar w:fldCharType="begin"/>
      </w:r>
      <w:r>
        <w:rPr>
          <w:rFonts w:ascii="Arial Narrow" w:hAnsi="Arial Narrow"/>
        </w:rPr>
        <w:instrText xml:space="preserve"> PAGEREF _Toc179551689 \h </w:instrText>
      </w:r>
      <w:r>
        <w:rPr>
          <w:rFonts w:ascii="Arial Narrow" w:hAnsi="Arial Narrow"/>
        </w:rPr>
        <w:fldChar w:fldCharType="separate"/>
      </w:r>
      <w:r>
        <w:rPr>
          <w:rFonts w:ascii="Arial Narrow" w:hAnsi="Arial Narrow"/>
        </w:rPr>
        <w:t>16</w:t>
      </w:r>
      <w:r>
        <w:rPr>
          <w:rFonts w:ascii="Arial Narrow" w:hAnsi="Arial Narrow"/>
        </w:rPr>
        <w:fldChar w:fldCharType="end"/>
      </w:r>
      <w:r>
        <w:rPr>
          <w:rFonts w:ascii="Arial Narrow" w:hAnsi="Arial Narrow"/>
        </w:rPr>
        <w:fldChar w:fldCharType="end"/>
      </w:r>
    </w:p>
    <w:p w14:paraId="71FD5EFE">
      <w:pPr>
        <w:pStyle w:val="88"/>
        <w:tabs>
          <w:tab w:val="right" w:leader="dot" w:pos="9016"/>
        </w:tabs>
        <w:rPr>
          <w:rFonts w:ascii="Arial Narrow" w:hAnsi="Arial Narrow" w:eastAsiaTheme="minorEastAsia"/>
        </w:rPr>
      </w:pPr>
      <w:r>
        <w:fldChar w:fldCharType="begin"/>
      </w:r>
      <w:r>
        <w:instrText xml:space="preserve"> HYPERLINK \l "_Toc179551690" </w:instrText>
      </w:r>
      <w:r>
        <w:fldChar w:fldCharType="separate"/>
      </w:r>
      <w:r>
        <w:rPr>
          <w:rStyle w:val="44"/>
          <w:rFonts w:ascii="Arial Narrow" w:hAnsi="Arial Narrow"/>
        </w:rPr>
        <w:t>Figure 6: Layout of Wajir Town Showing the different Zones</w:t>
      </w:r>
      <w:r>
        <w:rPr>
          <w:rFonts w:ascii="Arial Narrow" w:hAnsi="Arial Narrow"/>
        </w:rPr>
        <w:tab/>
      </w:r>
      <w:r>
        <w:rPr>
          <w:rFonts w:ascii="Arial Narrow" w:hAnsi="Arial Narrow"/>
        </w:rPr>
        <w:fldChar w:fldCharType="begin"/>
      </w:r>
      <w:r>
        <w:rPr>
          <w:rFonts w:ascii="Arial Narrow" w:hAnsi="Arial Narrow"/>
        </w:rPr>
        <w:instrText xml:space="preserve"> PAGEREF _Toc179551690 \h </w:instrText>
      </w:r>
      <w:r>
        <w:rPr>
          <w:rFonts w:ascii="Arial Narrow" w:hAnsi="Arial Narrow"/>
        </w:rPr>
        <w:fldChar w:fldCharType="separate"/>
      </w:r>
      <w:r>
        <w:rPr>
          <w:rFonts w:ascii="Arial Narrow" w:hAnsi="Arial Narrow"/>
        </w:rPr>
        <w:t>17</w:t>
      </w:r>
      <w:r>
        <w:rPr>
          <w:rFonts w:ascii="Arial Narrow" w:hAnsi="Arial Narrow"/>
        </w:rPr>
        <w:fldChar w:fldCharType="end"/>
      </w:r>
      <w:r>
        <w:rPr>
          <w:rFonts w:ascii="Arial Narrow" w:hAnsi="Arial Narrow"/>
        </w:rPr>
        <w:fldChar w:fldCharType="end"/>
      </w:r>
    </w:p>
    <w:p w14:paraId="20321D4D">
      <w:pPr>
        <w:pStyle w:val="88"/>
        <w:tabs>
          <w:tab w:val="right" w:leader="dot" w:pos="9016"/>
        </w:tabs>
        <w:rPr>
          <w:rFonts w:ascii="Arial Narrow" w:hAnsi="Arial Narrow" w:eastAsiaTheme="minorEastAsia"/>
        </w:rPr>
      </w:pPr>
      <w:r>
        <w:fldChar w:fldCharType="begin"/>
      </w:r>
      <w:r>
        <w:instrText xml:space="preserve"> HYPERLINK \l "_Toc179551691" </w:instrText>
      </w:r>
      <w:r>
        <w:fldChar w:fldCharType="separate"/>
      </w:r>
      <w:r>
        <w:rPr>
          <w:rStyle w:val="44"/>
          <w:rFonts w:ascii="Arial Narrow" w:hAnsi="Arial Narrow"/>
        </w:rPr>
        <w:t>Figure 7: Highiest level of education</w:t>
      </w:r>
      <w:r>
        <w:rPr>
          <w:rFonts w:ascii="Arial Narrow" w:hAnsi="Arial Narrow"/>
        </w:rPr>
        <w:tab/>
      </w:r>
      <w:r>
        <w:rPr>
          <w:rFonts w:ascii="Arial Narrow" w:hAnsi="Arial Narrow"/>
        </w:rPr>
        <w:fldChar w:fldCharType="begin"/>
      </w:r>
      <w:r>
        <w:rPr>
          <w:rFonts w:ascii="Arial Narrow" w:hAnsi="Arial Narrow"/>
        </w:rPr>
        <w:instrText xml:space="preserve"> PAGEREF _Toc179551691 \h </w:instrText>
      </w:r>
      <w:r>
        <w:rPr>
          <w:rFonts w:ascii="Arial Narrow" w:hAnsi="Arial Narrow"/>
        </w:rPr>
        <w:fldChar w:fldCharType="separate"/>
      </w:r>
      <w:r>
        <w:rPr>
          <w:rFonts w:ascii="Arial Narrow" w:hAnsi="Arial Narrow"/>
        </w:rPr>
        <w:t>20</w:t>
      </w:r>
      <w:r>
        <w:rPr>
          <w:rFonts w:ascii="Arial Narrow" w:hAnsi="Arial Narrow"/>
        </w:rPr>
        <w:fldChar w:fldCharType="end"/>
      </w:r>
      <w:r>
        <w:rPr>
          <w:rFonts w:ascii="Arial Narrow" w:hAnsi="Arial Narrow"/>
        </w:rPr>
        <w:fldChar w:fldCharType="end"/>
      </w:r>
    </w:p>
    <w:p w14:paraId="3D9AE385">
      <w:pPr>
        <w:pStyle w:val="88"/>
        <w:tabs>
          <w:tab w:val="right" w:leader="dot" w:pos="9016"/>
        </w:tabs>
        <w:rPr>
          <w:rFonts w:ascii="Arial Narrow" w:hAnsi="Arial Narrow" w:eastAsiaTheme="minorEastAsia"/>
        </w:rPr>
      </w:pPr>
      <w:r>
        <w:fldChar w:fldCharType="begin"/>
      </w:r>
      <w:r>
        <w:instrText xml:space="preserve"> HYPERLINK \l "_Toc179551692" </w:instrText>
      </w:r>
      <w:r>
        <w:fldChar w:fldCharType="separate"/>
      </w:r>
      <w:r>
        <w:rPr>
          <w:rStyle w:val="44"/>
          <w:rFonts w:ascii="Arial Narrow" w:hAnsi="Arial Narrow"/>
        </w:rPr>
        <w:t>Figure 8: Children going to school</w:t>
      </w:r>
      <w:r>
        <w:rPr>
          <w:rFonts w:ascii="Arial Narrow" w:hAnsi="Arial Narrow"/>
        </w:rPr>
        <w:tab/>
      </w:r>
      <w:r>
        <w:rPr>
          <w:rFonts w:ascii="Arial Narrow" w:hAnsi="Arial Narrow"/>
        </w:rPr>
        <w:fldChar w:fldCharType="begin"/>
      </w:r>
      <w:r>
        <w:rPr>
          <w:rFonts w:ascii="Arial Narrow" w:hAnsi="Arial Narrow"/>
        </w:rPr>
        <w:instrText xml:space="preserve"> PAGEREF _Toc179551692 \h </w:instrText>
      </w:r>
      <w:r>
        <w:rPr>
          <w:rFonts w:ascii="Arial Narrow" w:hAnsi="Arial Narrow"/>
        </w:rPr>
        <w:fldChar w:fldCharType="separate"/>
      </w:r>
      <w:r>
        <w:rPr>
          <w:rFonts w:ascii="Arial Narrow" w:hAnsi="Arial Narrow"/>
        </w:rPr>
        <w:t>20</w:t>
      </w:r>
      <w:r>
        <w:rPr>
          <w:rFonts w:ascii="Arial Narrow" w:hAnsi="Arial Narrow"/>
        </w:rPr>
        <w:fldChar w:fldCharType="end"/>
      </w:r>
      <w:r>
        <w:rPr>
          <w:rFonts w:ascii="Arial Narrow" w:hAnsi="Arial Narrow"/>
        </w:rPr>
        <w:fldChar w:fldCharType="end"/>
      </w:r>
    </w:p>
    <w:p w14:paraId="7A174944">
      <w:pPr>
        <w:pStyle w:val="88"/>
        <w:tabs>
          <w:tab w:val="right" w:leader="dot" w:pos="9016"/>
        </w:tabs>
        <w:rPr>
          <w:rFonts w:ascii="Arial Narrow" w:hAnsi="Arial Narrow" w:eastAsiaTheme="minorEastAsia"/>
        </w:rPr>
      </w:pPr>
      <w:r>
        <w:fldChar w:fldCharType="begin"/>
      </w:r>
      <w:r>
        <w:instrText xml:space="preserve"> HYPERLINK \l "_Toc179551693" </w:instrText>
      </w:r>
      <w:r>
        <w:fldChar w:fldCharType="separate"/>
      </w:r>
      <w:r>
        <w:rPr>
          <w:rStyle w:val="44"/>
          <w:rFonts w:ascii="Arial Narrow" w:hAnsi="Arial Narrow"/>
        </w:rPr>
        <w:t>Figure 9: TB Manyatta hospital</w:t>
      </w:r>
      <w:r>
        <w:rPr>
          <w:rFonts w:ascii="Arial Narrow" w:hAnsi="Arial Narrow"/>
        </w:rPr>
        <w:tab/>
      </w:r>
      <w:r>
        <w:rPr>
          <w:rFonts w:ascii="Arial Narrow" w:hAnsi="Arial Narrow"/>
        </w:rPr>
        <w:fldChar w:fldCharType="begin"/>
      </w:r>
      <w:r>
        <w:rPr>
          <w:rFonts w:ascii="Arial Narrow" w:hAnsi="Arial Narrow"/>
        </w:rPr>
        <w:instrText xml:space="preserve"> PAGEREF _Toc179551693 \h </w:instrText>
      </w:r>
      <w:r>
        <w:rPr>
          <w:rFonts w:ascii="Arial Narrow" w:hAnsi="Arial Narrow"/>
        </w:rPr>
        <w:fldChar w:fldCharType="separate"/>
      </w:r>
      <w:r>
        <w:rPr>
          <w:rFonts w:ascii="Arial Narrow" w:hAnsi="Arial Narrow"/>
        </w:rPr>
        <w:t>21</w:t>
      </w:r>
      <w:r>
        <w:rPr>
          <w:rFonts w:ascii="Arial Narrow" w:hAnsi="Arial Narrow"/>
        </w:rPr>
        <w:fldChar w:fldCharType="end"/>
      </w:r>
      <w:r>
        <w:rPr>
          <w:rFonts w:ascii="Arial Narrow" w:hAnsi="Arial Narrow"/>
        </w:rPr>
        <w:fldChar w:fldCharType="end"/>
      </w:r>
    </w:p>
    <w:p w14:paraId="6A62C1BE">
      <w:pPr>
        <w:pStyle w:val="88"/>
        <w:tabs>
          <w:tab w:val="right" w:leader="dot" w:pos="9016"/>
        </w:tabs>
        <w:rPr>
          <w:rFonts w:ascii="Arial Narrow" w:hAnsi="Arial Narrow" w:eastAsiaTheme="minorEastAsia"/>
        </w:rPr>
      </w:pPr>
      <w:r>
        <w:fldChar w:fldCharType="begin"/>
      </w:r>
      <w:r>
        <w:instrText xml:space="preserve"> HYPERLINK \l "_Toc179551694" </w:instrText>
      </w:r>
      <w:r>
        <w:fldChar w:fldCharType="separate"/>
      </w:r>
      <w:r>
        <w:rPr>
          <w:rStyle w:val="44"/>
          <w:rFonts w:ascii="Arial Narrow" w:hAnsi="Arial Narrow"/>
        </w:rPr>
        <w:t>Figure 10: Bucket toilet</w:t>
      </w:r>
      <w:r>
        <w:rPr>
          <w:rFonts w:ascii="Arial Narrow" w:hAnsi="Arial Narrow"/>
        </w:rPr>
        <w:tab/>
      </w:r>
      <w:r>
        <w:rPr>
          <w:rFonts w:ascii="Arial Narrow" w:hAnsi="Arial Narrow"/>
        </w:rPr>
        <w:fldChar w:fldCharType="begin"/>
      </w:r>
      <w:r>
        <w:rPr>
          <w:rFonts w:ascii="Arial Narrow" w:hAnsi="Arial Narrow"/>
        </w:rPr>
        <w:instrText xml:space="preserve"> PAGEREF _Toc179551694 \h </w:instrText>
      </w:r>
      <w:r>
        <w:rPr>
          <w:rFonts w:ascii="Arial Narrow" w:hAnsi="Arial Narrow"/>
        </w:rPr>
        <w:fldChar w:fldCharType="separate"/>
      </w:r>
      <w:r>
        <w:rPr>
          <w:rFonts w:ascii="Arial Narrow" w:hAnsi="Arial Narrow"/>
        </w:rPr>
        <w:t>22</w:t>
      </w:r>
      <w:r>
        <w:rPr>
          <w:rFonts w:ascii="Arial Narrow" w:hAnsi="Arial Narrow"/>
        </w:rPr>
        <w:fldChar w:fldCharType="end"/>
      </w:r>
      <w:r>
        <w:rPr>
          <w:rFonts w:ascii="Arial Narrow" w:hAnsi="Arial Narrow"/>
        </w:rPr>
        <w:fldChar w:fldCharType="end"/>
      </w:r>
    </w:p>
    <w:p w14:paraId="69AF8298">
      <w:pPr>
        <w:pStyle w:val="88"/>
        <w:tabs>
          <w:tab w:val="right" w:leader="dot" w:pos="9016"/>
        </w:tabs>
        <w:rPr>
          <w:rFonts w:ascii="Arial Narrow" w:hAnsi="Arial Narrow" w:eastAsiaTheme="minorEastAsia"/>
        </w:rPr>
      </w:pPr>
      <w:r>
        <w:fldChar w:fldCharType="begin"/>
      </w:r>
      <w:r>
        <w:instrText xml:space="preserve"> HYPERLINK \l "_Toc179551695" </w:instrText>
      </w:r>
      <w:r>
        <w:fldChar w:fldCharType="separate"/>
      </w:r>
      <w:r>
        <w:rPr>
          <w:rStyle w:val="44"/>
          <w:rFonts w:ascii="Arial Narrow" w:hAnsi="Arial Narrow"/>
        </w:rPr>
        <w:t>Figure 11: Open transport truck</w:t>
      </w:r>
      <w:r>
        <w:rPr>
          <w:rFonts w:ascii="Arial Narrow" w:hAnsi="Arial Narrow"/>
        </w:rPr>
        <w:tab/>
      </w:r>
      <w:r>
        <w:rPr>
          <w:rFonts w:ascii="Arial Narrow" w:hAnsi="Arial Narrow"/>
        </w:rPr>
        <w:fldChar w:fldCharType="begin"/>
      </w:r>
      <w:r>
        <w:rPr>
          <w:rFonts w:ascii="Arial Narrow" w:hAnsi="Arial Narrow"/>
        </w:rPr>
        <w:instrText xml:space="preserve"> PAGEREF _Toc179551695 \h </w:instrText>
      </w:r>
      <w:r>
        <w:rPr>
          <w:rFonts w:ascii="Arial Narrow" w:hAnsi="Arial Narrow"/>
        </w:rPr>
        <w:fldChar w:fldCharType="separate"/>
      </w:r>
      <w:r>
        <w:rPr>
          <w:rFonts w:ascii="Arial Narrow" w:hAnsi="Arial Narrow"/>
        </w:rPr>
        <w:t>23</w:t>
      </w:r>
      <w:r>
        <w:rPr>
          <w:rFonts w:ascii="Arial Narrow" w:hAnsi="Arial Narrow"/>
        </w:rPr>
        <w:fldChar w:fldCharType="end"/>
      </w:r>
      <w:r>
        <w:rPr>
          <w:rFonts w:ascii="Arial Narrow" w:hAnsi="Arial Narrow"/>
        </w:rPr>
        <w:fldChar w:fldCharType="end"/>
      </w:r>
    </w:p>
    <w:p w14:paraId="0D31E2A1">
      <w:pPr>
        <w:pStyle w:val="88"/>
        <w:tabs>
          <w:tab w:val="right" w:leader="dot" w:pos="9016"/>
        </w:tabs>
        <w:rPr>
          <w:rFonts w:ascii="Arial Narrow" w:hAnsi="Arial Narrow" w:eastAsiaTheme="minorEastAsia"/>
        </w:rPr>
      </w:pPr>
      <w:r>
        <w:fldChar w:fldCharType="begin"/>
      </w:r>
      <w:r>
        <w:instrText xml:space="preserve"> HYPERLINK \l "_Toc179551696" </w:instrText>
      </w:r>
      <w:r>
        <w:fldChar w:fldCharType="separate"/>
      </w:r>
      <w:r>
        <w:rPr>
          <w:rStyle w:val="44"/>
          <w:rFonts w:ascii="Arial Narrow" w:hAnsi="Arial Narrow"/>
        </w:rPr>
        <w:t>Figure 12: Existing dumpsite in Alimaow</w:t>
      </w:r>
      <w:r>
        <w:rPr>
          <w:rFonts w:ascii="Arial Narrow" w:hAnsi="Arial Narrow"/>
        </w:rPr>
        <w:tab/>
      </w:r>
      <w:r>
        <w:rPr>
          <w:rFonts w:ascii="Arial Narrow" w:hAnsi="Arial Narrow"/>
        </w:rPr>
        <w:fldChar w:fldCharType="begin"/>
      </w:r>
      <w:r>
        <w:rPr>
          <w:rFonts w:ascii="Arial Narrow" w:hAnsi="Arial Narrow"/>
        </w:rPr>
        <w:instrText xml:space="preserve"> PAGEREF _Toc179551696 \h </w:instrText>
      </w:r>
      <w:r>
        <w:rPr>
          <w:rFonts w:ascii="Arial Narrow" w:hAnsi="Arial Narrow"/>
        </w:rPr>
        <w:fldChar w:fldCharType="separate"/>
      </w:r>
      <w:r>
        <w:rPr>
          <w:rFonts w:ascii="Arial Narrow" w:hAnsi="Arial Narrow"/>
        </w:rPr>
        <w:t>23</w:t>
      </w:r>
      <w:r>
        <w:rPr>
          <w:rFonts w:ascii="Arial Narrow" w:hAnsi="Arial Narrow"/>
        </w:rPr>
        <w:fldChar w:fldCharType="end"/>
      </w:r>
      <w:r>
        <w:rPr>
          <w:rFonts w:ascii="Arial Narrow" w:hAnsi="Arial Narrow"/>
        </w:rPr>
        <w:fldChar w:fldCharType="end"/>
      </w:r>
    </w:p>
    <w:p w14:paraId="4DCFF30F">
      <w:pPr>
        <w:pStyle w:val="88"/>
        <w:tabs>
          <w:tab w:val="right" w:leader="dot" w:pos="9016"/>
        </w:tabs>
        <w:rPr>
          <w:rFonts w:ascii="Arial Narrow" w:hAnsi="Arial Narrow" w:eastAsiaTheme="minorEastAsia"/>
        </w:rPr>
      </w:pPr>
      <w:r>
        <w:fldChar w:fldCharType="begin"/>
      </w:r>
      <w:r>
        <w:instrText xml:space="preserve"> HYPERLINK \l "_Toc179551697" </w:instrText>
      </w:r>
      <w:r>
        <w:fldChar w:fldCharType="separate"/>
      </w:r>
      <w:r>
        <w:rPr>
          <w:rStyle w:val="44"/>
          <w:rFonts w:ascii="Arial Narrow" w:hAnsi="Arial Narrow"/>
        </w:rPr>
        <w:t>Figure 13: Solid waste management</w:t>
      </w:r>
      <w:r>
        <w:rPr>
          <w:rFonts w:ascii="Arial Narrow" w:hAnsi="Arial Narrow"/>
        </w:rPr>
        <w:tab/>
      </w:r>
      <w:r>
        <w:rPr>
          <w:rFonts w:ascii="Arial Narrow" w:hAnsi="Arial Narrow"/>
        </w:rPr>
        <w:fldChar w:fldCharType="begin"/>
      </w:r>
      <w:r>
        <w:rPr>
          <w:rFonts w:ascii="Arial Narrow" w:hAnsi="Arial Narrow"/>
        </w:rPr>
        <w:instrText xml:space="preserve"> PAGEREF _Toc179551697 \h </w:instrText>
      </w:r>
      <w:r>
        <w:rPr>
          <w:rFonts w:ascii="Arial Narrow" w:hAnsi="Arial Narrow"/>
        </w:rPr>
        <w:fldChar w:fldCharType="separate"/>
      </w:r>
      <w:r>
        <w:rPr>
          <w:rFonts w:ascii="Arial Narrow" w:hAnsi="Arial Narrow"/>
        </w:rPr>
        <w:t>23</w:t>
      </w:r>
      <w:r>
        <w:rPr>
          <w:rFonts w:ascii="Arial Narrow" w:hAnsi="Arial Narrow"/>
        </w:rPr>
        <w:fldChar w:fldCharType="end"/>
      </w:r>
      <w:r>
        <w:rPr>
          <w:rFonts w:ascii="Arial Narrow" w:hAnsi="Arial Narrow"/>
        </w:rPr>
        <w:fldChar w:fldCharType="end"/>
      </w:r>
    </w:p>
    <w:p w14:paraId="3DAC659C">
      <w:pPr>
        <w:pStyle w:val="88"/>
        <w:tabs>
          <w:tab w:val="right" w:leader="dot" w:pos="9016"/>
        </w:tabs>
        <w:rPr>
          <w:rFonts w:ascii="Arial Narrow" w:hAnsi="Arial Narrow" w:eastAsiaTheme="minorEastAsia"/>
        </w:rPr>
      </w:pPr>
      <w:r>
        <w:fldChar w:fldCharType="begin"/>
      </w:r>
      <w:r>
        <w:instrText xml:space="preserve"> HYPERLINK \l "_Toc179551698" </w:instrText>
      </w:r>
      <w:r>
        <w:fldChar w:fldCharType="separate"/>
      </w:r>
      <w:r>
        <w:rPr>
          <w:rStyle w:val="44"/>
          <w:rFonts w:ascii="Arial Narrow" w:hAnsi="Arial Narrow"/>
        </w:rPr>
        <w:t>Figure 14: Water sources</w:t>
      </w:r>
      <w:r>
        <w:rPr>
          <w:rFonts w:ascii="Arial Narrow" w:hAnsi="Arial Narrow"/>
        </w:rPr>
        <w:tab/>
      </w:r>
      <w:r>
        <w:rPr>
          <w:rFonts w:ascii="Arial Narrow" w:hAnsi="Arial Narrow"/>
        </w:rPr>
        <w:fldChar w:fldCharType="begin"/>
      </w:r>
      <w:r>
        <w:rPr>
          <w:rFonts w:ascii="Arial Narrow" w:hAnsi="Arial Narrow"/>
        </w:rPr>
        <w:instrText xml:space="preserve"> PAGEREF _Toc179551698 \h </w:instrText>
      </w:r>
      <w:r>
        <w:rPr>
          <w:rFonts w:ascii="Arial Narrow" w:hAnsi="Arial Narrow"/>
        </w:rPr>
        <w:fldChar w:fldCharType="separate"/>
      </w:r>
      <w:r>
        <w:rPr>
          <w:rFonts w:ascii="Arial Narrow" w:hAnsi="Arial Narrow"/>
        </w:rPr>
        <w:t>24</w:t>
      </w:r>
      <w:r>
        <w:rPr>
          <w:rFonts w:ascii="Arial Narrow" w:hAnsi="Arial Narrow"/>
        </w:rPr>
        <w:fldChar w:fldCharType="end"/>
      </w:r>
      <w:r>
        <w:rPr>
          <w:rFonts w:ascii="Arial Narrow" w:hAnsi="Arial Narrow"/>
        </w:rPr>
        <w:fldChar w:fldCharType="end"/>
      </w:r>
    </w:p>
    <w:p w14:paraId="19C2DF60">
      <w:pPr>
        <w:pStyle w:val="88"/>
        <w:tabs>
          <w:tab w:val="right" w:leader="dot" w:pos="9016"/>
        </w:tabs>
        <w:rPr>
          <w:rFonts w:ascii="Arial Narrow" w:hAnsi="Arial Narrow" w:eastAsiaTheme="minorEastAsia"/>
        </w:rPr>
      </w:pPr>
      <w:r>
        <w:fldChar w:fldCharType="begin"/>
      </w:r>
      <w:r>
        <w:instrText xml:space="preserve"> HYPERLINK \l "_Toc179551699" </w:instrText>
      </w:r>
      <w:r>
        <w:fldChar w:fldCharType="separate"/>
      </w:r>
      <w:r>
        <w:rPr>
          <w:rStyle w:val="44"/>
          <w:rFonts w:ascii="Arial Narrow" w:hAnsi="Arial Narrow"/>
        </w:rPr>
        <w:t>Figure 15: Manyatta house at homestead.</w:t>
      </w:r>
      <w:r>
        <w:rPr>
          <w:rFonts w:ascii="Arial Narrow" w:hAnsi="Arial Narrow"/>
        </w:rPr>
        <w:tab/>
      </w:r>
      <w:r>
        <w:rPr>
          <w:rFonts w:ascii="Arial Narrow" w:hAnsi="Arial Narrow"/>
        </w:rPr>
        <w:fldChar w:fldCharType="begin"/>
      </w:r>
      <w:r>
        <w:rPr>
          <w:rFonts w:ascii="Arial Narrow" w:hAnsi="Arial Narrow"/>
        </w:rPr>
        <w:instrText xml:space="preserve"> PAGEREF _Toc179551699 \h </w:instrText>
      </w:r>
      <w:r>
        <w:rPr>
          <w:rFonts w:ascii="Arial Narrow" w:hAnsi="Arial Narrow"/>
        </w:rPr>
        <w:fldChar w:fldCharType="separate"/>
      </w:r>
      <w:r>
        <w:rPr>
          <w:rFonts w:ascii="Arial Narrow" w:hAnsi="Arial Narrow"/>
        </w:rPr>
        <w:t>25</w:t>
      </w:r>
      <w:r>
        <w:rPr>
          <w:rFonts w:ascii="Arial Narrow" w:hAnsi="Arial Narrow"/>
        </w:rPr>
        <w:fldChar w:fldCharType="end"/>
      </w:r>
      <w:r>
        <w:rPr>
          <w:rFonts w:ascii="Arial Narrow" w:hAnsi="Arial Narrow"/>
        </w:rPr>
        <w:fldChar w:fldCharType="end"/>
      </w:r>
    </w:p>
    <w:p w14:paraId="64002736">
      <w:pPr>
        <w:pStyle w:val="88"/>
        <w:tabs>
          <w:tab w:val="right" w:leader="dot" w:pos="9016"/>
        </w:tabs>
        <w:rPr>
          <w:rFonts w:ascii="Arial Narrow" w:hAnsi="Arial Narrow" w:eastAsiaTheme="minorEastAsia"/>
        </w:rPr>
      </w:pPr>
      <w:r>
        <w:fldChar w:fldCharType="begin"/>
      </w:r>
      <w:r>
        <w:instrText xml:space="preserve"> HYPERLINK \l "_Toc179551700" </w:instrText>
      </w:r>
      <w:r>
        <w:fldChar w:fldCharType="separate"/>
      </w:r>
      <w:r>
        <w:rPr>
          <w:rStyle w:val="44"/>
          <w:rFonts w:ascii="Arial Narrow" w:hAnsi="Arial Narrow"/>
        </w:rPr>
        <w:t>Figure 16: Old buildings in the Wajir prisons compound</w:t>
      </w:r>
      <w:r>
        <w:rPr>
          <w:rFonts w:ascii="Arial Narrow" w:hAnsi="Arial Narrow"/>
        </w:rPr>
        <w:tab/>
      </w:r>
      <w:r>
        <w:rPr>
          <w:rFonts w:ascii="Arial Narrow" w:hAnsi="Arial Narrow"/>
        </w:rPr>
        <w:fldChar w:fldCharType="begin"/>
      </w:r>
      <w:r>
        <w:rPr>
          <w:rFonts w:ascii="Arial Narrow" w:hAnsi="Arial Narrow"/>
        </w:rPr>
        <w:instrText xml:space="preserve"> PAGEREF _Toc179551700 \h </w:instrText>
      </w:r>
      <w:r>
        <w:rPr>
          <w:rFonts w:ascii="Arial Narrow" w:hAnsi="Arial Narrow"/>
        </w:rPr>
        <w:fldChar w:fldCharType="separate"/>
      </w:r>
      <w:r>
        <w:rPr>
          <w:rFonts w:ascii="Arial Narrow" w:hAnsi="Arial Narrow"/>
        </w:rPr>
        <w:t>27</w:t>
      </w:r>
      <w:r>
        <w:rPr>
          <w:rFonts w:ascii="Arial Narrow" w:hAnsi="Arial Narrow"/>
        </w:rPr>
        <w:fldChar w:fldCharType="end"/>
      </w:r>
      <w:r>
        <w:rPr>
          <w:rFonts w:ascii="Arial Narrow" w:hAnsi="Arial Narrow"/>
        </w:rPr>
        <w:fldChar w:fldCharType="end"/>
      </w:r>
    </w:p>
    <w:p w14:paraId="74ED2B70">
      <w:pPr>
        <w:pStyle w:val="88"/>
        <w:tabs>
          <w:tab w:val="right" w:leader="dot" w:pos="9016"/>
        </w:tabs>
        <w:rPr>
          <w:rFonts w:ascii="Arial Narrow" w:hAnsi="Arial Narrow" w:eastAsiaTheme="minorEastAsia"/>
        </w:rPr>
      </w:pPr>
      <w:r>
        <w:fldChar w:fldCharType="begin"/>
      </w:r>
      <w:r>
        <w:instrText xml:space="preserve"> HYPERLINK \l "_Toc179551701" </w:instrText>
      </w:r>
      <w:r>
        <w:fldChar w:fldCharType="separate"/>
      </w:r>
      <w:r>
        <w:rPr>
          <w:rStyle w:val="44"/>
          <w:rFonts w:ascii="Arial Narrow" w:hAnsi="Arial Narrow"/>
        </w:rPr>
        <w:t>Figure 17: Common wealth war graves</w:t>
      </w:r>
      <w:r>
        <w:rPr>
          <w:rFonts w:ascii="Arial Narrow" w:hAnsi="Arial Narrow"/>
        </w:rPr>
        <w:tab/>
      </w:r>
      <w:r>
        <w:rPr>
          <w:rFonts w:ascii="Arial Narrow" w:hAnsi="Arial Narrow"/>
        </w:rPr>
        <w:fldChar w:fldCharType="begin"/>
      </w:r>
      <w:r>
        <w:rPr>
          <w:rFonts w:ascii="Arial Narrow" w:hAnsi="Arial Narrow"/>
        </w:rPr>
        <w:instrText xml:space="preserve"> PAGEREF _Toc179551701 \h </w:instrText>
      </w:r>
      <w:r>
        <w:rPr>
          <w:rFonts w:ascii="Arial Narrow" w:hAnsi="Arial Narrow"/>
        </w:rPr>
        <w:fldChar w:fldCharType="separate"/>
      </w:r>
      <w:r>
        <w:rPr>
          <w:rFonts w:ascii="Arial Narrow" w:hAnsi="Arial Narrow"/>
        </w:rPr>
        <w:t>27</w:t>
      </w:r>
      <w:r>
        <w:rPr>
          <w:rFonts w:ascii="Arial Narrow" w:hAnsi="Arial Narrow"/>
        </w:rPr>
        <w:fldChar w:fldCharType="end"/>
      </w:r>
      <w:r>
        <w:rPr>
          <w:rFonts w:ascii="Arial Narrow" w:hAnsi="Arial Narrow"/>
        </w:rPr>
        <w:fldChar w:fldCharType="end"/>
      </w:r>
    </w:p>
    <w:p w14:paraId="49A86C4F">
      <w:pPr>
        <w:pStyle w:val="88"/>
        <w:tabs>
          <w:tab w:val="right" w:leader="dot" w:pos="9016"/>
        </w:tabs>
        <w:rPr>
          <w:rFonts w:ascii="Arial Narrow" w:hAnsi="Arial Narrow" w:eastAsiaTheme="minorEastAsia"/>
        </w:rPr>
      </w:pPr>
      <w:r>
        <w:fldChar w:fldCharType="begin"/>
      </w:r>
      <w:r>
        <w:instrText xml:space="preserve"> HYPERLINK \l "_Toc179551702" </w:instrText>
      </w:r>
      <w:r>
        <w:fldChar w:fldCharType="separate"/>
      </w:r>
      <w:r>
        <w:rPr>
          <w:rStyle w:val="44"/>
          <w:rFonts w:ascii="Arial Narrow" w:hAnsi="Arial Narrow"/>
        </w:rPr>
        <w:t>Figure 18: Wajir museum</w:t>
      </w:r>
      <w:r>
        <w:rPr>
          <w:rFonts w:ascii="Arial Narrow" w:hAnsi="Arial Narrow"/>
        </w:rPr>
        <w:tab/>
      </w:r>
      <w:r>
        <w:rPr>
          <w:rFonts w:ascii="Arial Narrow" w:hAnsi="Arial Narrow"/>
        </w:rPr>
        <w:fldChar w:fldCharType="begin"/>
      </w:r>
      <w:r>
        <w:rPr>
          <w:rFonts w:ascii="Arial Narrow" w:hAnsi="Arial Narrow"/>
        </w:rPr>
        <w:instrText xml:space="preserve"> PAGEREF _Toc179551702 \h </w:instrText>
      </w:r>
      <w:r>
        <w:rPr>
          <w:rFonts w:ascii="Arial Narrow" w:hAnsi="Arial Narrow"/>
        </w:rPr>
        <w:fldChar w:fldCharType="separate"/>
      </w:r>
      <w:r>
        <w:rPr>
          <w:rFonts w:ascii="Arial Narrow" w:hAnsi="Arial Narrow"/>
        </w:rPr>
        <w:t>28</w:t>
      </w:r>
      <w:r>
        <w:rPr>
          <w:rFonts w:ascii="Arial Narrow" w:hAnsi="Arial Narrow"/>
        </w:rPr>
        <w:fldChar w:fldCharType="end"/>
      </w:r>
      <w:r>
        <w:rPr>
          <w:rFonts w:ascii="Arial Narrow" w:hAnsi="Arial Narrow"/>
        </w:rPr>
        <w:fldChar w:fldCharType="end"/>
      </w:r>
    </w:p>
    <w:p w14:paraId="5D500005">
      <w:pPr>
        <w:pStyle w:val="88"/>
        <w:tabs>
          <w:tab w:val="right" w:leader="dot" w:pos="9016"/>
        </w:tabs>
        <w:rPr>
          <w:rFonts w:ascii="Arial Narrow" w:hAnsi="Arial Narrow" w:eastAsiaTheme="minorEastAsia"/>
        </w:rPr>
      </w:pPr>
      <w:r>
        <w:fldChar w:fldCharType="begin"/>
      </w:r>
      <w:r>
        <w:instrText xml:space="preserve"> HYPERLINK \l "_Toc179551703" </w:instrText>
      </w:r>
      <w:r>
        <w:fldChar w:fldCharType="separate"/>
      </w:r>
      <w:r>
        <w:rPr>
          <w:rStyle w:val="44"/>
          <w:rFonts w:ascii="Arial Narrow" w:hAnsi="Arial Narrow"/>
        </w:rPr>
        <w:t xml:space="preserve">Figure </w:t>
      </w:r>
      <w:r>
        <w:rPr>
          <w:rStyle w:val="44"/>
          <w:rFonts w:ascii="Arial Narrow" w:hAnsi="Arial Narrow" w:cstheme="minorHAnsi"/>
          <w:iCs/>
        </w:rPr>
        <w:t>19</w:t>
      </w:r>
      <w:r>
        <w:rPr>
          <w:rStyle w:val="44"/>
          <w:rFonts w:ascii="Arial Narrow" w:hAnsi="Arial Narrow"/>
        </w:rPr>
        <w:t>: Stakeholder engagement meeting</w:t>
      </w:r>
      <w:r>
        <w:rPr>
          <w:rFonts w:ascii="Arial Narrow" w:hAnsi="Arial Narrow"/>
        </w:rPr>
        <w:tab/>
      </w:r>
      <w:r>
        <w:rPr>
          <w:rFonts w:ascii="Arial Narrow" w:hAnsi="Arial Narrow"/>
        </w:rPr>
        <w:fldChar w:fldCharType="begin"/>
      </w:r>
      <w:r>
        <w:rPr>
          <w:rFonts w:ascii="Arial Narrow" w:hAnsi="Arial Narrow"/>
        </w:rPr>
        <w:instrText xml:space="preserve"> PAGEREF _Toc179551703 \h </w:instrText>
      </w:r>
      <w:r>
        <w:rPr>
          <w:rFonts w:ascii="Arial Narrow" w:hAnsi="Arial Narrow"/>
        </w:rPr>
        <w:fldChar w:fldCharType="separate"/>
      </w:r>
      <w:r>
        <w:rPr>
          <w:rFonts w:ascii="Arial Narrow" w:hAnsi="Arial Narrow"/>
        </w:rPr>
        <w:t>45</w:t>
      </w:r>
      <w:r>
        <w:rPr>
          <w:rFonts w:ascii="Arial Narrow" w:hAnsi="Arial Narrow"/>
        </w:rPr>
        <w:fldChar w:fldCharType="end"/>
      </w:r>
      <w:r>
        <w:rPr>
          <w:rFonts w:ascii="Arial Narrow" w:hAnsi="Arial Narrow"/>
        </w:rPr>
        <w:fldChar w:fldCharType="end"/>
      </w:r>
    </w:p>
    <w:p w14:paraId="611D9A2E">
      <w:pPr>
        <w:pStyle w:val="88"/>
        <w:tabs>
          <w:tab w:val="right" w:leader="dot" w:pos="9016"/>
        </w:tabs>
        <w:rPr>
          <w:rFonts w:ascii="Arial Narrow" w:hAnsi="Arial Narrow" w:eastAsiaTheme="minorEastAsia"/>
        </w:rPr>
      </w:pPr>
      <w:r>
        <w:fldChar w:fldCharType="begin"/>
      </w:r>
      <w:r>
        <w:instrText xml:space="preserve"> HYPERLINK \l "_Toc179551704" </w:instrText>
      </w:r>
      <w:r>
        <w:fldChar w:fldCharType="separate"/>
      </w:r>
      <w:r>
        <w:rPr>
          <w:rStyle w:val="44"/>
          <w:rFonts w:ascii="Arial Narrow" w:hAnsi="Arial Narrow"/>
        </w:rPr>
        <w:t>Figure 20: Public participation meeting</w:t>
      </w:r>
      <w:r>
        <w:rPr>
          <w:rFonts w:ascii="Arial Narrow" w:hAnsi="Arial Narrow"/>
        </w:rPr>
        <w:tab/>
      </w:r>
      <w:r>
        <w:rPr>
          <w:rFonts w:ascii="Arial Narrow" w:hAnsi="Arial Narrow"/>
        </w:rPr>
        <w:fldChar w:fldCharType="begin"/>
      </w:r>
      <w:r>
        <w:rPr>
          <w:rFonts w:ascii="Arial Narrow" w:hAnsi="Arial Narrow"/>
        </w:rPr>
        <w:instrText xml:space="preserve"> PAGEREF _Toc179551704 \h </w:instrText>
      </w:r>
      <w:r>
        <w:rPr>
          <w:rFonts w:ascii="Arial Narrow" w:hAnsi="Arial Narrow"/>
        </w:rPr>
        <w:fldChar w:fldCharType="separate"/>
      </w:r>
      <w:r>
        <w:rPr>
          <w:rFonts w:ascii="Arial Narrow" w:hAnsi="Arial Narrow"/>
        </w:rPr>
        <w:t>45</w:t>
      </w:r>
      <w:r>
        <w:rPr>
          <w:rFonts w:ascii="Arial Narrow" w:hAnsi="Arial Narrow"/>
        </w:rPr>
        <w:fldChar w:fldCharType="end"/>
      </w:r>
      <w:r>
        <w:rPr>
          <w:rFonts w:ascii="Arial Narrow" w:hAnsi="Arial Narrow"/>
        </w:rPr>
        <w:fldChar w:fldCharType="end"/>
      </w:r>
    </w:p>
    <w:p w14:paraId="47B0B2CC">
      <w:pPr>
        <w:pStyle w:val="88"/>
        <w:tabs>
          <w:tab w:val="right" w:leader="dot" w:pos="9016"/>
        </w:tabs>
        <w:rPr>
          <w:rFonts w:ascii="Arial Narrow" w:hAnsi="Arial Narrow" w:eastAsiaTheme="minorEastAsia"/>
        </w:rPr>
      </w:pPr>
      <w:r>
        <w:fldChar w:fldCharType="begin"/>
      </w:r>
      <w:r>
        <w:instrText xml:space="preserve"> HYPERLINK \l "_Toc179551705" </w:instrText>
      </w:r>
      <w:r>
        <w:fldChar w:fldCharType="separate"/>
      </w:r>
      <w:r>
        <w:rPr>
          <w:rStyle w:val="44"/>
          <w:rFonts w:ascii="Arial Narrow" w:hAnsi="Arial Narrow"/>
        </w:rPr>
        <w:t>Figure 21:Photo with the area chiefs of Alimaow and Furaha</w:t>
      </w:r>
      <w:r>
        <w:rPr>
          <w:rFonts w:ascii="Arial Narrow" w:hAnsi="Arial Narrow"/>
        </w:rPr>
        <w:tab/>
      </w:r>
      <w:r>
        <w:rPr>
          <w:rFonts w:ascii="Arial Narrow" w:hAnsi="Arial Narrow"/>
        </w:rPr>
        <w:fldChar w:fldCharType="begin"/>
      </w:r>
      <w:r>
        <w:rPr>
          <w:rFonts w:ascii="Arial Narrow" w:hAnsi="Arial Narrow"/>
        </w:rPr>
        <w:instrText xml:space="preserve"> PAGEREF _Toc179551705 \h </w:instrText>
      </w:r>
      <w:r>
        <w:rPr>
          <w:rFonts w:ascii="Arial Narrow" w:hAnsi="Arial Narrow"/>
        </w:rPr>
        <w:fldChar w:fldCharType="separate"/>
      </w:r>
      <w:r>
        <w:rPr>
          <w:rFonts w:ascii="Arial Narrow" w:hAnsi="Arial Narrow"/>
        </w:rPr>
        <w:t>46</w:t>
      </w:r>
      <w:r>
        <w:rPr>
          <w:rFonts w:ascii="Arial Narrow" w:hAnsi="Arial Narrow"/>
        </w:rPr>
        <w:fldChar w:fldCharType="end"/>
      </w:r>
      <w:r>
        <w:rPr>
          <w:rFonts w:ascii="Arial Narrow" w:hAnsi="Arial Narrow"/>
        </w:rPr>
        <w:fldChar w:fldCharType="end"/>
      </w:r>
    </w:p>
    <w:p w14:paraId="60C81F03">
      <w:pPr>
        <w:pStyle w:val="88"/>
        <w:tabs>
          <w:tab w:val="right" w:leader="dot" w:pos="9016"/>
        </w:tabs>
        <w:rPr>
          <w:rFonts w:ascii="Arial Narrow" w:hAnsi="Arial Narrow" w:eastAsiaTheme="minorEastAsia"/>
        </w:rPr>
      </w:pPr>
      <w:r>
        <w:fldChar w:fldCharType="begin"/>
      </w:r>
      <w:r>
        <w:instrText xml:space="preserve"> HYPERLINK \l "_Toc179551706" </w:instrText>
      </w:r>
      <w:r>
        <w:fldChar w:fldCharType="separate"/>
      </w:r>
      <w:r>
        <w:rPr>
          <w:rStyle w:val="44"/>
          <w:rFonts w:ascii="Arial Narrow" w:hAnsi="Arial Narrow"/>
        </w:rPr>
        <w:t>Figure 22: Interview with the NEMA County Director</w:t>
      </w:r>
      <w:r>
        <w:rPr>
          <w:rFonts w:ascii="Arial Narrow" w:hAnsi="Arial Narrow"/>
        </w:rPr>
        <w:tab/>
      </w:r>
      <w:r>
        <w:rPr>
          <w:rFonts w:ascii="Arial Narrow" w:hAnsi="Arial Narrow"/>
        </w:rPr>
        <w:fldChar w:fldCharType="begin"/>
      </w:r>
      <w:r>
        <w:rPr>
          <w:rFonts w:ascii="Arial Narrow" w:hAnsi="Arial Narrow"/>
        </w:rPr>
        <w:instrText xml:space="preserve"> PAGEREF _Toc179551706 \h </w:instrText>
      </w:r>
      <w:r>
        <w:rPr>
          <w:rFonts w:ascii="Arial Narrow" w:hAnsi="Arial Narrow"/>
        </w:rPr>
        <w:fldChar w:fldCharType="separate"/>
      </w:r>
      <w:r>
        <w:rPr>
          <w:rFonts w:ascii="Arial Narrow" w:hAnsi="Arial Narrow"/>
        </w:rPr>
        <w:t>46</w:t>
      </w:r>
      <w:r>
        <w:rPr>
          <w:rFonts w:ascii="Arial Narrow" w:hAnsi="Arial Narrow"/>
        </w:rPr>
        <w:fldChar w:fldCharType="end"/>
      </w:r>
      <w:r>
        <w:rPr>
          <w:rFonts w:ascii="Arial Narrow" w:hAnsi="Arial Narrow"/>
        </w:rPr>
        <w:fldChar w:fldCharType="end"/>
      </w:r>
    </w:p>
    <w:p w14:paraId="785AAD4C">
      <w:pPr>
        <w:pStyle w:val="88"/>
        <w:tabs>
          <w:tab w:val="right" w:leader="dot" w:pos="9016"/>
        </w:tabs>
        <w:rPr>
          <w:rFonts w:ascii="Arial Narrow" w:hAnsi="Arial Narrow" w:eastAsiaTheme="minorEastAsia"/>
        </w:rPr>
      </w:pPr>
      <w:r>
        <w:fldChar w:fldCharType="begin"/>
      </w:r>
      <w:r>
        <w:instrText xml:space="preserve"> HYPERLINK \l "_Toc179551707" </w:instrText>
      </w:r>
      <w:r>
        <w:fldChar w:fldCharType="separate"/>
      </w:r>
      <w:r>
        <w:rPr>
          <w:rStyle w:val="44"/>
          <w:rFonts w:ascii="Arial Narrow" w:hAnsi="Arial Narrow"/>
        </w:rPr>
        <w:t xml:space="preserve">Figure 23: </w:t>
      </w:r>
      <w:r>
        <w:rPr>
          <w:rStyle w:val="44"/>
          <w:rFonts w:ascii="Arial Narrow" w:hAnsi="Arial Narrow"/>
          <w:lang w:eastAsia="en-GB"/>
        </w:rPr>
        <w:t>Interview with the NDMA Director</w:t>
      </w:r>
      <w:r>
        <w:rPr>
          <w:rFonts w:ascii="Arial Narrow" w:hAnsi="Arial Narrow"/>
        </w:rPr>
        <w:tab/>
      </w:r>
      <w:r>
        <w:rPr>
          <w:rFonts w:ascii="Arial Narrow" w:hAnsi="Arial Narrow"/>
        </w:rPr>
        <w:fldChar w:fldCharType="begin"/>
      </w:r>
      <w:r>
        <w:rPr>
          <w:rFonts w:ascii="Arial Narrow" w:hAnsi="Arial Narrow"/>
        </w:rPr>
        <w:instrText xml:space="preserve"> PAGEREF _Toc179551707 \h </w:instrText>
      </w:r>
      <w:r>
        <w:rPr>
          <w:rFonts w:ascii="Arial Narrow" w:hAnsi="Arial Narrow"/>
        </w:rPr>
        <w:fldChar w:fldCharType="separate"/>
      </w:r>
      <w:r>
        <w:rPr>
          <w:rFonts w:ascii="Arial Narrow" w:hAnsi="Arial Narrow"/>
        </w:rPr>
        <w:t>46</w:t>
      </w:r>
      <w:r>
        <w:rPr>
          <w:rFonts w:ascii="Arial Narrow" w:hAnsi="Arial Narrow"/>
        </w:rPr>
        <w:fldChar w:fldCharType="end"/>
      </w:r>
      <w:r>
        <w:rPr>
          <w:rFonts w:ascii="Arial Narrow" w:hAnsi="Arial Narrow"/>
        </w:rPr>
        <w:fldChar w:fldCharType="end"/>
      </w:r>
    </w:p>
    <w:p w14:paraId="49B73C70">
      <w:pPr>
        <w:pStyle w:val="88"/>
        <w:tabs>
          <w:tab w:val="right" w:leader="dot" w:pos="9016"/>
        </w:tabs>
        <w:rPr>
          <w:rFonts w:ascii="Arial Narrow" w:hAnsi="Arial Narrow" w:eastAsiaTheme="minorEastAsia"/>
        </w:rPr>
      </w:pPr>
      <w:r>
        <w:fldChar w:fldCharType="begin"/>
      </w:r>
      <w:r>
        <w:instrText xml:space="preserve"> HYPERLINK \l "_Toc179551708" </w:instrText>
      </w:r>
      <w:r>
        <w:fldChar w:fldCharType="separate"/>
      </w:r>
      <w:r>
        <w:rPr>
          <w:rStyle w:val="44"/>
          <w:rFonts w:ascii="Arial Narrow" w:hAnsi="Arial Narrow"/>
        </w:rPr>
        <w:t>Figure 24:  Interview with the Director of lands and Physical Planning Department</w:t>
      </w:r>
      <w:r>
        <w:rPr>
          <w:rFonts w:ascii="Arial Narrow" w:hAnsi="Arial Narrow"/>
        </w:rPr>
        <w:tab/>
      </w:r>
      <w:r>
        <w:rPr>
          <w:rFonts w:ascii="Arial Narrow" w:hAnsi="Arial Narrow"/>
        </w:rPr>
        <w:fldChar w:fldCharType="begin"/>
      </w:r>
      <w:r>
        <w:rPr>
          <w:rFonts w:ascii="Arial Narrow" w:hAnsi="Arial Narrow"/>
        </w:rPr>
        <w:instrText xml:space="preserve"> PAGEREF _Toc179551708 \h </w:instrText>
      </w:r>
      <w:r>
        <w:rPr>
          <w:rFonts w:ascii="Arial Narrow" w:hAnsi="Arial Narrow"/>
        </w:rPr>
        <w:fldChar w:fldCharType="separate"/>
      </w:r>
      <w:r>
        <w:rPr>
          <w:rFonts w:ascii="Arial Narrow" w:hAnsi="Arial Narrow"/>
        </w:rPr>
        <w:t>47</w:t>
      </w:r>
      <w:r>
        <w:rPr>
          <w:rFonts w:ascii="Arial Narrow" w:hAnsi="Arial Narrow"/>
        </w:rPr>
        <w:fldChar w:fldCharType="end"/>
      </w:r>
      <w:r>
        <w:rPr>
          <w:rFonts w:ascii="Arial Narrow" w:hAnsi="Arial Narrow"/>
        </w:rPr>
        <w:fldChar w:fldCharType="end"/>
      </w:r>
    </w:p>
    <w:p w14:paraId="0DEAFDC7">
      <w:pPr>
        <w:tabs>
          <w:tab w:val="left" w:pos="709"/>
        </w:tabs>
        <w:ind w:left="709"/>
        <w:jc w:val="both"/>
        <w:rPr>
          <w:lang w:eastAsia="en-GB"/>
        </w:rPr>
      </w:pPr>
      <w:r>
        <w:rPr>
          <w:lang w:eastAsia="en-GB"/>
        </w:rPr>
        <w:fldChar w:fldCharType="end"/>
      </w:r>
    </w:p>
    <w:p w14:paraId="0B166E66">
      <w:pPr>
        <w:pStyle w:val="2"/>
      </w:pPr>
      <w:bookmarkStart w:id="21" w:name="_Toc170722934"/>
      <w:bookmarkStart w:id="22" w:name="_Toc179904008"/>
      <w:r>
        <w:t>LIST OF TABLES</w:t>
      </w:r>
      <w:bookmarkEnd w:id="21"/>
      <w:bookmarkEnd w:id="22"/>
    </w:p>
    <w:p w14:paraId="7695EDE2">
      <w:pPr>
        <w:tabs>
          <w:tab w:val="left" w:pos="709"/>
          <w:tab w:val="left" w:pos="1125"/>
        </w:tabs>
        <w:jc w:val="both"/>
      </w:pPr>
    </w:p>
    <w:p w14:paraId="17D5C04D">
      <w:pPr>
        <w:pStyle w:val="88"/>
        <w:tabs>
          <w:tab w:val="right" w:leader="dot" w:pos="9016"/>
        </w:tabs>
        <w:rPr>
          <w:rFonts w:ascii="Arial Narrow" w:hAnsi="Arial Narrow" w:eastAsiaTheme="minorEastAsia"/>
        </w:rPr>
      </w:pPr>
      <w:bookmarkStart w:id="23" w:name="_Toc163819970"/>
      <w:bookmarkStart w:id="24" w:name="_Toc170722935"/>
      <w:r>
        <w:rPr>
          <w:rFonts w:ascii="Arial Narrow" w:hAnsi="Arial Narrow"/>
        </w:rPr>
        <w:fldChar w:fldCharType="begin"/>
      </w:r>
      <w:r>
        <w:rPr>
          <w:rFonts w:ascii="Arial Narrow" w:hAnsi="Arial Narrow"/>
        </w:rPr>
        <w:instrText xml:space="preserve"> TOC \h \z \c "Table" </w:instrText>
      </w:r>
      <w:r>
        <w:rPr>
          <w:rFonts w:ascii="Arial Narrow" w:hAnsi="Arial Narrow"/>
        </w:rPr>
        <w:fldChar w:fldCharType="separate"/>
      </w:r>
      <w:r>
        <w:fldChar w:fldCharType="begin"/>
      </w:r>
      <w:r>
        <w:instrText xml:space="preserve"> HYPERLINK \l "_Toc179556812" </w:instrText>
      </w:r>
      <w:r>
        <w:fldChar w:fldCharType="separate"/>
      </w:r>
      <w:r>
        <w:rPr>
          <w:rStyle w:val="44"/>
          <w:rFonts w:ascii="Arial Narrow" w:hAnsi="Arial Narrow"/>
        </w:rPr>
        <w:t>Table 1: Summary of EIA Team and Responsibilities</w:t>
      </w:r>
      <w:r>
        <w:rPr>
          <w:rFonts w:ascii="Arial Narrow" w:hAnsi="Arial Narrow"/>
        </w:rPr>
        <w:tab/>
      </w:r>
      <w:r>
        <w:rPr>
          <w:rFonts w:ascii="Arial Narrow" w:hAnsi="Arial Narrow"/>
        </w:rPr>
        <w:fldChar w:fldCharType="begin"/>
      </w:r>
      <w:r>
        <w:rPr>
          <w:rFonts w:ascii="Arial Narrow" w:hAnsi="Arial Narrow"/>
        </w:rPr>
        <w:instrText xml:space="preserve"> PAGEREF _Toc179556812 \h </w:instrText>
      </w:r>
      <w:r>
        <w:rPr>
          <w:rFonts w:ascii="Arial Narrow" w:hAnsi="Arial Narrow"/>
        </w:rPr>
        <w:fldChar w:fldCharType="separate"/>
      </w:r>
      <w:r>
        <w:rPr>
          <w:rFonts w:ascii="Arial Narrow" w:hAnsi="Arial Narrow"/>
        </w:rPr>
        <w:t>3</w:t>
      </w:r>
      <w:r>
        <w:rPr>
          <w:rFonts w:ascii="Arial Narrow" w:hAnsi="Arial Narrow"/>
        </w:rPr>
        <w:fldChar w:fldCharType="end"/>
      </w:r>
      <w:r>
        <w:rPr>
          <w:rFonts w:ascii="Arial Narrow" w:hAnsi="Arial Narrow"/>
        </w:rPr>
        <w:fldChar w:fldCharType="end"/>
      </w:r>
    </w:p>
    <w:p w14:paraId="7E3EF8F3">
      <w:pPr>
        <w:pStyle w:val="88"/>
        <w:tabs>
          <w:tab w:val="right" w:leader="dot" w:pos="9016"/>
        </w:tabs>
        <w:rPr>
          <w:rFonts w:ascii="Arial Narrow" w:hAnsi="Arial Narrow" w:eastAsiaTheme="minorEastAsia"/>
        </w:rPr>
      </w:pPr>
      <w:r>
        <w:fldChar w:fldCharType="begin"/>
      </w:r>
      <w:r>
        <w:instrText xml:space="preserve"> HYPERLINK \l "_Toc179556813" </w:instrText>
      </w:r>
      <w:r>
        <w:fldChar w:fldCharType="separate"/>
      </w:r>
      <w:r>
        <w:rPr>
          <w:rStyle w:val="44"/>
          <w:rFonts w:ascii="Arial Narrow" w:hAnsi="Arial Narrow"/>
        </w:rPr>
        <w:t>Table 2</w:t>
      </w:r>
      <w:r>
        <w:rPr>
          <w:rStyle w:val="44"/>
          <w:rFonts w:ascii="Arial Narrow" w:hAnsi="Arial Narrow" w:eastAsia="Times New Roman" w:cs="Times New Roman"/>
        </w:rPr>
        <w:t>: Design flows 2025-2045</w:t>
      </w:r>
      <w:r>
        <w:rPr>
          <w:rFonts w:ascii="Arial Narrow" w:hAnsi="Arial Narrow"/>
        </w:rPr>
        <w:tab/>
      </w:r>
      <w:r>
        <w:rPr>
          <w:rFonts w:ascii="Arial Narrow" w:hAnsi="Arial Narrow"/>
        </w:rPr>
        <w:fldChar w:fldCharType="begin"/>
      </w:r>
      <w:r>
        <w:rPr>
          <w:rFonts w:ascii="Arial Narrow" w:hAnsi="Arial Narrow"/>
        </w:rPr>
        <w:instrText xml:space="preserve"> PAGEREF _Toc179556813 \h </w:instrText>
      </w:r>
      <w:r>
        <w:rPr>
          <w:rFonts w:ascii="Arial Narrow" w:hAnsi="Arial Narrow"/>
        </w:rPr>
        <w:fldChar w:fldCharType="separate"/>
      </w:r>
      <w:r>
        <w:rPr>
          <w:rFonts w:ascii="Arial Narrow" w:hAnsi="Arial Narrow"/>
        </w:rPr>
        <w:t>8</w:t>
      </w:r>
      <w:r>
        <w:rPr>
          <w:rFonts w:ascii="Arial Narrow" w:hAnsi="Arial Narrow"/>
        </w:rPr>
        <w:fldChar w:fldCharType="end"/>
      </w:r>
      <w:r>
        <w:rPr>
          <w:rFonts w:ascii="Arial Narrow" w:hAnsi="Arial Narrow"/>
        </w:rPr>
        <w:fldChar w:fldCharType="end"/>
      </w:r>
    </w:p>
    <w:p w14:paraId="50E17E35">
      <w:pPr>
        <w:pStyle w:val="88"/>
        <w:tabs>
          <w:tab w:val="right" w:leader="dot" w:pos="9016"/>
        </w:tabs>
        <w:rPr>
          <w:rFonts w:ascii="Arial Narrow" w:hAnsi="Arial Narrow" w:eastAsiaTheme="minorEastAsia"/>
        </w:rPr>
      </w:pPr>
      <w:r>
        <w:fldChar w:fldCharType="begin"/>
      </w:r>
      <w:r>
        <w:instrText xml:space="preserve"> HYPERLINK \l "_Toc179556814" </w:instrText>
      </w:r>
      <w:r>
        <w:fldChar w:fldCharType="separate"/>
      </w:r>
      <w:r>
        <w:rPr>
          <w:rStyle w:val="44"/>
          <w:rFonts w:ascii="Arial Narrow" w:hAnsi="Arial Narrow"/>
        </w:rPr>
        <w:t>Table 3</w:t>
      </w:r>
      <w:r>
        <w:rPr>
          <w:rStyle w:val="44"/>
          <w:rFonts w:ascii="Arial Narrow" w:hAnsi="Arial Narrow" w:eastAsia="Calibri" w:cs="Calibri"/>
          <w:kern w:val="2"/>
          <w14:ligatures w14:val="standardContextual"/>
        </w:rPr>
        <w:t xml:space="preserve">: </w:t>
      </w:r>
      <w:r>
        <w:rPr>
          <w:rStyle w:val="44"/>
          <w:rFonts w:ascii="Arial Narrow" w:hAnsi="Arial Narrow"/>
        </w:rPr>
        <w:t>Weighted average faecal sludge characteristics of proposed FSTP</w:t>
      </w:r>
      <w:r>
        <w:rPr>
          <w:rFonts w:ascii="Arial Narrow" w:hAnsi="Arial Narrow"/>
        </w:rPr>
        <w:tab/>
      </w:r>
      <w:r>
        <w:rPr>
          <w:rFonts w:ascii="Arial Narrow" w:hAnsi="Arial Narrow"/>
        </w:rPr>
        <w:fldChar w:fldCharType="begin"/>
      </w:r>
      <w:r>
        <w:rPr>
          <w:rFonts w:ascii="Arial Narrow" w:hAnsi="Arial Narrow"/>
        </w:rPr>
        <w:instrText xml:space="preserve"> PAGEREF _Toc179556814 \h </w:instrText>
      </w:r>
      <w:r>
        <w:rPr>
          <w:rFonts w:ascii="Arial Narrow" w:hAnsi="Arial Narrow"/>
        </w:rPr>
        <w:fldChar w:fldCharType="separate"/>
      </w:r>
      <w:r>
        <w:rPr>
          <w:rFonts w:ascii="Arial Narrow" w:hAnsi="Arial Narrow"/>
        </w:rPr>
        <w:t>8</w:t>
      </w:r>
      <w:r>
        <w:rPr>
          <w:rFonts w:ascii="Arial Narrow" w:hAnsi="Arial Narrow"/>
        </w:rPr>
        <w:fldChar w:fldCharType="end"/>
      </w:r>
      <w:r>
        <w:rPr>
          <w:rFonts w:ascii="Arial Narrow" w:hAnsi="Arial Narrow"/>
        </w:rPr>
        <w:fldChar w:fldCharType="end"/>
      </w:r>
    </w:p>
    <w:p w14:paraId="75B3A1E0">
      <w:pPr>
        <w:pStyle w:val="88"/>
        <w:tabs>
          <w:tab w:val="right" w:leader="dot" w:pos="9016"/>
        </w:tabs>
        <w:rPr>
          <w:rFonts w:ascii="Arial Narrow" w:hAnsi="Arial Narrow" w:eastAsiaTheme="minorEastAsia"/>
        </w:rPr>
      </w:pPr>
      <w:r>
        <w:fldChar w:fldCharType="begin"/>
      </w:r>
      <w:r>
        <w:instrText xml:space="preserve"> HYPERLINK \l "_Toc179556815" </w:instrText>
      </w:r>
      <w:r>
        <w:fldChar w:fldCharType="separate"/>
      </w:r>
      <w:r>
        <w:rPr>
          <w:rStyle w:val="44"/>
          <w:rFonts w:ascii="Arial Narrow" w:hAnsi="Arial Narrow"/>
        </w:rPr>
        <w:t>Table 4</w:t>
      </w:r>
      <w:r>
        <w:rPr>
          <w:rStyle w:val="44"/>
          <w:rFonts w:ascii="Arial Narrow" w:hAnsi="Arial Narrow" w:eastAsia="Times New Roman" w:cs="Times New Roman"/>
        </w:rPr>
        <w:t>: Components of the Wajir FSTP</w:t>
      </w:r>
      <w:r>
        <w:rPr>
          <w:rFonts w:ascii="Arial Narrow" w:hAnsi="Arial Narrow"/>
        </w:rPr>
        <w:tab/>
      </w:r>
      <w:r>
        <w:rPr>
          <w:rFonts w:ascii="Arial Narrow" w:hAnsi="Arial Narrow"/>
        </w:rPr>
        <w:fldChar w:fldCharType="begin"/>
      </w:r>
      <w:r>
        <w:rPr>
          <w:rFonts w:ascii="Arial Narrow" w:hAnsi="Arial Narrow"/>
        </w:rPr>
        <w:instrText xml:space="preserve"> PAGEREF _Toc179556815 \h </w:instrText>
      </w:r>
      <w:r>
        <w:rPr>
          <w:rFonts w:ascii="Arial Narrow" w:hAnsi="Arial Narrow"/>
        </w:rPr>
        <w:fldChar w:fldCharType="separate"/>
      </w:r>
      <w:r>
        <w:rPr>
          <w:rFonts w:ascii="Arial Narrow" w:hAnsi="Arial Narrow"/>
        </w:rPr>
        <w:t>9</w:t>
      </w:r>
      <w:r>
        <w:rPr>
          <w:rFonts w:ascii="Arial Narrow" w:hAnsi="Arial Narrow"/>
        </w:rPr>
        <w:fldChar w:fldCharType="end"/>
      </w:r>
      <w:r>
        <w:rPr>
          <w:rFonts w:ascii="Arial Narrow" w:hAnsi="Arial Narrow"/>
        </w:rPr>
        <w:fldChar w:fldCharType="end"/>
      </w:r>
    </w:p>
    <w:p w14:paraId="0755FA6D">
      <w:pPr>
        <w:pStyle w:val="88"/>
        <w:tabs>
          <w:tab w:val="right" w:leader="dot" w:pos="9016"/>
        </w:tabs>
        <w:rPr>
          <w:rFonts w:ascii="Arial Narrow" w:hAnsi="Arial Narrow" w:eastAsiaTheme="minorEastAsia"/>
        </w:rPr>
      </w:pPr>
      <w:r>
        <w:fldChar w:fldCharType="begin"/>
      </w:r>
      <w:r>
        <w:instrText xml:space="preserve"> HYPERLINK \l "_Toc179556816" </w:instrText>
      </w:r>
      <w:r>
        <w:fldChar w:fldCharType="separate"/>
      </w:r>
      <w:r>
        <w:rPr>
          <w:rStyle w:val="44"/>
          <w:rFonts w:ascii="Arial Narrow" w:hAnsi="Arial Narrow"/>
        </w:rPr>
        <w:t>Table 5: Estimated Project Costs</w:t>
      </w:r>
      <w:r>
        <w:rPr>
          <w:rFonts w:ascii="Arial Narrow" w:hAnsi="Arial Narrow"/>
        </w:rPr>
        <w:tab/>
      </w:r>
      <w:r>
        <w:rPr>
          <w:rFonts w:ascii="Arial Narrow" w:hAnsi="Arial Narrow"/>
        </w:rPr>
        <w:fldChar w:fldCharType="begin"/>
      </w:r>
      <w:r>
        <w:rPr>
          <w:rFonts w:ascii="Arial Narrow" w:hAnsi="Arial Narrow"/>
        </w:rPr>
        <w:instrText xml:space="preserve"> PAGEREF _Toc179556816 \h </w:instrText>
      </w:r>
      <w:r>
        <w:rPr>
          <w:rFonts w:ascii="Arial Narrow" w:hAnsi="Arial Narrow"/>
        </w:rPr>
        <w:fldChar w:fldCharType="separate"/>
      </w:r>
      <w:r>
        <w:rPr>
          <w:rFonts w:ascii="Arial Narrow" w:hAnsi="Arial Narrow"/>
        </w:rPr>
        <w:t>10</w:t>
      </w:r>
      <w:r>
        <w:rPr>
          <w:rFonts w:ascii="Arial Narrow" w:hAnsi="Arial Narrow"/>
        </w:rPr>
        <w:fldChar w:fldCharType="end"/>
      </w:r>
      <w:r>
        <w:rPr>
          <w:rFonts w:ascii="Arial Narrow" w:hAnsi="Arial Narrow"/>
        </w:rPr>
        <w:fldChar w:fldCharType="end"/>
      </w:r>
    </w:p>
    <w:p w14:paraId="0874D861">
      <w:pPr>
        <w:pStyle w:val="88"/>
        <w:tabs>
          <w:tab w:val="right" w:leader="dot" w:pos="9016"/>
        </w:tabs>
        <w:rPr>
          <w:rFonts w:ascii="Arial Narrow" w:hAnsi="Arial Narrow" w:eastAsiaTheme="minorEastAsia"/>
        </w:rPr>
      </w:pPr>
      <w:r>
        <w:fldChar w:fldCharType="begin"/>
      </w:r>
      <w:r>
        <w:instrText xml:space="preserve"> HYPERLINK \l "_Toc179556817" </w:instrText>
      </w:r>
      <w:r>
        <w:fldChar w:fldCharType="separate"/>
      </w:r>
      <w:r>
        <w:rPr>
          <w:rStyle w:val="44"/>
          <w:rFonts w:ascii="Arial Narrow" w:hAnsi="Arial Narrow"/>
        </w:rPr>
        <w:t>Table 6: County Government Administrative wards</w:t>
      </w:r>
      <w:r>
        <w:rPr>
          <w:rFonts w:ascii="Arial Narrow" w:hAnsi="Arial Narrow"/>
        </w:rPr>
        <w:tab/>
      </w:r>
      <w:r>
        <w:rPr>
          <w:rFonts w:ascii="Arial Narrow" w:hAnsi="Arial Narrow"/>
        </w:rPr>
        <w:fldChar w:fldCharType="begin"/>
      </w:r>
      <w:r>
        <w:rPr>
          <w:rFonts w:ascii="Arial Narrow" w:hAnsi="Arial Narrow"/>
        </w:rPr>
        <w:instrText xml:space="preserve"> PAGEREF _Toc179556817 \h </w:instrText>
      </w:r>
      <w:r>
        <w:rPr>
          <w:rFonts w:ascii="Arial Narrow" w:hAnsi="Arial Narrow"/>
        </w:rPr>
        <w:fldChar w:fldCharType="separate"/>
      </w:r>
      <w:r>
        <w:rPr>
          <w:rFonts w:ascii="Arial Narrow" w:hAnsi="Arial Narrow"/>
        </w:rPr>
        <w:t>16</w:t>
      </w:r>
      <w:r>
        <w:rPr>
          <w:rFonts w:ascii="Arial Narrow" w:hAnsi="Arial Narrow"/>
        </w:rPr>
        <w:fldChar w:fldCharType="end"/>
      </w:r>
      <w:r>
        <w:rPr>
          <w:rFonts w:ascii="Arial Narrow" w:hAnsi="Arial Narrow"/>
        </w:rPr>
        <w:fldChar w:fldCharType="end"/>
      </w:r>
    </w:p>
    <w:p w14:paraId="059DBE3C">
      <w:pPr>
        <w:pStyle w:val="88"/>
        <w:tabs>
          <w:tab w:val="right" w:leader="dot" w:pos="9016"/>
        </w:tabs>
        <w:rPr>
          <w:rFonts w:ascii="Arial Narrow" w:hAnsi="Arial Narrow" w:eastAsiaTheme="minorEastAsia"/>
        </w:rPr>
      </w:pPr>
      <w:r>
        <w:fldChar w:fldCharType="begin"/>
      </w:r>
      <w:r>
        <w:instrText xml:space="preserve"> HYPERLINK \l "_Toc179556818" </w:instrText>
      </w:r>
      <w:r>
        <w:fldChar w:fldCharType="separate"/>
      </w:r>
      <w:r>
        <w:rPr>
          <w:rStyle w:val="44"/>
          <w:rFonts w:ascii="Arial Narrow" w:hAnsi="Arial Narrow"/>
        </w:rPr>
        <w:t>Table 7</w:t>
      </w:r>
      <w:r>
        <w:rPr>
          <w:rStyle w:val="44"/>
          <w:rFonts w:ascii="Arial Narrow" w:hAnsi="Arial Narrow"/>
          <w:lang w:bidi="en-US"/>
        </w:rPr>
        <w:t>: Population Distribution and density by Sub-County</w:t>
      </w:r>
      <w:r>
        <w:rPr>
          <w:rFonts w:ascii="Arial Narrow" w:hAnsi="Arial Narrow"/>
        </w:rPr>
        <w:tab/>
      </w:r>
      <w:r>
        <w:rPr>
          <w:rFonts w:ascii="Arial Narrow" w:hAnsi="Arial Narrow"/>
        </w:rPr>
        <w:fldChar w:fldCharType="begin"/>
      </w:r>
      <w:r>
        <w:rPr>
          <w:rFonts w:ascii="Arial Narrow" w:hAnsi="Arial Narrow"/>
        </w:rPr>
        <w:instrText xml:space="preserve"> PAGEREF _Toc179556818 \h </w:instrText>
      </w:r>
      <w:r>
        <w:rPr>
          <w:rFonts w:ascii="Arial Narrow" w:hAnsi="Arial Narrow"/>
        </w:rPr>
        <w:fldChar w:fldCharType="separate"/>
      </w:r>
      <w:r>
        <w:rPr>
          <w:rFonts w:ascii="Arial Narrow" w:hAnsi="Arial Narrow"/>
        </w:rPr>
        <w:t>18</w:t>
      </w:r>
      <w:r>
        <w:rPr>
          <w:rFonts w:ascii="Arial Narrow" w:hAnsi="Arial Narrow"/>
        </w:rPr>
        <w:fldChar w:fldCharType="end"/>
      </w:r>
      <w:r>
        <w:rPr>
          <w:rFonts w:ascii="Arial Narrow" w:hAnsi="Arial Narrow"/>
        </w:rPr>
        <w:fldChar w:fldCharType="end"/>
      </w:r>
    </w:p>
    <w:p w14:paraId="0F97B1BB">
      <w:pPr>
        <w:pStyle w:val="88"/>
        <w:tabs>
          <w:tab w:val="right" w:leader="dot" w:pos="9016"/>
        </w:tabs>
        <w:rPr>
          <w:rFonts w:ascii="Arial Narrow" w:hAnsi="Arial Narrow" w:eastAsiaTheme="minorEastAsia"/>
        </w:rPr>
      </w:pPr>
      <w:r>
        <w:fldChar w:fldCharType="begin"/>
      </w:r>
      <w:r>
        <w:instrText xml:space="preserve"> HYPERLINK \l "_Toc179556819" </w:instrText>
      </w:r>
      <w:r>
        <w:fldChar w:fldCharType="separate"/>
      </w:r>
      <w:r>
        <w:rPr>
          <w:rStyle w:val="44"/>
          <w:rFonts w:ascii="Arial Narrow" w:hAnsi="Arial Narrow"/>
        </w:rPr>
        <w:t>Table 8</w:t>
      </w:r>
      <w:r>
        <w:rPr>
          <w:rStyle w:val="44"/>
          <w:rFonts w:ascii="Arial Narrow" w:hAnsi="Arial Narrow"/>
          <w:b/>
          <w:i/>
          <w:iCs/>
          <w:lang w:val="en-GB" w:eastAsia="ja-JP"/>
        </w:rPr>
        <w:t>: Key Population Data Wajir Town</w:t>
      </w:r>
      <w:r>
        <w:rPr>
          <w:rFonts w:ascii="Arial Narrow" w:hAnsi="Arial Narrow"/>
        </w:rPr>
        <w:tab/>
      </w:r>
      <w:r>
        <w:rPr>
          <w:rFonts w:ascii="Arial Narrow" w:hAnsi="Arial Narrow"/>
        </w:rPr>
        <w:fldChar w:fldCharType="begin"/>
      </w:r>
      <w:r>
        <w:rPr>
          <w:rFonts w:ascii="Arial Narrow" w:hAnsi="Arial Narrow"/>
        </w:rPr>
        <w:instrText xml:space="preserve"> PAGEREF _Toc179556819 \h </w:instrText>
      </w:r>
      <w:r>
        <w:rPr>
          <w:rFonts w:ascii="Arial Narrow" w:hAnsi="Arial Narrow"/>
        </w:rPr>
        <w:fldChar w:fldCharType="separate"/>
      </w:r>
      <w:r>
        <w:rPr>
          <w:rFonts w:ascii="Arial Narrow" w:hAnsi="Arial Narrow"/>
        </w:rPr>
        <w:t>19</w:t>
      </w:r>
      <w:r>
        <w:rPr>
          <w:rFonts w:ascii="Arial Narrow" w:hAnsi="Arial Narrow"/>
        </w:rPr>
        <w:fldChar w:fldCharType="end"/>
      </w:r>
      <w:r>
        <w:rPr>
          <w:rFonts w:ascii="Arial Narrow" w:hAnsi="Arial Narrow"/>
        </w:rPr>
        <w:fldChar w:fldCharType="end"/>
      </w:r>
    </w:p>
    <w:p w14:paraId="498A13AC">
      <w:pPr>
        <w:pStyle w:val="88"/>
        <w:tabs>
          <w:tab w:val="right" w:leader="dot" w:pos="9016"/>
        </w:tabs>
        <w:rPr>
          <w:rFonts w:ascii="Arial Narrow" w:hAnsi="Arial Narrow" w:eastAsiaTheme="minorEastAsia"/>
        </w:rPr>
      </w:pPr>
      <w:r>
        <w:fldChar w:fldCharType="begin"/>
      </w:r>
      <w:r>
        <w:instrText xml:space="preserve"> HYPERLINK \l "_Toc179556820" </w:instrText>
      </w:r>
      <w:r>
        <w:fldChar w:fldCharType="separate"/>
      </w:r>
      <w:r>
        <w:rPr>
          <w:rStyle w:val="44"/>
          <w:rFonts w:ascii="Arial Narrow" w:hAnsi="Arial Narrow"/>
        </w:rPr>
        <w:t>Table 9: Key Sanitation Systems in Wajir Town</w:t>
      </w:r>
      <w:r>
        <w:rPr>
          <w:rFonts w:ascii="Arial Narrow" w:hAnsi="Arial Narrow"/>
        </w:rPr>
        <w:tab/>
      </w:r>
      <w:r>
        <w:rPr>
          <w:rFonts w:ascii="Arial Narrow" w:hAnsi="Arial Narrow"/>
        </w:rPr>
        <w:fldChar w:fldCharType="begin"/>
      </w:r>
      <w:r>
        <w:rPr>
          <w:rFonts w:ascii="Arial Narrow" w:hAnsi="Arial Narrow"/>
        </w:rPr>
        <w:instrText xml:space="preserve"> PAGEREF _Toc179556820 \h </w:instrText>
      </w:r>
      <w:r>
        <w:rPr>
          <w:rFonts w:ascii="Arial Narrow" w:hAnsi="Arial Narrow"/>
        </w:rPr>
        <w:fldChar w:fldCharType="separate"/>
      </w:r>
      <w:r>
        <w:rPr>
          <w:rFonts w:ascii="Arial Narrow" w:hAnsi="Arial Narrow"/>
        </w:rPr>
        <w:t>22</w:t>
      </w:r>
      <w:r>
        <w:rPr>
          <w:rFonts w:ascii="Arial Narrow" w:hAnsi="Arial Narrow"/>
        </w:rPr>
        <w:fldChar w:fldCharType="end"/>
      </w:r>
      <w:r>
        <w:rPr>
          <w:rFonts w:ascii="Arial Narrow" w:hAnsi="Arial Narrow"/>
        </w:rPr>
        <w:fldChar w:fldCharType="end"/>
      </w:r>
    </w:p>
    <w:p w14:paraId="512184ED">
      <w:pPr>
        <w:pStyle w:val="88"/>
        <w:tabs>
          <w:tab w:val="right" w:leader="dot" w:pos="9016"/>
        </w:tabs>
        <w:rPr>
          <w:rFonts w:ascii="Arial Narrow" w:hAnsi="Arial Narrow" w:eastAsiaTheme="minorEastAsia"/>
        </w:rPr>
      </w:pPr>
      <w:r>
        <w:fldChar w:fldCharType="begin"/>
      </w:r>
      <w:r>
        <w:instrText xml:space="preserve"> HYPERLINK \l "_Toc179556821" </w:instrText>
      </w:r>
      <w:r>
        <w:fldChar w:fldCharType="separate"/>
      </w:r>
      <w:r>
        <w:rPr>
          <w:rStyle w:val="44"/>
          <w:rFonts w:ascii="Arial Narrow" w:hAnsi="Arial Narrow"/>
        </w:rPr>
        <w:t>Table 10: Applicable National Laws and Regulations</w:t>
      </w:r>
      <w:r>
        <w:rPr>
          <w:rFonts w:ascii="Arial Narrow" w:hAnsi="Arial Narrow"/>
        </w:rPr>
        <w:tab/>
      </w:r>
      <w:r>
        <w:rPr>
          <w:rFonts w:ascii="Arial Narrow" w:hAnsi="Arial Narrow"/>
        </w:rPr>
        <w:fldChar w:fldCharType="begin"/>
      </w:r>
      <w:r>
        <w:rPr>
          <w:rFonts w:ascii="Arial Narrow" w:hAnsi="Arial Narrow"/>
        </w:rPr>
        <w:instrText xml:space="preserve"> PAGEREF _Toc179556821 \h </w:instrText>
      </w:r>
      <w:r>
        <w:rPr>
          <w:rFonts w:ascii="Arial Narrow" w:hAnsi="Arial Narrow"/>
        </w:rPr>
        <w:fldChar w:fldCharType="separate"/>
      </w:r>
      <w:r>
        <w:rPr>
          <w:rFonts w:ascii="Arial Narrow" w:hAnsi="Arial Narrow"/>
        </w:rPr>
        <w:t>29</w:t>
      </w:r>
      <w:r>
        <w:rPr>
          <w:rFonts w:ascii="Arial Narrow" w:hAnsi="Arial Narrow"/>
        </w:rPr>
        <w:fldChar w:fldCharType="end"/>
      </w:r>
      <w:r>
        <w:rPr>
          <w:rFonts w:ascii="Arial Narrow" w:hAnsi="Arial Narrow"/>
        </w:rPr>
        <w:fldChar w:fldCharType="end"/>
      </w:r>
    </w:p>
    <w:p w14:paraId="0DF550F7">
      <w:pPr>
        <w:pStyle w:val="88"/>
        <w:tabs>
          <w:tab w:val="right" w:leader="dot" w:pos="9016"/>
        </w:tabs>
        <w:rPr>
          <w:rFonts w:ascii="Arial Narrow" w:hAnsi="Arial Narrow" w:eastAsiaTheme="minorEastAsia"/>
        </w:rPr>
      </w:pPr>
      <w:r>
        <w:fldChar w:fldCharType="begin"/>
      </w:r>
      <w:r>
        <w:instrText xml:space="preserve"> HYPERLINK \l "_Toc179556822" </w:instrText>
      </w:r>
      <w:r>
        <w:fldChar w:fldCharType="separate"/>
      </w:r>
      <w:r>
        <w:rPr>
          <w:rStyle w:val="44"/>
          <w:rFonts w:ascii="Arial Narrow" w:hAnsi="Arial Narrow"/>
        </w:rPr>
        <w:t>Table 11: County Laws and Regulations</w:t>
      </w:r>
      <w:r>
        <w:rPr>
          <w:rFonts w:ascii="Arial Narrow" w:hAnsi="Arial Narrow"/>
        </w:rPr>
        <w:tab/>
      </w:r>
      <w:r>
        <w:rPr>
          <w:rFonts w:ascii="Arial Narrow" w:hAnsi="Arial Narrow"/>
        </w:rPr>
        <w:fldChar w:fldCharType="begin"/>
      </w:r>
      <w:r>
        <w:rPr>
          <w:rFonts w:ascii="Arial Narrow" w:hAnsi="Arial Narrow"/>
        </w:rPr>
        <w:instrText xml:space="preserve"> PAGEREF _Toc179556822 \h </w:instrText>
      </w:r>
      <w:r>
        <w:rPr>
          <w:rFonts w:ascii="Arial Narrow" w:hAnsi="Arial Narrow"/>
        </w:rPr>
        <w:fldChar w:fldCharType="separate"/>
      </w:r>
      <w:r>
        <w:rPr>
          <w:rFonts w:ascii="Arial Narrow" w:hAnsi="Arial Narrow"/>
        </w:rPr>
        <w:t>31</w:t>
      </w:r>
      <w:r>
        <w:rPr>
          <w:rFonts w:ascii="Arial Narrow" w:hAnsi="Arial Narrow"/>
        </w:rPr>
        <w:fldChar w:fldCharType="end"/>
      </w:r>
      <w:r>
        <w:rPr>
          <w:rFonts w:ascii="Arial Narrow" w:hAnsi="Arial Narrow"/>
        </w:rPr>
        <w:fldChar w:fldCharType="end"/>
      </w:r>
    </w:p>
    <w:p w14:paraId="172FD78B">
      <w:pPr>
        <w:pStyle w:val="88"/>
        <w:tabs>
          <w:tab w:val="right" w:leader="dot" w:pos="9016"/>
        </w:tabs>
        <w:rPr>
          <w:rFonts w:ascii="Arial Narrow" w:hAnsi="Arial Narrow" w:eastAsiaTheme="minorEastAsia"/>
        </w:rPr>
      </w:pPr>
      <w:r>
        <w:fldChar w:fldCharType="begin"/>
      </w:r>
      <w:r>
        <w:instrText xml:space="preserve"> HYPERLINK \l "_Toc179556823" </w:instrText>
      </w:r>
      <w:r>
        <w:fldChar w:fldCharType="separate"/>
      </w:r>
      <w:r>
        <w:rPr>
          <w:rStyle w:val="44"/>
          <w:rFonts w:ascii="Arial Narrow" w:hAnsi="Arial Narrow"/>
        </w:rPr>
        <w:t>Table 12: Applicable Policies</w:t>
      </w:r>
      <w:r>
        <w:rPr>
          <w:rFonts w:ascii="Arial Narrow" w:hAnsi="Arial Narrow"/>
        </w:rPr>
        <w:tab/>
      </w:r>
      <w:r>
        <w:rPr>
          <w:rFonts w:ascii="Arial Narrow" w:hAnsi="Arial Narrow"/>
        </w:rPr>
        <w:fldChar w:fldCharType="begin"/>
      </w:r>
      <w:r>
        <w:rPr>
          <w:rFonts w:ascii="Arial Narrow" w:hAnsi="Arial Narrow"/>
        </w:rPr>
        <w:instrText xml:space="preserve"> PAGEREF _Toc179556823 \h </w:instrText>
      </w:r>
      <w:r>
        <w:rPr>
          <w:rFonts w:ascii="Arial Narrow" w:hAnsi="Arial Narrow"/>
        </w:rPr>
        <w:fldChar w:fldCharType="separate"/>
      </w:r>
      <w:r>
        <w:rPr>
          <w:rFonts w:ascii="Arial Narrow" w:hAnsi="Arial Narrow"/>
        </w:rPr>
        <w:t>31</w:t>
      </w:r>
      <w:r>
        <w:rPr>
          <w:rFonts w:ascii="Arial Narrow" w:hAnsi="Arial Narrow"/>
        </w:rPr>
        <w:fldChar w:fldCharType="end"/>
      </w:r>
      <w:r>
        <w:rPr>
          <w:rFonts w:ascii="Arial Narrow" w:hAnsi="Arial Narrow"/>
        </w:rPr>
        <w:fldChar w:fldCharType="end"/>
      </w:r>
    </w:p>
    <w:p w14:paraId="216CB1BC">
      <w:pPr>
        <w:pStyle w:val="88"/>
        <w:tabs>
          <w:tab w:val="right" w:leader="dot" w:pos="9016"/>
        </w:tabs>
        <w:rPr>
          <w:rFonts w:ascii="Arial Narrow" w:hAnsi="Arial Narrow" w:eastAsiaTheme="minorEastAsia"/>
        </w:rPr>
      </w:pPr>
      <w:r>
        <w:fldChar w:fldCharType="begin"/>
      </w:r>
      <w:r>
        <w:instrText xml:space="preserve"> HYPERLINK \l "_Toc179556824" </w:instrText>
      </w:r>
      <w:r>
        <w:fldChar w:fldCharType="separate"/>
      </w:r>
      <w:r>
        <w:rPr>
          <w:rStyle w:val="44"/>
          <w:rFonts w:ascii="Arial Narrow" w:hAnsi="Arial Narrow"/>
        </w:rPr>
        <w:t>Table 13: County Policy Framework</w:t>
      </w:r>
      <w:r>
        <w:rPr>
          <w:rFonts w:ascii="Arial Narrow" w:hAnsi="Arial Narrow"/>
        </w:rPr>
        <w:tab/>
      </w:r>
      <w:r>
        <w:rPr>
          <w:rFonts w:ascii="Arial Narrow" w:hAnsi="Arial Narrow"/>
        </w:rPr>
        <w:fldChar w:fldCharType="begin"/>
      </w:r>
      <w:r>
        <w:rPr>
          <w:rFonts w:ascii="Arial Narrow" w:hAnsi="Arial Narrow"/>
        </w:rPr>
        <w:instrText xml:space="preserve"> PAGEREF _Toc179556824 \h </w:instrText>
      </w:r>
      <w:r>
        <w:rPr>
          <w:rFonts w:ascii="Arial Narrow" w:hAnsi="Arial Narrow"/>
        </w:rPr>
        <w:fldChar w:fldCharType="separate"/>
      </w:r>
      <w:r>
        <w:rPr>
          <w:rFonts w:ascii="Arial Narrow" w:hAnsi="Arial Narrow"/>
        </w:rPr>
        <w:t>34</w:t>
      </w:r>
      <w:r>
        <w:rPr>
          <w:rFonts w:ascii="Arial Narrow" w:hAnsi="Arial Narrow"/>
        </w:rPr>
        <w:fldChar w:fldCharType="end"/>
      </w:r>
      <w:r>
        <w:rPr>
          <w:rFonts w:ascii="Arial Narrow" w:hAnsi="Arial Narrow"/>
        </w:rPr>
        <w:fldChar w:fldCharType="end"/>
      </w:r>
    </w:p>
    <w:p w14:paraId="61EB42A6">
      <w:pPr>
        <w:pStyle w:val="88"/>
        <w:tabs>
          <w:tab w:val="right" w:leader="dot" w:pos="9016"/>
        </w:tabs>
        <w:rPr>
          <w:rFonts w:ascii="Arial Narrow" w:hAnsi="Arial Narrow" w:eastAsiaTheme="minorEastAsia"/>
        </w:rPr>
      </w:pPr>
      <w:r>
        <w:fldChar w:fldCharType="begin"/>
      </w:r>
      <w:r>
        <w:instrText xml:space="preserve"> HYPERLINK \l "_Toc179556825" </w:instrText>
      </w:r>
      <w:r>
        <w:fldChar w:fldCharType="separate"/>
      </w:r>
      <w:r>
        <w:rPr>
          <w:rStyle w:val="44"/>
          <w:rFonts w:ascii="Arial Narrow" w:hAnsi="Arial Narrow"/>
        </w:rPr>
        <w:t>Table 14: SDGs</w:t>
      </w:r>
      <w:r>
        <w:rPr>
          <w:rFonts w:ascii="Arial Narrow" w:hAnsi="Arial Narrow"/>
        </w:rPr>
        <w:tab/>
      </w:r>
      <w:r>
        <w:rPr>
          <w:rFonts w:ascii="Arial Narrow" w:hAnsi="Arial Narrow"/>
        </w:rPr>
        <w:fldChar w:fldCharType="begin"/>
      </w:r>
      <w:r>
        <w:rPr>
          <w:rFonts w:ascii="Arial Narrow" w:hAnsi="Arial Narrow"/>
        </w:rPr>
        <w:instrText xml:space="preserve"> PAGEREF _Toc179556825 \h </w:instrText>
      </w:r>
      <w:r>
        <w:rPr>
          <w:rFonts w:ascii="Arial Narrow" w:hAnsi="Arial Narrow"/>
        </w:rPr>
        <w:fldChar w:fldCharType="separate"/>
      </w:r>
      <w:r>
        <w:rPr>
          <w:rFonts w:ascii="Arial Narrow" w:hAnsi="Arial Narrow"/>
        </w:rPr>
        <w:t>34</w:t>
      </w:r>
      <w:r>
        <w:rPr>
          <w:rFonts w:ascii="Arial Narrow" w:hAnsi="Arial Narrow"/>
        </w:rPr>
        <w:fldChar w:fldCharType="end"/>
      </w:r>
      <w:r>
        <w:rPr>
          <w:rFonts w:ascii="Arial Narrow" w:hAnsi="Arial Narrow"/>
        </w:rPr>
        <w:fldChar w:fldCharType="end"/>
      </w:r>
    </w:p>
    <w:p w14:paraId="1968D3D7">
      <w:pPr>
        <w:pStyle w:val="88"/>
        <w:tabs>
          <w:tab w:val="right" w:leader="dot" w:pos="9016"/>
        </w:tabs>
        <w:rPr>
          <w:rFonts w:ascii="Arial Narrow" w:hAnsi="Arial Narrow" w:eastAsiaTheme="minorEastAsia"/>
        </w:rPr>
      </w:pPr>
      <w:r>
        <w:fldChar w:fldCharType="begin"/>
      </w:r>
      <w:r>
        <w:instrText xml:space="preserve"> HYPERLINK \l "_Toc179556826" </w:instrText>
      </w:r>
      <w:r>
        <w:fldChar w:fldCharType="separate"/>
      </w:r>
      <w:r>
        <w:rPr>
          <w:rStyle w:val="44"/>
          <w:rFonts w:ascii="Arial Narrow" w:hAnsi="Arial Narrow"/>
        </w:rPr>
        <w:t>Table 15: Schedule of Public Consultation Meetings</w:t>
      </w:r>
      <w:r>
        <w:rPr>
          <w:rFonts w:ascii="Arial Narrow" w:hAnsi="Arial Narrow"/>
        </w:rPr>
        <w:tab/>
      </w:r>
      <w:r>
        <w:rPr>
          <w:rFonts w:ascii="Arial Narrow" w:hAnsi="Arial Narrow"/>
        </w:rPr>
        <w:fldChar w:fldCharType="begin"/>
      </w:r>
      <w:r>
        <w:rPr>
          <w:rFonts w:ascii="Arial Narrow" w:hAnsi="Arial Narrow"/>
        </w:rPr>
        <w:instrText xml:space="preserve"> PAGEREF _Toc179556826 \h </w:instrText>
      </w:r>
      <w:r>
        <w:rPr>
          <w:rFonts w:ascii="Arial Narrow" w:hAnsi="Arial Narrow"/>
        </w:rPr>
        <w:fldChar w:fldCharType="separate"/>
      </w:r>
      <w:r>
        <w:rPr>
          <w:rFonts w:ascii="Arial Narrow" w:hAnsi="Arial Narrow"/>
        </w:rPr>
        <w:t>40</w:t>
      </w:r>
      <w:r>
        <w:rPr>
          <w:rFonts w:ascii="Arial Narrow" w:hAnsi="Arial Narrow"/>
        </w:rPr>
        <w:fldChar w:fldCharType="end"/>
      </w:r>
      <w:r>
        <w:rPr>
          <w:rFonts w:ascii="Arial Narrow" w:hAnsi="Arial Narrow"/>
        </w:rPr>
        <w:fldChar w:fldCharType="end"/>
      </w:r>
    </w:p>
    <w:p w14:paraId="6593AA68">
      <w:pPr>
        <w:pStyle w:val="88"/>
        <w:tabs>
          <w:tab w:val="right" w:leader="dot" w:pos="9016"/>
        </w:tabs>
        <w:rPr>
          <w:rFonts w:ascii="Arial Narrow" w:hAnsi="Arial Narrow" w:eastAsiaTheme="minorEastAsia"/>
        </w:rPr>
      </w:pPr>
      <w:r>
        <w:fldChar w:fldCharType="begin"/>
      </w:r>
      <w:r>
        <w:instrText xml:space="preserve"> HYPERLINK \l "_Toc179556827" </w:instrText>
      </w:r>
      <w:r>
        <w:fldChar w:fldCharType="separate"/>
      </w:r>
      <w:r>
        <w:rPr>
          <w:rStyle w:val="44"/>
          <w:rFonts w:ascii="Arial Narrow" w:hAnsi="Arial Narrow"/>
        </w:rPr>
        <w:t>Table 16: Summary of Stakeholder Consultation Issues</w:t>
      </w:r>
      <w:r>
        <w:rPr>
          <w:rFonts w:ascii="Arial Narrow" w:hAnsi="Arial Narrow"/>
        </w:rPr>
        <w:tab/>
      </w:r>
      <w:r>
        <w:rPr>
          <w:rFonts w:ascii="Arial Narrow" w:hAnsi="Arial Narrow"/>
        </w:rPr>
        <w:fldChar w:fldCharType="begin"/>
      </w:r>
      <w:r>
        <w:rPr>
          <w:rFonts w:ascii="Arial Narrow" w:hAnsi="Arial Narrow"/>
        </w:rPr>
        <w:instrText xml:space="preserve"> PAGEREF _Toc179556827 \h </w:instrText>
      </w:r>
      <w:r>
        <w:rPr>
          <w:rFonts w:ascii="Arial Narrow" w:hAnsi="Arial Narrow"/>
        </w:rPr>
        <w:fldChar w:fldCharType="separate"/>
      </w:r>
      <w:r>
        <w:rPr>
          <w:rFonts w:ascii="Arial Narrow" w:hAnsi="Arial Narrow"/>
        </w:rPr>
        <w:t>40</w:t>
      </w:r>
      <w:r>
        <w:rPr>
          <w:rFonts w:ascii="Arial Narrow" w:hAnsi="Arial Narrow"/>
        </w:rPr>
        <w:fldChar w:fldCharType="end"/>
      </w:r>
      <w:r>
        <w:rPr>
          <w:rFonts w:ascii="Arial Narrow" w:hAnsi="Arial Narrow"/>
        </w:rPr>
        <w:fldChar w:fldCharType="end"/>
      </w:r>
    </w:p>
    <w:p w14:paraId="6CFD46AC">
      <w:pPr>
        <w:pStyle w:val="88"/>
        <w:tabs>
          <w:tab w:val="right" w:leader="dot" w:pos="9016"/>
        </w:tabs>
        <w:rPr>
          <w:rFonts w:ascii="Arial Narrow" w:hAnsi="Arial Narrow" w:eastAsiaTheme="minorEastAsia"/>
        </w:rPr>
      </w:pPr>
      <w:r>
        <w:fldChar w:fldCharType="begin"/>
      </w:r>
      <w:r>
        <w:instrText xml:space="preserve"> HYPERLINK \l "_Toc179556828" </w:instrText>
      </w:r>
      <w:r>
        <w:fldChar w:fldCharType="separate"/>
      </w:r>
      <w:r>
        <w:rPr>
          <w:rStyle w:val="44"/>
          <w:rFonts w:ascii="Arial Narrow" w:hAnsi="Arial Narrow"/>
        </w:rPr>
        <w:t>Table 17: Summary of Public Participation Issues</w:t>
      </w:r>
      <w:r>
        <w:rPr>
          <w:rFonts w:ascii="Arial Narrow" w:hAnsi="Arial Narrow"/>
        </w:rPr>
        <w:tab/>
      </w:r>
      <w:r>
        <w:rPr>
          <w:rFonts w:ascii="Arial Narrow" w:hAnsi="Arial Narrow"/>
        </w:rPr>
        <w:fldChar w:fldCharType="begin"/>
      </w:r>
      <w:r>
        <w:rPr>
          <w:rFonts w:ascii="Arial Narrow" w:hAnsi="Arial Narrow"/>
        </w:rPr>
        <w:instrText xml:space="preserve"> PAGEREF _Toc179556828 \h </w:instrText>
      </w:r>
      <w:r>
        <w:rPr>
          <w:rFonts w:ascii="Arial Narrow" w:hAnsi="Arial Narrow"/>
        </w:rPr>
        <w:fldChar w:fldCharType="separate"/>
      </w:r>
      <w:r>
        <w:rPr>
          <w:rFonts w:ascii="Arial Narrow" w:hAnsi="Arial Narrow"/>
        </w:rPr>
        <w:t>42</w:t>
      </w:r>
      <w:r>
        <w:rPr>
          <w:rFonts w:ascii="Arial Narrow" w:hAnsi="Arial Narrow"/>
        </w:rPr>
        <w:fldChar w:fldCharType="end"/>
      </w:r>
      <w:r>
        <w:rPr>
          <w:rFonts w:ascii="Arial Narrow" w:hAnsi="Arial Narrow"/>
        </w:rPr>
        <w:fldChar w:fldCharType="end"/>
      </w:r>
    </w:p>
    <w:p w14:paraId="4B8D2E18">
      <w:pPr>
        <w:pStyle w:val="88"/>
        <w:tabs>
          <w:tab w:val="right" w:leader="dot" w:pos="9016"/>
        </w:tabs>
        <w:rPr>
          <w:rFonts w:ascii="Arial Narrow" w:hAnsi="Arial Narrow" w:eastAsiaTheme="minorEastAsia"/>
        </w:rPr>
      </w:pPr>
      <w:r>
        <w:fldChar w:fldCharType="begin"/>
      </w:r>
      <w:r>
        <w:instrText xml:space="preserve"> HYPERLINK \l "_Toc179556829" </w:instrText>
      </w:r>
      <w:r>
        <w:fldChar w:fldCharType="separate"/>
      </w:r>
      <w:r>
        <w:rPr>
          <w:rStyle w:val="44"/>
          <w:rFonts w:ascii="Arial Narrow" w:hAnsi="Arial Narrow" w:eastAsia="Calibri" w:cs="Calibri"/>
          <w:i/>
          <w:iCs/>
          <w:lang w:bidi="en-US"/>
        </w:rPr>
        <w:t>Table 18: Impacts Consequences</w:t>
      </w:r>
      <w:r>
        <w:rPr>
          <w:rFonts w:ascii="Arial Narrow" w:hAnsi="Arial Narrow"/>
        </w:rPr>
        <w:tab/>
      </w:r>
      <w:r>
        <w:rPr>
          <w:rFonts w:ascii="Arial Narrow" w:hAnsi="Arial Narrow"/>
        </w:rPr>
        <w:fldChar w:fldCharType="begin"/>
      </w:r>
      <w:r>
        <w:rPr>
          <w:rFonts w:ascii="Arial Narrow" w:hAnsi="Arial Narrow"/>
        </w:rPr>
        <w:instrText xml:space="preserve"> PAGEREF _Toc179556829 \h </w:instrText>
      </w:r>
      <w:r>
        <w:rPr>
          <w:rFonts w:ascii="Arial Narrow" w:hAnsi="Arial Narrow"/>
        </w:rPr>
        <w:fldChar w:fldCharType="separate"/>
      </w:r>
      <w:r>
        <w:rPr>
          <w:rFonts w:ascii="Arial Narrow" w:hAnsi="Arial Narrow"/>
        </w:rPr>
        <w:t>48</w:t>
      </w:r>
      <w:r>
        <w:rPr>
          <w:rFonts w:ascii="Arial Narrow" w:hAnsi="Arial Narrow"/>
        </w:rPr>
        <w:fldChar w:fldCharType="end"/>
      </w:r>
      <w:r>
        <w:rPr>
          <w:rFonts w:ascii="Arial Narrow" w:hAnsi="Arial Narrow"/>
        </w:rPr>
        <w:fldChar w:fldCharType="end"/>
      </w:r>
    </w:p>
    <w:p w14:paraId="022E2112">
      <w:pPr>
        <w:pStyle w:val="88"/>
        <w:tabs>
          <w:tab w:val="right" w:leader="dot" w:pos="9016"/>
        </w:tabs>
        <w:rPr>
          <w:rFonts w:ascii="Arial Narrow" w:hAnsi="Arial Narrow" w:eastAsiaTheme="minorEastAsia"/>
        </w:rPr>
      </w:pPr>
      <w:r>
        <w:fldChar w:fldCharType="begin"/>
      </w:r>
      <w:r>
        <w:instrText xml:space="preserve"> HYPERLINK \l "_Toc179556830" </w:instrText>
      </w:r>
      <w:r>
        <w:fldChar w:fldCharType="separate"/>
      </w:r>
      <w:r>
        <w:rPr>
          <w:rStyle w:val="44"/>
          <w:rFonts w:ascii="Arial Narrow" w:hAnsi="Arial Narrow" w:eastAsia="Calibri" w:cs="Calibri"/>
          <w:i/>
          <w:iCs/>
          <w:lang w:bidi="en-US"/>
        </w:rPr>
        <w:t>Table 19</w:t>
      </w:r>
      <w:r>
        <w:rPr>
          <w:rStyle w:val="44"/>
          <w:rFonts w:ascii="Arial Narrow" w:hAnsi="Arial Narrow" w:eastAsia="Calibri" w:cs="Calibri"/>
          <w:b/>
          <w:iCs/>
          <w:lang w:bidi="en-US"/>
        </w:rPr>
        <w:t xml:space="preserve">: </w:t>
      </w:r>
      <w:r>
        <w:rPr>
          <w:rStyle w:val="44"/>
          <w:rFonts w:ascii="Arial Narrow" w:hAnsi="Arial Narrow" w:eastAsia="Calibri" w:cs="Calibri"/>
          <w:iCs/>
          <w:lang w:bidi="en-US"/>
        </w:rPr>
        <w:t>Impacts Likelihood</w:t>
      </w:r>
      <w:r>
        <w:rPr>
          <w:rFonts w:ascii="Arial Narrow" w:hAnsi="Arial Narrow"/>
        </w:rPr>
        <w:tab/>
      </w:r>
      <w:r>
        <w:rPr>
          <w:rFonts w:ascii="Arial Narrow" w:hAnsi="Arial Narrow"/>
        </w:rPr>
        <w:fldChar w:fldCharType="begin"/>
      </w:r>
      <w:r>
        <w:rPr>
          <w:rFonts w:ascii="Arial Narrow" w:hAnsi="Arial Narrow"/>
        </w:rPr>
        <w:instrText xml:space="preserve"> PAGEREF _Toc179556830 \h </w:instrText>
      </w:r>
      <w:r>
        <w:rPr>
          <w:rFonts w:ascii="Arial Narrow" w:hAnsi="Arial Narrow"/>
        </w:rPr>
        <w:fldChar w:fldCharType="separate"/>
      </w:r>
      <w:r>
        <w:rPr>
          <w:rFonts w:ascii="Arial Narrow" w:hAnsi="Arial Narrow"/>
        </w:rPr>
        <w:t>48</w:t>
      </w:r>
      <w:r>
        <w:rPr>
          <w:rFonts w:ascii="Arial Narrow" w:hAnsi="Arial Narrow"/>
        </w:rPr>
        <w:fldChar w:fldCharType="end"/>
      </w:r>
      <w:r>
        <w:rPr>
          <w:rFonts w:ascii="Arial Narrow" w:hAnsi="Arial Narrow"/>
        </w:rPr>
        <w:fldChar w:fldCharType="end"/>
      </w:r>
    </w:p>
    <w:p w14:paraId="3EB7548E">
      <w:pPr>
        <w:pStyle w:val="88"/>
        <w:tabs>
          <w:tab w:val="right" w:leader="dot" w:pos="9016"/>
        </w:tabs>
        <w:rPr>
          <w:rFonts w:ascii="Arial Narrow" w:hAnsi="Arial Narrow" w:eastAsiaTheme="minorEastAsia"/>
        </w:rPr>
      </w:pPr>
      <w:r>
        <w:fldChar w:fldCharType="begin"/>
      </w:r>
      <w:r>
        <w:instrText xml:space="preserve"> HYPERLINK \l "_Toc179556831" </w:instrText>
      </w:r>
      <w:r>
        <w:fldChar w:fldCharType="separate"/>
      </w:r>
      <w:r>
        <w:rPr>
          <w:rStyle w:val="44"/>
          <w:rFonts w:ascii="Arial Narrow" w:hAnsi="Arial Narrow" w:eastAsia="Calibri" w:cs="Calibri"/>
          <w:i/>
          <w:iCs/>
          <w:lang w:bidi="en-US"/>
        </w:rPr>
        <w:t>Table 20</w:t>
      </w:r>
      <w:r>
        <w:rPr>
          <w:rStyle w:val="44"/>
          <w:rFonts w:ascii="Arial Narrow" w:hAnsi="Arial Narrow" w:eastAsia="Calibri" w:cs="Calibri"/>
          <w:b/>
          <w:iCs/>
          <w:lang w:bidi="en-US"/>
        </w:rPr>
        <w:t xml:space="preserve">: </w:t>
      </w:r>
      <w:r>
        <w:rPr>
          <w:rStyle w:val="44"/>
          <w:rFonts w:ascii="Arial Narrow" w:hAnsi="Arial Narrow" w:eastAsia="Calibri" w:cs="Calibri"/>
          <w:iCs/>
          <w:lang w:bidi="en-US"/>
        </w:rPr>
        <w:t>Significance Rating Matrix</w:t>
      </w:r>
      <w:r>
        <w:rPr>
          <w:rFonts w:ascii="Arial Narrow" w:hAnsi="Arial Narrow"/>
        </w:rPr>
        <w:tab/>
      </w:r>
      <w:r>
        <w:rPr>
          <w:rFonts w:ascii="Arial Narrow" w:hAnsi="Arial Narrow"/>
        </w:rPr>
        <w:fldChar w:fldCharType="begin"/>
      </w:r>
      <w:r>
        <w:rPr>
          <w:rFonts w:ascii="Arial Narrow" w:hAnsi="Arial Narrow"/>
        </w:rPr>
        <w:instrText xml:space="preserve"> PAGEREF _Toc179556831 \h </w:instrText>
      </w:r>
      <w:r>
        <w:rPr>
          <w:rFonts w:ascii="Arial Narrow" w:hAnsi="Arial Narrow"/>
        </w:rPr>
        <w:fldChar w:fldCharType="separate"/>
      </w:r>
      <w:r>
        <w:rPr>
          <w:rFonts w:ascii="Arial Narrow" w:hAnsi="Arial Narrow"/>
        </w:rPr>
        <w:t>49</w:t>
      </w:r>
      <w:r>
        <w:rPr>
          <w:rFonts w:ascii="Arial Narrow" w:hAnsi="Arial Narrow"/>
        </w:rPr>
        <w:fldChar w:fldCharType="end"/>
      </w:r>
      <w:r>
        <w:rPr>
          <w:rFonts w:ascii="Arial Narrow" w:hAnsi="Arial Narrow"/>
        </w:rPr>
        <w:fldChar w:fldCharType="end"/>
      </w:r>
    </w:p>
    <w:p w14:paraId="1A339B17">
      <w:pPr>
        <w:pStyle w:val="88"/>
        <w:tabs>
          <w:tab w:val="right" w:leader="dot" w:pos="9016"/>
        </w:tabs>
        <w:rPr>
          <w:rFonts w:ascii="Arial Narrow" w:hAnsi="Arial Narrow" w:eastAsiaTheme="minorEastAsia"/>
        </w:rPr>
      </w:pPr>
      <w:r>
        <w:fldChar w:fldCharType="begin"/>
      </w:r>
      <w:r>
        <w:instrText xml:space="preserve"> HYPERLINK \l "_Toc179556832" </w:instrText>
      </w:r>
      <w:r>
        <w:fldChar w:fldCharType="separate"/>
      </w:r>
      <w:r>
        <w:rPr>
          <w:rStyle w:val="44"/>
          <w:rFonts w:ascii="Arial Narrow" w:hAnsi="Arial Narrow" w:eastAsia="Calibri" w:cs="Calibri"/>
          <w:i/>
          <w:iCs/>
          <w:lang w:bidi="en-US"/>
        </w:rPr>
        <w:t>Table 21</w:t>
      </w:r>
      <w:r>
        <w:rPr>
          <w:rStyle w:val="44"/>
          <w:rFonts w:ascii="Arial Narrow" w:hAnsi="Arial Narrow" w:eastAsia="Calibri" w:cs="Calibri"/>
          <w:b/>
          <w:iCs/>
          <w:lang w:bidi="en-US"/>
        </w:rPr>
        <w:t xml:space="preserve">: </w:t>
      </w:r>
      <w:r>
        <w:rPr>
          <w:rStyle w:val="44"/>
          <w:rFonts w:ascii="Arial Narrow" w:hAnsi="Arial Narrow" w:eastAsia="Calibri" w:cs="Calibri"/>
          <w:iCs/>
          <w:lang w:bidi="en-US"/>
        </w:rPr>
        <w:t>Negative Impacts ratings and associated color codes</w:t>
      </w:r>
      <w:r>
        <w:rPr>
          <w:rFonts w:ascii="Arial Narrow" w:hAnsi="Arial Narrow"/>
        </w:rPr>
        <w:tab/>
      </w:r>
      <w:r>
        <w:rPr>
          <w:rFonts w:ascii="Arial Narrow" w:hAnsi="Arial Narrow"/>
        </w:rPr>
        <w:fldChar w:fldCharType="begin"/>
      </w:r>
      <w:r>
        <w:rPr>
          <w:rFonts w:ascii="Arial Narrow" w:hAnsi="Arial Narrow"/>
        </w:rPr>
        <w:instrText xml:space="preserve"> PAGEREF _Toc179556832 \h </w:instrText>
      </w:r>
      <w:r>
        <w:rPr>
          <w:rFonts w:ascii="Arial Narrow" w:hAnsi="Arial Narrow"/>
        </w:rPr>
        <w:fldChar w:fldCharType="separate"/>
      </w:r>
      <w:r>
        <w:rPr>
          <w:rFonts w:ascii="Arial Narrow" w:hAnsi="Arial Narrow"/>
        </w:rPr>
        <w:t>49</w:t>
      </w:r>
      <w:r>
        <w:rPr>
          <w:rFonts w:ascii="Arial Narrow" w:hAnsi="Arial Narrow"/>
        </w:rPr>
        <w:fldChar w:fldCharType="end"/>
      </w:r>
      <w:r>
        <w:rPr>
          <w:rFonts w:ascii="Arial Narrow" w:hAnsi="Arial Narrow"/>
        </w:rPr>
        <w:fldChar w:fldCharType="end"/>
      </w:r>
    </w:p>
    <w:p w14:paraId="48D1811F">
      <w:pPr>
        <w:pStyle w:val="88"/>
        <w:tabs>
          <w:tab w:val="right" w:leader="dot" w:pos="9016"/>
        </w:tabs>
        <w:rPr>
          <w:rFonts w:ascii="Arial Narrow" w:hAnsi="Arial Narrow" w:eastAsiaTheme="minorEastAsia"/>
        </w:rPr>
      </w:pPr>
      <w:r>
        <w:fldChar w:fldCharType="begin"/>
      </w:r>
      <w:r>
        <w:instrText xml:space="preserve"> HYPERLINK \l "_Toc179556833" </w:instrText>
      </w:r>
      <w:r>
        <w:fldChar w:fldCharType="separate"/>
      </w:r>
      <w:r>
        <w:rPr>
          <w:rStyle w:val="44"/>
          <w:rFonts w:ascii="Arial Narrow" w:hAnsi="Arial Narrow"/>
        </w:rPr>
        <w:t>Table 22: The potential impacts classification formula</w:t>
      </w:r>
      <w:r>
        <w:rPr>
          <w:rFonts w:ascii="Arial Narrow" w:hAnsi="Arial Narrow"/>
        </w:rPr>
        <w:tab/>
      </w:r>
      <w:r>
        <w:rPr>
          <w:rFonts w:ascii="Arial Narrow" w:hAnsi="Arial Narrow"/>
        </w:rPr>
        <w:fldChar w:fldCharType="begin"/>
      </w:r>
      <w:r>
        <w:rPr>
          <w:rFonts w:ascii="Arial Narrow" w:hAnsi="Arial Narrow"/>
        </w:rPr>
        <w:instrText xml:space="preserve"> PAGEREF _Toc179556833 \h </w:instrText>
      </w:r>
      <w:r>
        <w:rPr>
          <w:rFonts w:ascii="Arial Narrow" w:hAnsi="Arial Narrow"/>
        </w:rPr>
        <w:fldChar w:fldCharType="separate"/>
      </w:r>
      <w:r>
        <w:rPr>
          <w:rFonts w:ascii="Arial Narrow" w:hAnsi="Arial Narrow"/>
        </w:rPr>
        <w:t>69</w:t>
      </w:r>
      <w:r>
        <w:rPr>
          <w:rFonts w:ascii="Arial Narrow" w:hAnsi="Arial Narrow"/>
        </w:rPr>
        <w:fldChar w:fldCharType="end"/>
      </w:r>
      <w:r>
        <w:rPr>
          <w:rFonts w:ascii="Arial Narrow" w:hAnsi="Arial Narrow"/>
        </w:rPr>
        <w:fldChar w:fldCharType="end"/>
      </w:r>
    </w:p>
    <w:p w14:paraId="28534BD8">
      <w:pPr>
        <w:pStyle w:val="88"/>
        <w:tabs>
          <w:tab w:val="right" w:leader="dot" w:pos="9016"/>
        </w:tabs>
        <w:rPr>
          <w:rFonts w:ascii="Arial Narrow" w:hAnsi="Arial Narrow" w:eastAsiaTheme="minorEastAsia"/>
        </w:rPr>
      </w:pPr>
      <w:r>
        <w:fldChar w:fldCharType="begin"/>
      </w:r>
      <w:r>
        <w:instrText xml:space="preserve"> HYPERLINK \l "_Toc179556834" </w:instrText>
      </w:r>
      <w:r>
        <w:fldChar w:fldCharType="separate"/>
      </w:r>
      <w:r>
        <w:rPr>
          <w:rStyle w:val="44"/>
          <w:rFonts w:ascii="Arial Narrow" w:hAnsi="Arial Narrow"/>
        </w:rPr>
        <w:t>Table 23: GRC Guiding Principles</w:t>
      </w:r>
      <w:r>
        <w:rPr>
          <w:rFonts w:ascii="Arial Narrow" w:hAnsi="Arial Narrow"/>
        </w:rPr>
        <w:tab/>
      </w:r>
      <w:r>
        <w:rPr>
          <w:rFonts w:ascii="Arial Narrow" w:hAnsi="Arial Narrow"/>
        </w:rPr>
        <w:fldChar w:fldCharType="begin"/>
      </w:r>
      <w:r>
        <w:rPr>
          <w:rFonts w:ascii="Arial Narrow" w:hAnsi="Arial Narrow"/>
        </w:rPr>
        <w:instrText xml:space="preserve"> PAGEREF _Toc179556834 \h </w:instrText>
      </w:r>
      <w:r>
        <w:rPr>
          <w:rFonts w:ascii="Arial Narrow" w:hAnsi="Arial Narrow"/>
        </w:rPr>
        <w:fldChar w:fldCharType="separate"/>
      </w:r>
      <w:r>
        <w:rPr>
          <w:rFonts w:ascii="Arial Narrow" w:hAnsi="Arial Narrow"/>
        </w:rPr>
        <w:t>91</w:t>
      </w:r>
      <w:r>
        <w:rPr>
          <w:rFonts w:ascii="Arial Narrow" w:hAnsi="Arial Narrow"/>
        </w:rPr>
        <w:fldChar w:fldCharType="end"/>
      </w:r>
      <w:r>
        <w:rPr>
          <w:rFonts w:ascii="Arial Narrow" w:hAnsi="Arial Narrow"/>
        </w:rPr>
        <w:fldChar w:fldCharType="end"/>
      </w:r>
    </w:p>
    <w:p w14:paraId="1E915F2F">
      <w:pPr>
        <w:pStyle w:val="88"/>
        <w:tabs>
          <w:tab w:val="right" w:leader="dot" w:pos="9016"/>
        </w:tabs>
        <w:rPr>
          <w:rFonts w:ascii="Arial Narrow" w:hAnsi="Arial Narrow" w:eastAsiaTheme="minorEastAsia"/>
        </w:rPr>
      </w:pPr>
      <w:r>
        <w:fldChar w:fldCharType="begin"/>
      </w:r>
      <w:r>
        <w:instrText xml:space="preserve"> HYPERLINK \l "_Toc179556835" </w:instrText>
      </w:r>
      <w:r>
        <w:fldChar w:fldCharType="separate"/>
      </w:r>
      <w:r>
        <w:rPr>
          <w:rStyle w:val="44"/>
          <w:rFonts w:ascii="Arial Narrow" w:hAnsi="Arial Narrow"/>
        </w:rPr>
        <w:t>Table 24: Grievance Redress Mechanism</w:t>
      </w:r>
      <w:r>
        <w:rPr>
          <w:rFonts w:ascii="Arial Narrow" w:hAnsi="Arial Narrow"/>
        </w:rPr>
        <w:tab/>
      </w:r>
      <w:r>
        <w:rPr>
          <w:rFonts w:ascii="Arial Narrow" w:hAnsi="Arial Narrow"/>
        </w:rPr>
        <w:fldChar w:fldCharType="begin"/>
      </w:r>
      <w:r>
        <w:rPr>
          <w:rFonts w:ascii="Arial Narrow" w:hAnsi="Arial Narrow"/>
        </w:rPr>
        <w:instrText xml:space="preserve"> PAGEREF _Toc179556835 \h </w:instrText>
      </w:r>
      <w:r>
        <w:rPr>
          <w:rFonts w:ascii="Arial Narrow" w:hAnsi="Arial Narrow"/>
        </w:rPr>
        <w:fldChar w:fldCharType="separate"/>
      </w:r>
      <w:r>
        <w:rPr>
          <w:rFonts w:ascii="Arial Narrow" w:hAnsi="Arial Narrow"/>
        </w:rPr>
        <w:t>93</w:t>
      </w:r>
      <w:r>
        <w:rPr>
          <w:rFonts w:ascii="Arial Narrow" w:hAnsi="Arial Narrow"/>
        </w:rPr>
        <w:fldChar w:fldCharType="end"/>
      </w:r>
      <w:r>
        <w:rPr>
          <w:rFonts w:ascii="Arial Narrow" w:hAnsi="Arial Narrow"/>
        </w:rPr>
        <w:fldChar w:fldCharType="end"/>
      </w:r>
    </w:p>
    <w:p w14:paraId="3A744839">
      <w:pPr>
        <w:tabs>
          <w:tab w:val="left" w:pos="709"/>
        </w:tabs>
        <w:jc w:val="both"/>
        <w:sectPr>
          <w:headerReference r:id="rId11" w:type="default"/>
          <w:footerReference r:id="rId12" w:type="default"/>
          <w:pgSz w:w="11906" w:h="16838"/>
          <w:pgMar w:top="1440" w:right="1440" w:bottom="1440" w:left="1440" w:header="708" w:footer="708" w:gutter="0"/>
          <w:pgNumType w:fmt="lowerRoman"/>
          <w:cols w:space="708" w:num="1"/>
          <w:docGrid w:linePitch="360" w:charSpace="0"/>
        </w:sectPr>
      </w:pPr>
      <w:r>
        <w:fldChar w:fldCharType="end"/>
      </w:r>
    </w:p>
    <w:p w14:paraId="6A82EE06">
      <w:pPr>
        <w:pStyle w:val="2"/>
      </w:pPr>
      <w:r>
        <w:tab/>
      </w:r>
      <w:bookmarkStart w:id="25" w:name="_Toc179904009"/>
      <w:r>
        <w:t>LIST OF ACRONYMS</w:t>
      </w:r>
      <w:bookmarkEnd w:id="23"/>
      <w:bookmarkEnd w:id="24"/>
      <w:bookmarkEnd w:id="25"/>
    </w:p>
    <w:tbl>
      <w:tblPr>
        <w:tblStyle w:val="86"/>
        <w:tblW w:w="8633" w:type="dxa"/>
        <w:tblInd w:w="704"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76"/>
        <w:gridCol w:w="7357"/>
      </w:tblGrid>
      <w:tr w14:paraId="42F1B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276" w:type="dxa"/>
          </w:tcPr>
          <w:p w14:paraId="3BF23ABD">
            <w:pPr>
              <w:pStyle w:val="124"/>
              <w:tabs>
                <w:tab w:val="left" w:pos="709"/>
              </w:tabs>
              <w:spacing w:after="160"/>
              <w:ind w:left="-105"/>
              <w:jc w:val="both"/>
              <w:rPr>
                <w:rFonts w:ascii="Arial Narrow" w:hAnsi="Arial Narrow" w:cs="Times New Roman"/>
              </w:rPr>
            </w:pPr>
            <w:r>
              <w:rPr>
                <w:rFonts w:ascii="Arial Narrow" w:hAnsi="Arial Narrow" w:cs="Times New Roman"/>
              </w:rPr>
              <w:t>ABT</w:t>
            </w:r>
          </w:p>
        </w:tc>
        <w:tc>
          <w:tcPr>
            <w:tcW w:w="7357" w:type="dxa"/>
          </w:tcPr>
          <w:p w14:paraId="56C44757">
            <w:pPr>
              <w:pStyle w:val="124"/>
              <w:tabs>
                <w:tab w:val="left" w:pos="709"/>
              </w:tabs>
              <w:spacing w:after="160"/>
              <w:jc w:val="both"/>
              <w:rPr>
                <w:rFonts w:ascii="Arial Narrow" w:hAnsi="Arial Narrow" w:cs="Times New Roman"/>
              </w:rPr>
            </w:pPr>
            <w:r>
              <w:rPr>
                <w:rFonts w:ascii="Arial Narrow" w:hAnsi="Arial Narrow"/>
              </w:rPr>
              <w:t>Appropriate Building Technology</w:t>
            </w:r>
          </w:p>
        </w:tc>
      </w:tr>
      <w:tr w14:paraId="09D41A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276" w:type="dxa"/>
          </w:tcPr>
          <w:p w14:paraId="4E02EE79">
            <w:pPr>
              <w:pStyle w:val="124"/>
              <w:tabs>
                <w:tab w:val="left" w:pos="709"/>
              </w:tabs>
              <w:spacing w:after="160"/>
              <w:ind w:left="-105"/>
              <w:jc w:val="both"/>
              <w:rPr>
                <w:rFonts w:ascii="Arial Narrow" w:hAnsi="Arial Narrow" w:cs="Times New Roman"/>
              </w:rPr>
            </w:pPr>
            <w:r>
              <w:rPr>
                <w:rFonts w:ascii="Arial Narrow" w:hAnsi="Arial Narrow" w:cs="Times New Roman"/>
              </w:rPr>
              <w:t>AIDS</w:t>
            </w:r>
          </w:p>
        </w:tc>
        <w:tc>
          <w:tcPr>
            <w:tcW w:w="7357" w:type="dxa"/>
          </w:tcPr>
          <w:p w14:paraId="61836C06">
            <w:pPr>
              <w:pStyle w:val="124"/>
              <w:tabs>
                <w:tab w:val="left" w:pos="709"/>
              </w:tabs>
              <w:spacing w:after="160"/>
              <w:jc w:val="both"/>
              <w:rPr>
                <w:rFonts w:ascii="Arial Narrow" w:hAnsi="Arial Narrow"/>
              </w:rPr>
            </w:pPr>
            <w:r>
              <w:rPr>
                <w:rFonts w:ascii="Arial Narrow" w:hAnsi="Arial Narrow"/>
              </w:rPr>
              <w:t>Acquired  Immuno-deficiency Syndrome</w:t>
            </w:r>
          </w:p>
        </w:tc>
      </w:tr>
      <w:tr w14:paraId="608C82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51" w:hRule="atLeast"/>
        </w:trPr>
        <w:tc>
          <w:tcPr>
            <w:tcW w:w="1276" w:type="dxa"/>
          </w:tcPr>
          <w:p w14:paraId="2912A877">
            <w:pPr>
              <w:pStyle w:val="124"/>
              <w:tabs>
                <w:tab w:val="left" w:pos="709"/>
              </w:tabs>
              <w:spacing w:after="160"/>
              <w:ind w:left="-105"/>
              <w:jc w:val="both"/>
              <w:rPr>
                <w:rFonts w:ascii="Arial Narrow" w:hAnsi="Arial Narrow" w:cs="Times New Roman"/>
                <w:spacing w:val="-5"/>
              </w:rPr>
            </w:pPr>
            <w:r>
              <w:rPr>
                <w:rFonts w:ascii="Arial Narrow" w:hAnsi="Arial Narrow" w:cs="Times New Roman"/>
              </w:rPr>
              <w:t xml:space="preserve">ARAP </w:t>
            </w:r>
          </w:p>
        </w:tc>
        <w:tc>
          <w:tcPr>
            <w:tcW w:w="7357" w:type="dxa"/>
          </w:tcPr>
          <w:p w14:paraId="4BD5B4F9">
            <w:pPr>
              <w:pStyle w:val="124"/>
              <w:tabs>
                <w:tab w:val="left" w:pos="709"/>
              </w:tabs>
              <w:spacing w:after="160"/>
              <w:jc w:val="both"/>
              <w:rPr>
                <w:rFonts w:ascii="Arial Narrow" w:hAnsi="Arial Narrow"/>
              </w:rPr>
            </w:pPr>
            <w:r>
              <w:rPr>
                <w:rFonts w:ascii="Arial Narrow" w:hAnsi="Arial Narrow"/>
              </w:rPr>
              <w:t>Abbreviated Resettlement Action Plan</w:t>
            </w:r>
          </w:p>
        </w:tc>
      </w:tr>
      <w:tr w14:paraId="681F7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0983FF12">
            <w:pPr>
              <w:pStyle w:val="124"/>
              <w:tabs>
                <w:tab w:val="left" w:pos="709"/>
                <w:tab w:val="left" w:pos="1620"/>
              </w:tabs>
              <w:spacing w:after="160"/>
              <w:ind w:left="-105" w:right="-630"/>
              <w:jc w:val="both"/>
              <w:rPr>
                <w:rFonts w:ascii="Arial Narrow" w:hAnsi="Arial Narrow" w:cs="Times New Roman"/>
              </w:rPr>
            </w:pPr>
            <w:r>
              <w:rPr>
                <w:rFonts w:ascii="Arial Narrow" w:hAnsi="Arial Narrow" w:cs="Times New Roman"/>
              </w:rPr>
              <w:t>CESMP</w:t>
            </w:r>
          </w:p>
        </w:tc>
        <w:tc>
          <w:tcPr>
            <w:tcW w:w="7357" w:type="dxa"/>
          </w:tcPr>
          <w:p w14:paraId="27DD1947">
            <w:pPr>
              <w:pStyle w:val="124"/>
              <w:tabs>
                <w:tab w:val="left" w:pos="709"/>
              </w:tabs>
              <w:spacing w:after="160"/>
              <w:jc w:val="both"/>
              <w:rPr>
                <w:rFonts w:ascii="Arial Narrow" w:hAnsi="Arial Narrow"/>
              </w:rPr>
            </w:pPr>
            <w:r>
              <w:rPr>
                <w:rFonts w:ascii="Arial Narrow" w:hAnsi="Arial Narrow"/>
              </w:rPr>
              <w:t>Contractor’s Environmental and Social Management Plan</w:t>
            </w:r>
          </w:p>
        </w:tc>
      </w:tr>
      <w:tr w14:paraId="3B3FD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19B4574B">
            <w:pPr>
              <w:pStyle w:val="124"/>
              <w:tabs>
                <w:tab w:val="left" w:pos="709"/>
                <w:tab w:val="left" w:pos="1620"/>
              </w:tabs>
              <w:spacing w:after="160"/>
              <w:ind w:left="-105" w:right="-630"/>
              <w:jc w:val="both"/>
              <w:rPr>
                <w:rFonts w:ascii="Arial Narrow" w:hAnsi="Arial Narrow" w:cs="Times New Roman"/>
              </w:rPr>
            </w:pPr>
            <w:r>
              <w:rPr>
                <w:rFonts w:ascii="Arial Narrow" w:hAnsi="Arial Narrow" w:cs="Times New Roman"/>
              </w:rPr>
              <w:t>CFC</w:t>
            </w:r>
          </w:p>
        </w:tc>
        <w:tc>
          <w:tcPr>
            <w:tcW w:w="7357" w:type="dxa"/>
          </w:tcPr>
          <w:p w14:paraId="368584AE">
            <w:pPr>
              <w:pStyle w:val="124"/>
              <w:tabs>
                <w:tab w:val="left" w:pos="709"/>
              </w:tabs>
              <w:spacing w:after="160"/>
              <w:jc w:val="both"/>
              <w:rPr>
                <w:rFonts w:ascii="Arial Narrow" w:hAnsi="Arial Narrow"/>
              </w:rPr>
            </w:pPr>
            <w:r>
              <w:rPr>
                <w:rFonts w:ascii="Arial Narrow" w:hAnsi="Arial Narrow"/>
              </w:rPr>
              <w:t>Chlorofloro carbons</w:t>
            </w:r>
          </w:p>
        </w:tc>
      </w:tr>
      <w:tr w14:paraId="1B23BB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1B02F468">
            <w:pPr>
              <w:pStyle w:val="124"/>
              <w:tabs>
                <w:tab w:val="left" w:pos="709"/>
              </w:tabs>
              <w:spacing w:after="160"/>
              <w:ind w:left="-105"/>
              <w:jc w:val="both"/>
              <w:rPr>
                <w:rFonts w:ascii="Arial Narrow" w:hAnsi="Arial Narrow" w:cs="Times New Roman"/>
              </w:rPr>
            </w:pPr>
            <w:r>
              <w:rPr>
                <w:rFonts w:ascii="Arial Narrow" w:hAnsi="Arial Narrow" w:cs="Times New Roman"/>
              </w:rPr>
              <w:t>CIDP</w:t>
            </w:r>
          </w:p>
        </w:tc>
        <w:tc>
          <w:tcPr>
            <w:tcW w:w="7357" w:type="dxa"/>
          </w:tcPr>
          <w:p w14:paraId="5B670B27">
            <w:pPr>
              <w:pStyle w:val="124"/>
              <w:tabs>
                <w:tab w:val="left" w:pos="709"/>
              </w:tabs>
              <w:spacing w:after="160"/>
              <w:jc w:val="both"/>
              <w:rPr>
                <w:rFonts w:ascii="Arial Narrow" w:hAnsi="Arial Narrow"/>
              </w:rPr>
            </w:pPr>
            <w:r>
              <w:rPr>
                <w:rFonts w:ascii="Arial Narrow" w:hAnsi="Arial Narrow"/>
              </w:rPr>
              <w:t>County Integrated Development Plan</w:t>
            </w:r>
          </w:p>
        </w:tc>
      </w:tr>
      <w:tr w14:paraId="76C13B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44CB9A12">
            <w:pPr>
              <w:pStyle w:val="124"/>
              <w:tabs>
                <w:tab w:val="left" w:pos="709"/>
                <w:tab w:val="left" w:pos="1620"/>
              </w:tabs>
              <w:spacing w:after="160"/>
              <w:ind w:left="-105" w:right="-630"/>
              <w:jc w:val="both"/>
              <w:rPr>
                <w:rFonts w:ascii="Arial Narrow" w:hAnsi="Arial Narrow" w:cs="Times New Roman"/>
              </w:rPr>
            </w:pPr>
            <w:r>
              <w:rPr>
                <w:rFonts w:ascii="Arial Narrow" w:hAnsi="Arial Narrow" w:cs="Times New Roman"/>
              </w:rPr>
              <w:t>CPP</w:t>
            </w:r>
          </w:p>
        </w:tc>
        <w:tc>
          <w:tcPr>
            <w:tcW w:w="7357" w:type="dxa"/>
          </w:tcPr>
          <w:p w14:paraId="51E26ECB">
            <w:pPr>
              <w:pStyle w:val="124"/>
              <w:tabs>
                <w:tab w:val="left" w:pos="709"/>
              </w:tabs>
              <w:spacing w:after="160"/>
              <w:jc w:val="both"/>
              <w:rPr>
                <w:rFonts w:ascii="Arial Narrow" w:hAnsi="Arial Narrow"/>
              </w:rPr>
            </w:pPr>
            <w:r>
              <w:rPr>
                <w:rFonts w:ascii="Arial Narrow" w:hAnsi="Arial Narrow"/>
              </w:rPr>
              <w:t>Consultation and Public Participation</w:t>
            </w:r>
          </w:p>
        </w:tc>
      </w:tr>
      <w:tr w14:paraId="4D0A66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6E205AC6">
            <w:pPr>
              <w:pStyle w:val="124"/>
              <w:tabs>
                <w:tab w:val="left" w:pos="709"/>
              </w:tabs>
              <w:spacing w:after="160"/>
              <w:ind w:left="-105"/>
              <w:jc w:val="both"/>
              <w:rPr>
                <w:rFonts w:ascii="Arial Narrow" w:hAnsi="Arial Narrow" w:cs="Times New Roman"/>
              </w:rPr>
            </w:pPr>
            <w:r>
              <w:rPr>
                <w:rFonts w:ascii="Arial Narrow" w:hAnsi="Arial Narrow" w:cs="Times New Roman"/>
                <w:spacing w:val="-5"/>
              </w:rPr>
              <w:t>EHS</w:t>
            </w:r>
          </w:p>
        </w:tc>
        <w:tc>
          <w:tcPr>
            <w:tcW w:w="7357" w:type="dxa"/>
          </w:tcPr>
          <w:p w14:paraId="6A475164">
            <w:pPr>
              <w:pStyle w:val="124"/>
              <w:tabs>
                <w:tab w:val="left" w:pos="709"/>
              </w:tabs>
              <w:spacing w:after="160"/>
              <w:jc w:val="both"/>
              <w:rPr>
                <w:rFonts w:ascii="Arial Narrow" w:hAnsi="Arial Narrow"/>
              </w:rPr>
            </w:pPr>
            <w:r>
              <w:rPr>
                <w:rFonts w:ascii="Arial Narrow" w:hAnsi="Arial Narrow"/>
              </w:rPr>
              <w:t>Environment Health and Safety</w:t>
            </w:r>
          </w:p>
        </w:tc>
      </w:tr>
      <w:tr w14:paraId="3D3521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22FB1E07">
            <w:pPr>
              <w:pStyle w:val="124"/>
              <w:tabs>
                <w:tab w:val="left" w:pos="709"/>
              </w:tabs>
              <w:spacing w:after="160"/>
              <w:ind w:left="-105"/>
              <w:jc w:val="both"/>
              <w:rPr>
                <w:rFonts w:ascii="Arial Narrow" w:hAnsi="Arial Narrow" w:cs="Times New Roman"/>
              </w:rPr>
            </w:pPr>
            <w:r>
              <w:rPr>
                <w:rFonts w:ascii="Arial Narrow" w:hAnsi="Arial Narrow" w:cs="Times New Roman"/>
                <w:spacing w:val="-5"/>
              </w:rPr>
              <w:t>EA</w:t>
            </w:r>
          </w:p>
        </w:tc>
        <w:tc>
          <w:tcPr>
            <w:tcW w:w="7357" w:type="dxa"/>
          </w:tcPr>
          <w:p w14:paraId="16BBC9B0">
            <w:pPr>
              <w:pStyle w:val="124"/>
              <w:tabs>
                <w:tab w:val="left" w:pos="709"/>
              </w:tabs>
              <w:spacing w:after="160"/>
              <w:jc w:val="both"/>
              <w:rPr>
                <w:rFonts w:ascii="Arial Narrow" w:hAnsi="Arial Narrow"/>
              </w:rPr>
            </w:pPr>
            <w:r>
              <w:rPr>
                <w:rFonts w:ascii="Arial Narrow" w:hAnsi="Arial Narrow"/>
              </w:rPr>
              <w:t>Environmental Assessment</w:t>
            </w:r>
          </w:p>
        </w:tc>
      </w:tr>
      <w:tr w14:paraId="3D834F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3A637BC2">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ECDE</w:t>
            </w:r>
          </w:p>
        </w:tc>
        <w:tc>
          <w:tcPr>
            <w:tcW w:w="7357" w:type="dxa"/>
          </w:tcPr>
          <w:p w14:paraId="158F8238">
            <w:pPr>
              <w:pStyle w:val="124"/>
              <w:tabs>
                <w:tab w:val="left" w:pos="709"/>
              </w:tabs>
              <w:spacing w:after="160"/>
              <w:jc w:val="both"/>
              <w:rPr>
                <w:rFonts w:ascii="Arial Narrow" w:hAnsi="Arial Narrow"/>
              </w:rPr>
            </w:pPr>
            <w:r>
              <w:rPr>
                <w:rFonts w:ascii="Arial Narrow" w:hAnsi="Arial Narrow"/>
              </w:rPr>
              <w:t>Early Childhood Development Education</w:t>
            </w:r>
          </w:p>
        </w:tc>
      </w:tr>
      <w:tr w14:paraId="0035D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718ABB19">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EIA</w:t>
            </w:r>
          </w:p>
        </w:tc>
        <w:tc>
          <w:tcPr>
            <w:tcW w:w="7357" w:type="dxa"/>
          </w:tcPr>
          <w:p w14:paraId="72389841">
            <w:pPr>
              <w:pStyle w:val="124"/>
              <w:tabs>
                <w:tab w:val="left" w:pos="709"/>
              </w:tabs>
              <w:spacing w:after="160"/>
              <w:jc w:val="both"/>
              <w:rPr>
                <w:rFonts w:ascii="Arial Narrow" w:hAnsi="Arial Narrow"/>
              </w:rPr>
            </w:pPr>
            <w:r>
              <w:rPr>
                <w:rFonts w:ascii="Arial Narrow" w:hAnsi="Arial Narrow"/>
              </w:rPr>
              <w:t>Environmental Impact Assessment</w:t>
            </w:r>
          </w:p>
        </w:tc>
      </w:tr>
      <w:tr w14:paraId="49356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2D9D8D48">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EHSG</w:t>
            </w:r>
          </w:p>
        </w:tc>
        <w:tc>
          <w:tcPr>
            <w:tcW w:w="7357" w:type="dxa"/>
          </w:tcPr>
          <w:p w14:paraId="1041D92E">
            <w:pPr>
              <w:pStyle w:val="124"/>
              <w:tabs>
                <w:tab w:val="left" w:pos="709"/>
              </w:tabs>
              <w:spacing w:after="160"/>
              <w:jc w:val="both"/>
              <w:rPr>
                <w:rFonts w:ascii="Arial Narrow" w:hAnsi="Arial Narrow"/>
              </w:rPr>
            </w:pPr>
            <w:r>
              <w:rPr>
                <w:rFonts w:ascii="Arial Narrow" w:hAnsi="Arial Narrow"/>
              </w:rPr>
              <w:t>Environment, Health, and Safety Guidelines</w:t>
            </w:r>
          </w:p>
        </w:tc>
      </w:tr>
      <w:tr w14:paraId="14959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211522D6">
            <w:pPr>
              <w:pStyle w:val="124"/>
              <w:tabs>
                <w:tab w:val="left" w:pos="709"/>
              </w:tabs>
              <w:spacing w:after="160"/>
              <w:ind w:left="-105"/>
              <w:jc w:val="both"/>
              <w:rPr>
                <w:rFonts w:ascii="Arial Narrow" w:hAnsi="Arial Narrow" w:cs="Times New Roman"/>
              </w:rPr>
            </w:pPr>
            <w:r>
              <w:rPr>
                <w:rFonts w:ascii="Arial Narrow" w:hAnsi="Arial Narrow" w:cs="Times New Roman"/>
                <w:spacing w:val="-2"/>
              </w:rPr>
              <w:t>ESAAP</w:t>
            </w:r>
          </w:p>
        </w:tc>
        <w:tc>
          <w:tcPr>
            <w:tcW w:w="7357" w:type="dxa"/>
          </w:tcPr>
          <w:p w14:paraId="42E6353F">
            <w:pPr>
              <w:pStyle w:val="124"/>
              <w:tabs>
                <w:tab w:val="left" w:pos="709"/>
              </w:tabs>
              <w:spacing w:after="160"/>
              <w:jc w:val="both"/>
              <w:rPr>
                <w:rFonts w:ascii="Arial Narrow" w:hAnsi="Arial Narrow"/>
              </w:rPr>
            </w:pPr>
            <w:r>
              <w:rPr>
                <w:rFonts w:ascii="Arial Narrow" w:hAnsi="Arial Narrow"/>
              </w:rPr>
              <w:t>Environment and Social Audit Action Plan</w:t>
            </w:r>
          </w:p>
        </w:tc>
      </w:tr>
      <w:tr w14:paraId="347AA9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493503B3">
            <w:pPr>
              <w:pStyle w:val="124"/>
              <w:tabs>
                <w:tab w:val="left" w:pos="709"/>
              </w:tabs>
              <w:spacing w:after="160"/>
              <w:ind w:left="-105"/>
              <w:jc w:val="both"/>
              <w:rPr>
                <w:rFonts w:ascii="Arial Narrow" w:hAnsi="Arial Narrow" w:cs="Times New Roman"/>
              </w:rPr>
            </w:pPr>
            <w:r>
              <w:rPr>
                <w:rFonts w:ascii="Arial Narrow" w:hAnsi="Arial Narrow" w:cs="Times New Roman"/>
                <w:spacing w:val="-4"/>
              </w:rPr>
              <w:t>ESIA</w:t>
            </w:r>
          </w:p>
        </w:tc>
        <w:tc>
          <w:tcPr>
            <w:tcW w:w="7357" w:type="dxa"/>
          </w:tcPr>
          <w:p w14:paraId="11DBB34F">
            <w:pPr>
              <w:pStyle w:val="124"/>
              <w:tabs>
                <w:tab w:val="left" w:pos="709"/>
              </w:tabs>
              <w:spacing w:after="160"/>
              <w:jc w:val="both"/>
              <w:rPr>
                <w:rFonts w:ascii="Arial Narrow" w:hAnsi="Arial Narrow"/>
              </w:rPr>
            </w:pPr>
            <w:r>
              <w:rPr>
                <w:rFonts w:ascii="Arial Narrow" w:hAnsi="Arial Narrow"/>
              </w:rPr>
              <w:t>Environmental and Social Impact Assessment</w:t>
            </w:r>
          </w:p>
        </w:tc>
      </w:tr>
      <w:tr w14:paraId="22739C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60D4D257">
            <w:pPr>
              <w:pStyle w:val="124"/>
              <w:tabs>
                <w:tab w:val="left" w:pos="709"/>
              </w:tabs>
              <w:spacing w:after="160"/>
              <w:ind w:left="-105"/>
              <w:jc w:val="both"/>
              <w:rPr>
                <w:rFonts w:ascii="Arial Narrow" w:hAnsi="Arial Narrow" w:cs="Times New Roman"/>
              </w:rPr>
            </w:pPr>
            <w:r>
              <w:rPr>
                <w:rFonts w:ascii="Arial Narrow" w:hAnsi="Arial Narrow" w:cs="Times New Roman"/>
                <w:spacing w:val="-4"/>
              </w:rPr>
              <w:t>EMCA</w:t>
            </w:r>
          </w:p>
        </w:tc>
        <w:tc>
          <w:tcPr>
            <w:tcW w:w="7357" w:type="dxa"/>
          </w:tcPr>
          <w:p w14:paraId="5F964220">
            <w:pPr>
              <w:pStyle w:val="124"/>
              <w:tabs>
                <w:tab w:val="left" w:pos="709"/>
              </w:tabs>
              <w:spacing w:after="160"/>
              <w:jc w:val="both"/>
              <w:rPr>
                <w:rFonts w:ascii="Arial Narrow" w:hAnsi="Arial Narrow"/>
              </w:rPr>
            </w:pPr>
            <w:r>
              <w:rPr>
                <w:rFonts w:ascii="Arial Narrow" w:hAnsi="Arial Narrow"/>
              </w:rPr>
              <w:t>Environmental Management and Coordination Act</w:t>
            </w:r>
          </w:p>
        </w:tc>
      </w:tr>
      <w:tr w14:paraId="52E07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48438F34">
            <w:pPr>
              <w:pStyle w:val="124"/>
              <w:tabs>
                <w:tab w:val="left" w:pos="709"/>
              </w:tabs>
              <w:spacing w:after="160"/>
              <w:ind w:left="-105"/>
              <w:jc w:val="both"/>
              <w:rPr>
                <w:rFonts w:ascii="Arial Narrow" w:hAnsi="Arial Narrow" w:cs="Times New Roman"/>
                <w:spacing w:val="-4"/>
              </w:rPr>
            </w:pPr>
            <w:r>
              <w:rPr>
                <w:rFonts w:ascii="Arial Narrow" w:hAnsi="Arial Narrow" w:cs="Times New Roman"/>
                <w:spacing w:val="-4"/>
              </w:rPr>
              <w:t>ESMF</w:t>
            </w:r>
          </w:p>
        </w:tc>
        <w:tc>
          <w:tcPr>
            <w:tcW w:w="7357" w:type="dxa"/>
          </w:tcPr>
          <w:p w14:paraId="62D9A6CA">
            <w:pPr>
              <w:pStyle w:val="124"/>
              <w:tabs>
                <w:tab w:val="left" w:pos="709"/>
              </w:tabs>
              <w:spacing w:after="160"/>
              <w:jc w:val="both"/>
              <w:rPr>
                <w:rFonts w:ascii="Arial Narrow" w:hAnsi="Arial Narrow"/>
              </w:rPr>
            </w:pPr>
            <w:r>
              <w:rPr>
                <w:rFonts w:ascii="Arial Narrow" w:hAnsi="Arial Narrow"/>
              </w:rPr>
              <w:t>Environmental Social and Management Framework</w:t>
            </w:r>
          </w:p>
        </w:tc>
      </w:tr>
      <w:tr w14:paraId="712E8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3" w:hRule="atLeast"/>
        </w:trPr>
        <w:tc>
          <w:tcPr>
            <w:tcW w:w="1276" w:type="dxa"/>
          </w:tcPr>
          <w:p w14:paraId="087FE1BA">
            <w:pPr>
              <w:pStyle w:val="124"/>
              <w:tabs>
                <w:tab w:val="left" w:pos="709"/>
              </w:tabs>
              <w:spacing w:after="160"/>
              <w:ind w:left="-105"/>
              <w:jc w:val="both"/>
              <w:rPr>
                <w:rFonts w:ascii="Arial Narrow" w:hAnsi="Arial Narrow" w:cs="Times New Roman"/>
              </w:rPr>
            </w:pPr>
            <w:r>
              <w:rPr>
                <w:rFonts w:ascii="Arial Narrow" w:hAnsi="Arial Narrow" w:cs="Times New Roman"/>
                <w:spacing w:val="-2"/>
              </w:rPr>
              <w:t>ESMMP</w:t>
            </w:r>
          </w:p>
        </w:tc>
        <w:tc>
          <w:tcPr>
            <w:tcW w:w="7357" w:type="dxa"/>
          </w:tcPr>
          <w:p w14:paraId="2D034303">
            <w:pPr>
              <w:pStyle w:val="124"/>
              <w:tabs>
                <w:tab w:val="left" w:pos="709"/>
              </w:tabs>
              <w:spacing w:after="160"/>
              <w:jc w:val="both"/>
              <w:rPr>
                <w:rFonts w:ascii="Arial Narrow" w:hAnsi="Arial Narrow"/>
              </w:rPr>
            </w:pPr>
            <w:r>
              <w:rPr>
                <w:rFonts w:ascii="Arial Narrow" w:hAnsi="Arial Narrow"/>
              </w:rPr>
              <w:t>Environment and Social Management &amp; Monitoring Plan</w:t>
            </w:r>
          </w:p>
        </w:tc>
      </w:tr>
      <w:tr w14:paraId="5B6DFA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33" w:hRule="atLeast"/>
        </w:trPr>
        <w:tc>
          <w:tcPr>
            <w:tcW w:w="1276" w:type="dxa"/>
          </w:tcPr>
          <w:p w14:paraId="209F4953">
            <w:pPr>
              <w:pStyle w:val="124"/>
              <w:tabs>
                <w:tab w:val="left" w:pos="709"/>
              </w:tabs>
              <w:spacing w:after="160"/>
              <w:ind w:left="-105"/>
              <w:jc w:val="both"/>
              <w:rPr>
                <w:rFonts w:ascii="Arial Narrow" w:hAnsi="Arial Narrow" w:cs="Times New Roman"/>
                <w:spacing w:val="-2"/>
              </w:rPr>
            </w:pPr>
            <w:r>
              <w:rPr>
                <w:rFonts w:ascii="Arial Narrow" w:hAnsi="Arial Narrow" w:cs="Times New Roman"/>
                <w:spacing w:val="-2"/>
              </w:rPr>
              <w:t>FSTP</w:t>
            </w:r>
          </w:p>
        </w:tc>
        <w:tc>
          <w:tcPr>
            <w:tcW w:w="7357" w:type="dxa"/>
          </w:tcPr>
          <w:p w14:paraId="19CCA8A1">
            <w:pPr>
              <w:pStyle w:val="124"/>
              <w:tabs>
                <w:tab w:val="left" w:pos="709"/>
              </w:tabs>
              <w:spacing w:after="160"/>
              <w:jc w:val="both"/>
              <w:rPr>
                <w:rFonts w:ascii="Arial Narrow" w:hAnsi="Arial Narrow"/>
              </w:rPr>
            </w:pPr>
            <w:r>
              <w:rPr>
                <w:rFonts w:ascii="Arial Narrow" w:hAnsi="Arial Narrow"/>
              </w:rPr>
              <w:t>Faecal Sludge Treatment Plant</w:t>
            </w:r>
          </w:p>
        </w:tc>
      </w:tr>
      <w:tr w14:paraId="04E2C1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2522D049">
            <w:pPr>
              <w:pStyle w:val="124"/>
              <w:tabs>
                <w:tab w:val="left" w:pos="709"/>
              </w:tabs>
              <w:spacing w:after="160"/>
              <w:ind w:left="-105"/>
              <w:jc w:val="both"/>
              <w:rPr>
                <w:rFonts w:ascii="Arial Narrow" w:hAnsi="Arial Narrow" w:cs="Times New Roman"/>
              </w:rPr>
            </w:pPr>
            <w:r>
              <w:rPr>
                <w:rFonts w:ascii="Arial Narrow" w:hAnsi="Arial Narrow" w:cs="Times New Roman"/>
                <w:spacing w:val="-5"/>
              </w:rPr>
              <w:t>GoK</w:t>
            </w:r>
          </w:p>
        </w:tc>
        <w:tc>
          <w:tcPr>
            <w:tcW w:w="7357" w:type="dxa"/>
          </w:tcPr>
          <w:p w14:paraId="439D4EBF">
            <w:pPr>
              <w:pStyle w:val="124"/>
              <w:tabs>
                <w:tab w:val="left" w:pos="709"/>
              </w:tabs>
              <w:spacing w:after="160"/>
              <w:jc w:val="both"/>
              <w:rPr>
                <w:rFonts w:ascii="Arial Narrow" w:hAnsi="Arial Narrow"/>
              </w:rPr>
            </w:pPr>
            <w:r>
              <w:rPr>
                <w:rFonts w:ascii="Arial Narrow" w:hAnsi="Arial Narrow"/>
              </w:rPr>
              <w:t>Government of Kenya</w:t>
            </w:r>
          </w:p>
        </w:tc>
      </w:tr>
      <w:tr w14:paraId="3943B1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0A184E0F">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HIV</w:t>
            </w:r>
          </w:p>
        </w:tc>
        <w:tc>
          <w:tcPr>
            <w:tcW w:w="7357" w:type="dxa"/>
          </w:tcPr>
          <w:p w14:paraId="61774FF7">
            <w:pPr>
              <w:pStyle w:val="124"/>
              <w:tabs>
                <w:tab w:val="left" w:pos="709"/>
              </w:tabs>
              <w:spacing w:after="160"/>
              <w:jc w:val="both"/>
              <w:rPr>
                <w:rFonts w:ascii="Arial Narrow" w:hAnsi="Arial Narrow"/>
              </w:rPr>
            </w:pPr>
            <w:r>
              <w:rPr>
                <w:rFonts w:ascii="Arial Narrow" w:hAnsi="Arial Narrow"/>
              </w:rPr>
              <w:t>Human Immuno-deficiency Virus</w:t>
            </w:r>
          </w:p>
        </w:tc>
      </w:tr>
      <w:tr w14:paraId="6C3D48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7501A9AD">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KNBS</w:t>
            </w:r>
          </w:p>
        </w:tc>
        <w:tc>
          <w:tcPr>
            <w:tcW w:w="7357" w:type="dxa"/>
          </w:tcPr>
          <w:p w14:paraId="5BD7434A">
            <w:pPr>
              <w:pStyle w:val="124"/>
              <w:tabs>
                <w:tab w:val="left" w:pos="709"/>
              </w:tabs>
              <w:spacing w:after="160"/>
              <w:jc w:val="both"/>
              <w:rPr>
                <w:rFonts w:ascii="Arial Narrow" w:hAnsi="Arial Narrow"/>
              </w:rPr>
            </w:pPr>
            <w:r>
              <w:rPr>
                <w:rFonts w:ascii="Arial Narrow" w:hAnsi="Arial Narrow"/>
              </w:rPr>
              <w:t>Kenya National Bureau Of Standards</w:t>
            </w:r>
          </w:p>
        </w:tc>
      </w:tr>
      <w:tr w14:paraId="2A1A2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0600D55E">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NEAP</w:t>
            </w:r>
          </w:p>
        </w:tc>
        <w:tc>
          <w:tcPr>
            <w:tcW w:w="7357" w:type="dxa"/>
          </w:tcPr>
          <w:p w14:paraId="690619D7">
            <w:pPr>
              <w:pStyle w:val="124"/>
              <w:tabs>
                <w:tab w:val="left" w:pos="709"/>
              </w:tabs>
              <w:spacing w:after="160"/>
              <w:jc w:val="both"/>
              <w:rPr>
                <w:rFonts w:ascii="Arial Narrow" w:hAnsi="Arial Narrow"/>
              </w:rPr>
            </w:pPr>
            <w:r>
              <w:rPr>
                <w:rFonts w:ascii="Arial Narrow" w:hAnsi="Arial Narrow"/>
              </w:rPr>
              <w:t>National Environmental Action Plan</w:t>
            </w:r>
          </w:p>
        </w:tc>
      </w:tr>
      <w:tr w14:paraId="30C708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48E77CFD">
            <w:pPr>
              <w:pStyle w:val="124"/>
              <w:tabs>
                <w:tab w:val="left" w:pos="709"/>
              </w:tabs>
              <w:spacing w:after="160"/>
              <w:ind w:left="-105"/>
              <w:jc w:val="both"/>
              <w:rPr>
                <w:rFonts w:ascii="Arial Narrow" w:hAnsi="Arial Narrow" w:cs="Times New Roman"/>
              </w:rPr>
            </w:pPr>
            <w:r>
              <w:rPr>
                <w:rFonts w:ascii="Arial Narrow" w:hAnsi="Arial Narrow" w:cs="Times New Roman"/>
                <w:spacing w:val="-5"/>
              </w:rPr>
              <w:t>NEP</w:t>
            </w:r>
          </w:p>
        </w:tc>
        <w:tc>
          <w:tcPr>
            <w:tcW w:w="7357" w:type="dxa"/>
          </w:tcPr>
          <w:p w14:paraId="73B2E34D">
            <w:pPr>
              <w:pStyle w:val="124"/>
              <w:tabs>
                <w:tab w:val="left" w:pos="709"/>
              </w:tabs>
              <w:spacing w:after="160"/>
              <w:jc w:val="both"/>
              <w:rPr>
                <w:rFonts w:ascii="Arial Narrow" w:hAnsi="Arial Narrow"/>
              </w:rPr>
            </w:pPr>
            <w:r>
              <w:rPr>
                <w:rFonts w:ascii="Arial Narrow" w:hAnsi="Arial Narrow"/>
              </w:rPr>
              <w:t>National Environment Policy</w:t>
            </w:r>
          </w:p>
        </w:tc>
      </w:tr>
      <w:tr w14:paraId="0F282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5EA46029">
            <w:pPr>
              <w:pStyle w:val="124"/>
              <w:tabs>
                <w:tab w:val="left" w:pos="709"/>
              </w:tabs>
              <w:spacing w:after="160"/>
              <w:ind w:left="-105"/>
              <w:jc w:val="both"/>
              <w:rPr>
                <w:rFonts w:ascii="Arial Narrow" w:hAnsi="Arial Narrow" w:cs="Times New Roman"/>
              </w:rPr>
            </w:pPr>
            <w:r>
              <w:rPr>
                <w:rFonts w:ascii="Arial Narrow" w:hAnsi="Arial Narrow" w:cs="Times New Roman"/>
                <w:spacing w:val="-4"/>
              </w:rPr>
              <w:t>NEMA</w:t>
            </w:r>
          </w:p>
        </w:tc>
        <w:tc>
          <w:tcPr>
            <w:tcW w:w="7357" w:type="dxa"/>
          </w:tcPr>
          <w:p w14:paraId="6309EF24">
            <w:pPr>
              <w:pStyle w:val="124"/>
              <w:tabs>
                <w:tab w:val="left" w:pos="709"/>
              </w:tabs>
              <w:spacing w:after="160"/>
              <w:jc w:val="both"/>
              <w:rPr>
                <w:rFonts w:ascii="Arial Narrow" w:hAnsi="Arial Narrow"/>
              </w:rPr>
            </w:pPr>
            <w:r>
              <w:rPr>
                <w:rFonts w:ascii="Arial Narrow" w:hAnsi="Arial Narrow"/>
              </w:rPr>
              <w:t>National Environment Management Authority</w:t>
            </w:r>
          </w:p>
        </w:tc>
      </w:tr>
      <w:tr w14:paraId="751907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1285D08B">
            <w:pPr>
              <w:pStyle w:val="124"/>
              <w:tabs>
                <w:tab w:val="left" w:pos="709"/>
              </w:tabs>
              <w:spacing w:after="160"/>
              <w:ind w:left="-105"/>
              <w:jc w:val="both"/>
              <w:rPr>
                <w:rFonts w:ascii="Arial Narrow" w:hAnsi="Arial Narrow" w:cs="Times New Roman"/>
              </w:rPr>
            </w:pPr>
            <w:r>
              <w:rPr>
                <w:rFonts w:ascii="Arial Narrow" w:hAnsi="Arial Narrow" w:cs="Times New Roman"/>
                <w:spacing w:val="-5"/>
              </w:rPr>
              <w:t>NGO</w:t>
            </w:r>
          </w:p>
        </w:tc>
        <w:tc>
          <w:tcPr>
            <w:tcW w:w="7357" w:type="dxa"/>
          </w:tcPr>
          <w:p w14:paraId="329E11AE">
            <w:pPr>
              <w:pStyle w:val="124"/>
              <w:tabs>
                <w:tab w:val="left" w:pos="709"/>
              </w:tabs>
              <w:spacing w:after="160"/>
              <w:jc w:val="both"/>
              <w:rPr>
                <w:rFonts w:ascii="Arial Narrow" w:hAnsi="Arial Narrow"/>
              </w:rPr>
            </w:pPr>
            <w:r>
              <w:rPr>
                <w:rFonts w:ascii="Arial Narrow" w:hAnsi="Arial Narrow"/>
              </w:rPr>
              <w:t>Non-Governmental Organization</w:t>
            </w:r>
          </w:p>
        </w:tc>
      </w:tr>
      <w:tr w14:paraId="35E744D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5C547590">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PAPs</w:t>
            </w:r>
          </w:p>
        </w:tc>
        <w:tc>
          <w:tcPr>
            <w:tcW w:w="7357" w:type="dxa"/>
          </w:tcPr>
          <w:p w14:paraId="2F2EEA82">
            <w:pPr>
              <w:pStyle w:val="124"/>
              <w:tabs>
                <w:tab w:val="left" w:pos="709"/>
              </w:tabs>
              <w:spacing w:after="160"/>
              <w:jc w:val="both"/>
              <w:rPr>
                <w:rFonts w:ascii="Arial Narrow" w:hAnsi="Arial Narrow"/>
              </w:rPr>
            </w:pPr>
            <w:r>
              <w:rPr>
                <w:rFonts w:ascii="Arial Narrow" w:hAnsi="Arial Narrow"/>
              </w:rPr>
              <w:t>Project Affected Persons</w:t>
            </w:r>
          </w:p>
        </w:tc>
      </w:tr>
      <w:tr w14:paraId="0D4A15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04497847">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PLUPA</w:t>
            </w:r>
          </w:p>
        </w:tc>
        <w:tc>
          <w:tcPr>
            <w:tcW w:w="7357" w:type="dxa"/>
          </w:tcPr>
          <w:p w14:paraId="1197F2CB">
            <w:pPr>
              <w:pStyle w:val="124"/>
              <w:tabs>
                <w:tab w:val="left" w:pos="709"/>
              </w:tabs>
              <w:spacing w:after="160"/>
              <w:jc w:val="both"/>
              <w:rPr>
                <w:rFonts w:ascii="Arial Narrow" w:hAnsi="Arial Narrow"/>
              </w:rPr>
            </w:pPr>
            <w:r>
              <w:rPr>
                <w:rFonts w:ascii="Arial Narrow" w:hAnsi="Arial Narrow"/>
              </w:rPr>
              <w:t>Physical and Land Use Planning Act,</w:t>
            </w:r>
          </w:p>
        </w:tc>
      </w:tr>
      <w:tr w14:paraId="594AF3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6E2DCBE9">
            <w:pPr>
              <w:pStyle w:val="124"/>
              <w:tabs>
                <w:tab w:val="left" w:pos="709"/>
              </w:tabs>
              <w:spacing w:after="160"/>
              <w:ind w:left="-105"/>
              <w:jc w:val="both"/>
              <w:rPr>
                <w:rFonts w:ascii="Arial Narrow" w:hAnsi="Arial Narrow" w:cs="Times New Roman"/>
              </w:rPr>
            </w:pPr>
            <w:r>
              <w:rPr>
                <w:rFonts w:ascii="Arial Narrow" w:hAnsi="Arial Narrow" w:cs="Times New Roman"/>
                <w:spacing w:val="-5"/>
              </w:rPr>
              <w:t>RAP</w:t>
            </w:r>
          </w:p>
        </w:tc>
        <w:tc>
          <w:tcPr>
            <w:tcW w:w="7357" w:type="dxa"/>
          </w:tcPr>
          <w:p w14:paraId="6DF4897A">
            <w:pPr>
              <w:pStyle w:val="124"/>
              <w:tabs>
                <w:tab w:val="left" w:pos="709"/>
              </w:tabs>
              <w:spacing w:after="160"/>
              <w:jc w:val="both"/>
              <w:rPr>
                <w:rFonts w:ascii="Arial Narrow" w:hAnsi="Arial Narrow"/>
              </w:rPr>
            </w:pPr>
            <w:r>
              <w:rPr>
                <w:rFonts w:ascii="Arial Narrow" w:hAnsi="Arial Narrow"/>
              </w:rPr>
              <w:t>Resettlement Action Plan</w:t>
            </w:r>
          </w:p>
        </w:tc>
      </w:tr>
      <w:tr w14:paraId="173092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2B6A4C6F">
            <w:pPr>
              <w:pStyle w:val="124"/>
              <w:tabs>
                <w:tab w:val="left" w:pos="709"/>
              </w:tabs>
              <w:spacing w:after="160"/>
              <w:ind w:left="-105"/>
              <w:jc w:val="both"/>
              <w:rPr>
                <w:rFonts w:ascii="Arial Narrow" w:hAnsi="Arial Narrow" w:cs="Times New Roman"/>
              </w:rPr>
            </w:pPr>
            <w:r>
              <w:rPr>
                <w:rFonts w:ascii="Arial Narrow" w:hAnsi="Arial Narrow" w:cs="Times New Roman"/>
                <w:spacing w:val="-5"/>
              </w:rPr>
              <w:t>OP</w:t>
            </w:r>
          </w:p>
        </w:tc>
        <w:tc>
          <w:tcPr>
            <w:tcW w:w="7357" w:type="dxa"/>
          </w:tcPr>
          <w:p w14:paraId="28030702">
            <w:pPr>
              <w:pStyle w:val="124"/>
              <w:tabs>
                <w:tab w:val="left" w:pos="709"/>
              </w:tabs>
              <w:spacing w:after="160"/>
              <w:jc w:val="both"/>
              <w:rPr>
                <w:rFonts w:ascii="Arial Narrow" w:hAnsi="Arial Narrow"/>
              </w:rPr>
            </w:pPr>
            <w:r>
              <w:rPr>
                <w:rFonts w:ascii="Arial Narrow" w:hAnsi="Arial Narrow"/>
              </w:rPr>
              <w:t>Operation Policy</w:t>
            </w:r>
          </w:p>
        </w:tc>
      </w:tr>
      <w:tr w14:paraId="25F347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3D72CEE4">
            <w:pPr>
              <w:pStyle w:val="124"/>
              <w:tabs>
                <w:tab w:val="left" w:pos="709"/>
              </w:tabs>
              <w:spacing w:after="160"/>
              <w:ind w:left="-105"/>
              <w:jc w:val="both"/>
              <w:rPr>
                <w:rFonts w:ascii="Arial Narrow" w:hAnsi="Arial Narrow" w:cs="Times New Roman"/>
              </w:rPr>
            </w:pPr>
            <w:r>
              <w:rPr>
                <w:rFonts w:ascii="Arial Narrow" w:hAnsi="Arial Narrow" w:cs="Times New Roman"/>
                <w:spacing w:val="-4"/>
              </w:rPr>
              <w:t>OSHA</w:t>
            </w:r>
          </w:p>
        </w:tc>
        <w:tc>
          <w:tcPr>
            <w:tcW w:w="7357" w:type="dxa"/>
          </w:tcPr>
          <w:p w14:paraId="7877C5FC">
            <w:pPr>
              <w:pStyle w:val="124"/>
              <w:tabs>
                <w:tab w:val="left" w:pos="709"/>
              </w:tabs>
              <w:spacing w:after="160"/>
              <w:jc w:val="both"/>
              <w:rPr>
                <w:rFonts w:ascii="Arial Narrow" w:hAnsi="Arial Narrow"/>
              </w:rPr>
            </w:pPr>
            <w:r>
              <w:rPr>
                <w:rFonts w:ascii="Arial Narrow" w:hAnsi="Arial Narrow"/>
              </w:rPr>
              <w:t>Occupational Health and Safety Act</w:t>
            </w:r>
          </w:p>
        </w:tc>
      </w:tr>
      <w:tr w14:paraId="1D2D43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010A5277">
            <w:pPr>
              <w:pStyle w:val="124"/>
              <w:tabs>
                <w:tab w:val="left" w:pos="709"/>
              </w:tabs>
              <w:spacing w:after="160"/>
              <w:ind w:left="-105"/>
              <w:jc w:val="both"/>
              <w:rPr>
                <w:rFonts w:ascii="Arial Narrow" w:hAnsi="Arial Narrow" w:cs="Times New Roman"/>
              </w:rPr>
            </w:pPr>
            <w:r>
              <w:rPr>
                <w:rFonts w:ascii="Arial Narrow" w:hAnsi="Arial Narrow" w:cs="Times New Roman"/>
                <w:spacing w:val="-5"/>
              </w:rPr>
              <w:t>SDG</w:t>
            </w:r>
          </w:p>
        </w:tc>
        <w:tc>
          <w:tcPr>
            <w:tcW w:w="7357" w:type="dxa"/>
          </w:tcPr>
          <w:p w14:paraId="040A60B9">
            <w:pPr>
              <w:pStyle w:val="124"/>
              <w:tabs>
                <w:tab w:val="left" w:pos="709"/>
              </w:tabs>
              <w:spacing w:after="160"/>
              <w:jc w:val="both"/>
              <w:rPr>
                <w:rFonts w:ascii="Arial Narrow" w:hAnsi="Arial Narrow"/>
              </w:rPr>
            </w:pPr>
            <w:r>
              <w:rPr>
                <w:rFonts w:ascii="Arial Narrow" w:hAnsi="Arial Narrow"/>
              </w:rPr>
              <w:t>Sustainable Development Goals</w:t>
            </w:r>
          </w:p>
        </w:tc>
      </w:tr>
      <w:tr w14:paraId="2CF987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6C798309">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SPA</w:t>
            </w:r>
          </w:p>
        </w:tc>
        <w:tc>
          <w:tcPr>
            <w:tcW w:w="7357" w:type="dxa"/>
          </w:tcPr>
          <w:p w14:paraId="0CA4E533">
            <w:pPr>
              <w:pStyle w:val="124"/>
              <w:tabs>
                <w:tab w:val="left" w:pos="709"/>
              </w:tabs>
              <w:spacing w:after="160"/>
              <w:jc w:val="both"/>
              <w:rPr>
                <w:rFonts w:ascii="Arial Narrow" w:hAnsi="Arial Narrow"/>
              </w:rPr>
            </w:pPr>
            <w:r>
              <w:rPr>
                <w:rFonts w:ascii="Arial Narrow" w:hAnsi="Arial Narrow"/>
              </w:rPr>
              <w:t>Service Provision Agreement</w:t>
            </w:r>
          </w:p>
        </w:tc>
      </w:tr>
      <w:tr w14:paraId="52C12B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7BC4C023">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STD</w:t>
            </w:r>
          </w:p>
        </w:tc>
        <w:tc>
          <w:tcPr>
            <w:tcW w:w="7357" w:type="dxa"/>
          </w:tcPr>
          <w:p w14:paraId="460BEE48">
            <w:pPr>
              <w:pStyle w:val="124"/>
              <w:tabs>
                <w:tab w:val="left" w:pos="709"/>
              </w:tabs>
              <w:spacing w:after="160"/>
              <w:jc w:val="both"/>
              <w:rPr>
                <w:rFonts w:ascii="Arial Narrow" w:hAnsi="Arial Narrow"/>
              </w:rPr>
            </w:pPr>
            <w:r>
              <w:rPr>
                <w:rFonts w:ascii="Arial Narrow" w:hAnsi="Arial Narrow"/>
              </w:rPr>
              <w:t>Sexually Transmitted Diseases</w:t>
            </w:r>
          </w:p>
        </w:tc>
      </w:tr>
      <w:tr w14:paraId="426185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57BB3E87">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ToR</w:t>
            </w:r>
          </w:p>
        </w:tc>
        <w:tc>
          <w:tcPr>
            <w:tcW w:w="7357" w:type="dxa"/>
          </w:tcPr>
          <w:p w14:paraId="455AAB11">
            <w:pPr>
              <w:pStyle w:val="124"/>
              <w:tabs>
                <w:tab w:val="left" w:pos="709"/>
              </w:tabs>
              <w:spacing w:after="160"/>
              <w:jc w:val="both"/>
              <w:rPr>
                <w:rFonts w:ascii="Arial Narrow" w:hAnsi="Arial Narrow"/>
              </w:rPr>
            </w:pPr>
            <w:r>
              <w:rPr>
                <w:rFonts w:ascii="Arial Narrow" w:hAnsi="Arial Narrow"/>
              </w:rPr>
              <w:t>Terms of Reference</w:t>
            </w:r>
          </w:p>
        </w:tc>
      </w:tr>
      <w:tr w14:paraId="489366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32585AB4">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UNCBD</w:t>
            </w:r>
          </w:p>
        </w:tc>
        <w:tc>
          <w:tcPr>
            <w:tcW w:w="7357" w:type="dxa"/>
          </w:tcPr>
          <w:p w14:paraId="029C7DD1">
            <w:pPr>
              <w:pStyle w:val="124"/>
              <w:tabs>
                <w:tab w:val="left" w:pos="709"/>
              </w:tabs>
              <w:spacing w:after="160"/>
              <w:jc w:val="both"/>
              <w:rPr>
                <w:rFonts w:ascii="Arial Narrow" w:hAnsi="Arial Narrow"/>
              </w:rPr>
            </w:pPr>
            <w:r>
              <w:rPr>
                <w:rFonts w:ascii="Arial Narrow" w:hAnsi="Arial Narrow"/>
              </w:rPr>
              <w:t>United Nations Convention on Biological Diversity</w:t>
            </w:r>
          </w:p>
        </w:tc>
      </w:tr>
      <w:tr w14:paraId="7BD6FF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59DFC406">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UNFCC</w:t>
            </w:r>
          </w:p>
        </w:tc>
        <w:tc>
          <w:tcPr>
            <w:tcW w:w="7357" w:type="dxa"/>
          </w:tcPr>
          <w:p w14:paraId="787000AE">
            <w:pPr>
              <w:pStyle w:val="124"/>
              <w:tabs>
                <w:tab w:val="left" w:pos="709"/>
              </w:tabs>
              <w:spacing w:after="160"/>
              <w:jc w:val="both"/>
              <w:rPr>
                <w:rFonts w:ascii="Arial Narrow" w:hAnsi="Arial Narrow"/>
              </w:rPr>
            </w:pPr>
            <w:r>
              <w:rPr>
                <w:rFonts w:ascii="Arial Narrow" w:hAnsi="Arial Narrow"/>
              </w:rPr>
              <w:t>United Nations Framework for Convention on Climate Change</w:t>
            </w:r>
          </w:p>
        </w:tc>
      </w:tr>
      <w:tr w14:paraId="488000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0219BD67">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VMGP</w:t>
            </w:r>
          </w:p>
        </w:tc>
        <w:tc>
          <w:tcPr>
            <w:tcW w:w="7357" w:type="dxa"/>
          </w:tcPr>
          <w:p w14:paraId="3083B9EA">
            <w:pPr>
              <w:pStyle w:val="124"/>
              <w:tabs>
                <w:tab w:val="left" w:pos="709"/>
              </w:tabs>
              <w:spacing w:after="160"/>
              <w:jc w:val="both"/>
              <w:rPr>
                <w:rFonts w:ascii="Arial Narrow" w:hAnsi="Arial Narrow"/>
              </w:rPr>
            </w:pPr>
            <w:r>
              <w:rPr>
                <w:rFonts w:ascii="Arial Narrow" w:hAnsi="Arial Narrow"/>
              </w:rPr>
              <w:t>Vulnerable Marginalized Groups Plan</w:t>
            </w:r>
          </w:p>
        </w:tc>
      </w:tr>
      <w:tr w14:paraId="31BDFB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4" w:hRule="atLeast"/>
        </w:trPr>
        <w:tc>
          <w:tcPr>
            <w:tcW w:w="1276" w:type="dxa"/>
          </w:tcPr>
          <w:p w14:paraId="71AF85EA">
            <w:pPr>
              <w:pStyle w:val="124"/>
              <w:tabs>
                <w:tab w:val="left" w:pos="709"/>
              </w:tabs>
              <w:spacing w:after="160"/>
              <w:ind w:left="-105"/>
              <w:jc w:val="both"/>
              <w:rPr>
                <w:rFonts w:ascii="Arial Narrow" w:hAnsi="Arial Narrow" w:cs="Times New Roman"/>
                <w:spacing w:val="-4"/>
              </w:rPr>
            </w:pPr>
            <w:r>
              <w:rPr>
                <w:rFonts w:ascii="Arial Narrow" w:hAnsi="Arial Narrow" w:cs="Times New Roman"/>
                <w:spacing w:val="-4"/>
              </w:rPr>
              <w:t>WAJWASCO</w:t>
            </w:r>
          </w:p>
        </w:tc>
        <w:tc>
          <w:tcPr>
            <w:tcW w:w="7357" w:type="dxa"/>
          </w:tcPr>
          <w:p w14:paraId="75B166B4">
            <w:pPr>
              <w:pStyle w:val="124"/>
              <w:tabs>
                <w:tab w:val="left" w:pos="709"/>
              </w:tabs>
              <w:spacing w:after="160"/>
              <w:jc w:val="both"/>
              <w:rPr>
                <w:rFonts w:ascii="Arial Narrow" w:hAnsi="Arial Narrow"/>
              </w:rPr>
            </w:pPr>
            <w:r>
              <w:rPr>
                <w:rFonts w:ascii="Arial Narrow" w:hAnsi="Arial Narrow"/>
              </w:rPr>
              <w:t>Wajir Water Supply and Sanitation Company</w:t>
            </w:r>
          </w:p>
        </w:tc>
      </w:tr>
      <w:tr w14:paraId="05AE6B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6" w:hRule="atLeast"/>
        </w:trPr>
        <w:tc>
          <w:tcPr>
            <w:tcW w:w="1276" w:type="dxa"/>
          </w:tcPr>
          <w:p w14:paraId="606A38A8">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WASREB</w:t>
            </w:r>
          </w:p>
        </w:tc>
        <w:tc>
          <w:tcPr>
            <w:tcW w:w="7357" w:type="dxa"/>
          </w:tcPr>
          <w:p w14:paraId="660C6C95">
            <w:pPr>
              <w:pStyle w:val="124"/>
              <w:tabs>
                <w:tab w:val="left" w:pos="709"/>
              </w:tabs>
              <w:spacing w:after="160"/>
              <w:jc w:val="both"/>
              <w:rPr>
                <w:rFonts w:ascii="Arial Narrow" w:hAnsi="Arial Narrow"/>
              </w:rPr>
            </w:pPr>
            <w:r>
              <w:rPr>
                <w:rFonts w:ascii="Arial Narrow" w:hAnsi="Arial Narrow"/>
              </w:rPr>
              <w:t>Water and Service Regulatory Board</w:t>
            </w:r>
          </w:p>
        </w:tc>
      </w:tr>
      <w:tr w14:paraId="5AF370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0F4C5EF5">
            <w:pPr>
              <w:pStyle w:val="124"/>
              <w:tabs>
                <w:tab w:val="left" w:pos="709"/>
              </w:tabs>
              <w:spacing w:after="160"/>
              <w:ind w:left="-105"/>
              <w:jc w:val="both"/>
              <w:rPr>
                <w:rFonts w:ascii="Arial Narrow" w:hAnsi="Arial Narrow" w:cs="Times New Roman"/>
              </w:rPr>
            </w:pPr>
            <w:r>
              <w:rPr>
                <w:rFonts w:ascii="Arial Narrow" w:hAnsi="Arial Narrow" w:cs="Times New Roman"/>
                <w:spacing w:val="-5"/>
              </w:rPr>
              <w:t>WB</w:t>
            </w:r>
          </w:p>
        </w:tc>
        <w:tc>
          <w:tcPr>
            <w:tcW w:w="7357" w:type="dxa"/>
          </w:tcPr>
          <w:p w14:paraId="7FE3A30F">
            <w:pPr>
              <w:pStyle w:val="124"/>
              <w:tabs>
                <w:tab w:val="left" w:pos="709"/>
              </w:tabs>
              <w:spacing w:after="160"/>
              <w:jc w:val="both"/>
              <w:rPr>
                <w:rFonts w:ascii="Arial Narrow" w:hAnsi="Arial Narrow"/>
              </w:rPr>
            </w:pPr>
            <w:r>
              <w:rPr>
                <w:rFonts w:ascii="Arial Narrow" w:hAnsi="Arial Narrow"/>
              </w:rPr>
              <w:t>World Bank</w:t>
            </w:r>
          </w:p>
        </w:tc>
      </w:tr>
      <w:tr w14:paraId="357C37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4827617B">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WFSTP</w:t>
            </w:r>
          </w:p>
        </w:tc>
        <w:tc>
          <w:tcPr>
            <w:tcW w:w="7357" w:type="dxa"/>
          </w:tcPr>
          <w:p w14:paraId="29D39808">
            <w:pPr>
              <w:pStyle w:val="124"/>
              <w:tabs>
                <w:tab w:val="left" w:pos="709"/>
              </w:tabs>
              <w:spacing w:after="160"/>
              <w:jc w:val="both"/>
              <w:rPr>
                <w:rFonts w:ascii="Arial Narrow" w:hAnsi="Arial Narrow"/>
              </w:rPr>
            </w:pPr>
            <w:r>
              <w:rPr>
                <w:rFonts w:ascii="Arial Narrow" w:hAnsi="Arial Narrow"/>
              </w:rPr>
              <w:t>Wajir Faecal Sludge Treatment Plant</w:t>
            </w:r>
          </w:p>
        </w:tc>
      </w:tr>
      <w:tr w14:paraId="49AD07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0" w:hRule="atLeast"/>
        </w:trPr>
        <w:tc>
          <w:tcPr>
            <w:tcW w:w="1276" w:type="dxa"/>
          </w:tcPr>
          <w:p w14:paraId="79667C13">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WSDP</w:t>
            </w:r>
          </w:p>
        </w:tc>
        <w:tc>
          <w:tcPr>
            <w:tcW w:w="7357" w:type="dxa"/>
          </w:tcPr>
          <w:p w14:paraId="6BB2E94C">
            <w:pPr>
              <w:pStyle w:val="124"/>
              <w:tabs>
                <w:tab w:val="left" w:pos="709"/>
              </w:tabs>
              <w:spacing w:after="160"/>
              <w:jc w:val="both"/>
              <w:rPr>
                <w:rFonts w:ascii="Arial Narrow" w:hAnsi="Arial Narrow"/>
              </w:rPr>
            </w:pPr>
            <w:r>
              <w:rPr>
                <w:rFonts w:ascii="Arial Narrow" w:hAnsi="Arial Narrow"/>
              </w:rPr>
              <w:t>Water and Sanitation Development Project</w:t>
            </w:r>
          </w:p>
        </w:tc>
      </w:tr>
      <w:tr w14:paraId="25310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9" w:hRule="atLeast"/>
        </w:trPr>
        <w:tc>
          <w:tcPr>
            <w:tcW w:w="1276" w:type="dxa"/>
          </w:tcPr>
          <w:p w14:paraId="0DFE67E6">
            <w:pPr>
              <w:pStyle w:val="124"/>
              <w:tabs>
                <w:tab w:val="left" w:pos="709"/>
              </w:tabs>
              <w:spacing w:after="160"/>
              <w:ind w:left="-105"/>
              <w:jc w:val="both"/>
              <w:rPr>
                <w:rFonts w:ascii="Arial Narrow" w:hAnsi="Arial Narrow" w:cs="Times New Roman"/>
                <w:spacing w:val="-5"/>
              </w:rPr>
            </w:pPr>
            <w:r>
              <w:rPr>
                <w:rFonts w:ascii="Arial Narrow" w:hAnsi="Arial Narrow" w:cs="Times New Roman"/>
                <w:spacing w:val="-5"/>
              </w:rPr>
              <w:t>WSP</w:t>
            </w:r>
          </w:p>
        </w:tc>
        <w:tc>
          <w:tcPr>
            <w:tcW w:w="7357" w:type="dxa"/>
          </w:tcPr>
          <w:p w14:paraId="73E4A23E">
            <w:pPr>
              <w:pStyle w:val="124"/>
              <w:tabs>
                <w:tab w:val="left" w:pos="709"/>
              </w:tabs>
              <w:spacing w:after="160"/>
              <w:jc w:val="both"/>
              <w:rPr>
                <w:rFonts w:ascii="Arial Narrow" w:hAnsi="Arial Narrow"/>
              </w:rPr>
            </w:pPr>
            <w:r>
              <w:rPr>
                <w:rFonts w:ascii="Arial Narrow" w:hAnsi="Arial Narrow"/>
              </w:rPr>
              <w:t>Water Service Provider</w:t>
            </w:r>
          </w:p>
        </w:tc>
      </w:tr>
    </w:tbl>
    <w:p w14:paraId="54CE71A3">
      <w:pPr>
        <w:tabs>
          <w:tab w:val="left" w:pos="709"/>
          <w:tab w:val="left" w:pos="1125"/>
        </w:tabs>
        <w:jc w:val="both"/>
        <w:sectPr>
          <w:headerReference r:id="rId13" w:type="default"/>
          <w:footerReference r:id="rId14" w:type="default"/>
          <w:pgSz w:w="11906" w:h="16838"/>
          <w:pgMar w:top="1440" w:right="1440" w:bottom="1440" w:left="1440" w:header="708" w:footer="708" w:gutter="0"/>
          <w:pgNumType w:fmt="lowerRoman"/>
          <w:cols w:space="708" w:num="1"/>
          <w:docGrid w:linePitch="360" w:charSpace="0"/>
        </w:sectPr>
      </w:pPr>
    </w:p>
    <w:p w14:paraId="510C5AAD">
      <w:pPr>
        <w:pStyle w:val="2"/>
      </w:pPr>
      <w:bookmarkStart w:id="26" w:name="_Toc170722936"/>
      <w:r>
        <w:tab/>
      </w:r>
      <w:bookmarkStart w:id="27" w:name="_Toc179904010"/>
      <w:r>
        <w:t>EXECUTIVE SUMMARY</w:t>
      </w:r>
      <w:bookmarkEnd w:id="26"/>
      <w:bookmarkEnd w:id="27"/>
    </w:p>
    <w:p w14:paraId="61FF8E44">
      <w:pPr>
        <w:pStyle w:val="3"/>
      </w:pPr>
      <w:bookmarkStart w:id="28" w:name="_Toc179904011"/>
      <w:r>
        <w:t xml:space="preserve">ES 1: </w:t>
      </w:r>
      <w:r>
        <w:tab/>
      </w:r>
      <w:r>
        <w:t>Back Ground Information</w:t>
      </w:r>
      <w:bookmarkEnd w:id="28"/>
    </w:p>
    <w:p w14:paraId="6E0B5F92">
      <w:pPr>
        <w:tabs>
          <w:tab w:val="left" w:pos="709"/>
        </w:tabs>
        <w:ind w:left="709"/>
        <w:jc w:val="both"/>
      </w:pPr>
      <w:r>
        <w:t>Wajir Water and Sewerage Company Limited (WAJWASCO) is the implementing agencies of the WSDP in Wajir County. Wajir Water &amp; Sewerage Co. Ltd, (WAJWASCO) was incorporated in 2013 under the companies Act 2002 (cap.486). The company is currently regulated by WASREB, through a Service Provision Agreement (SPA) in 30/09/2014 to provide water supply and sewerage services within Wajir Town and its environs. The County Government of Wajir has appointed WAJWASCO as a Water Services Provider (WSP) for the whole of Wajir County.</w:t>
      </w:r>
    </w:p>
    <w:p w14:paraId="4E66F0A8">
      <w:pPr>
        <w:tabs>
          <w:tab w:val="left" w:pos="709"/>
        </w:tabs>
        <w:ind w:left="709"/>
        <w:jc w:val="both"/>
      </w:pPr>
      <w:r>
        <w:t>The project Components were repackaged in four categories;</w:t>
      </w:r>
    </w:p>
    <w:p w14:paraId="334D4FE6">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 xml:space="preserve">Review and Supervision of implementation of Environmental and Social Safeguards. </w:t>
      </w:r>
    </w:p>
    <w:p w14:paraId="37FEE7B2">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Sanitation Improvement project.</w:t>
      </w:r>
    </w:p>
    <w:p w14:paraId="490B79E5">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Faecal sludge Management Works and operational auxiliary facilities</w:t>
      </w:r>
    </w:p>
    <w:p w14:paraId="5850250D">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 xml:space="preserve">Construction of Sanitary Lanes. </w:t>
      </w:r>
    </w:p>
    <w:p w14:paraId="3345B651">
      <w:pPr>
        <w:pStyle w:val="289"/>
        <w:tabs>
          <w:tab w:val="left" w:pos="709"/>
          <w:tab w:val="left" w:pos="9000"/>
          <w:tab w:val="left" w:pos="9090"/>
        </w:tabs>
        <w:spacing w:before="0"/>
        <w:ind w:left="720" w:right="95" w:firstLine="0"/>
        <w:rPr>
          <w:rFonts w:ascii="Arial Narrow" w:hAnsi="Arial Narrow"/>
        </w:rPr>
      </w:pPr>
      <w:r>
        <w:rPr>
          <w:rFonts w:ascii="Arial Narrow" w:hAnsi="Arial Narrow" w:cs="Times New Roman"/>
          <w:iCs/>
          <w:szCs w:val="22"/>
          <w:lang w:eastAsia="en-US"/>
        </w:rPr>
        <w:t xml:space="preserve">This ESIA Report is for the Faecal Sludge </w:t>
      </w:r>
      <w:r>
        <w:rPr>
          <w:rFonts w:ascii="Arial Narrow" w:hAnsi="Arial Narrow" w:cs="Times New Roman"/>
          <w:iCs/>
          <w:szCs w:val="22"/>
          <w:lang w:val="en-US" w:eastAsia="en-US"/>
        </w:rPr>
        <w:t xml:space="preserve">Treatment Plant </w:t>
      </w:r>
      <w:r>
        <w:rPr>
          <w:rFonts w:ascii="Arial Narrow" w:hAnsi="Arial Narrow" w:cs="Times New Roman"/>
          <w:iCs/>
          <w:szCs w:val="22"/>
          <w:lang w:eastAsia="en-US"/>
        </w:rPr>
        <w:t>for Wajir Town.</w:t>
      </w:r>
      <w:r>
        <w:rPr>
          <w:rFonts w:ascii="Arial Narrow" w:hAnsi="Arial Narrow"/>
        </w:rPr>
        <w:t xml:space="preserve"> </w:t>
      </w:r>
    </w:p>
    <w:p w14:paraId="4A1017A7">
      <w:pPr>
        <w:tabs>
          <w:tab w:val="left" w:pos="709"/>
        </w:tabs>
        <w:spacing w:line="240" w:lineRule="auto"/>
        <w:ind w:left="709"/>
        <w:jc w:val="both"/>
        <w:rPr>
          <w:b/>
          <w:u w:val="single"/>
        </w:rPr>
      </w:pPr>
      <w:r>
        <w:rPr>
          <w:b/>
          <w:u w:val="single"/>
        </w:rPr>
        <w:t>Justification of the ESIA</w:t>
      </w:r>
    </w:p>
    <w:p w14:paraId="666832F7">
      <w:pPr>
        <w:tabs>
          <w:tab w:val="left" w:pos="709"/>
        </w:tabs>
        <w:spacing w:line="240" w:lineRule="auto"/>
        <w:ind w:left="709"/>
        <w:jc w:val="both"/>
        <w:rPr>
          <w:rFonts w:cs="Times New Roman"/>
        </w:rPr>
      </w:pPr>
      <w:r>
        <w:rPr>
          <w:rFonts w:cs="Times New Roman"/>
        </w:rPr>
        <w:t>The implementation of the proposed project shall have both socio-economic and environmental impacts on the project</w:t>
      </w:r>
      <w:r>
        <w:rPr>
          <w:rFonts w:cs="Times New Roman"/>
          <w:spacing w:val="-43"/>
        </w:rPr>
        <w:t xml:space="preserve"> </w:t>
      </w:r>
      <w:r>
        <w:rPr>
          <w:rFonts w:cs="Times New Roman"/>
        </w:rPr>
        <w:t>area. In order to alleviate any detrimental effects of the project, there is need to assess possible impacts of the</w:t>
      </w:r>
      <w:r>
        <w:rPr>
          <w:rFonts w:cs="Times New Roman"/>
          <w:spacing w:val="1"/>
        </w:rPr>
        <w:t xml:space="preserve"> </w:t>
      </w:r>
      <w:r>
        <w:rPr>
          <w:rFonts w:cs="Times New Roman"/>
        </w:rPr>
        <w:t xml:space="preserve">development on the environment and the socio-economic attributes of the project area. </w:t>
      </w:r>
    </w:p>
    <w:p w14:paraId="2E98D0E9">
      <w:pPr>
        <w:pStyle w:val="3"/>
      </w:pPr>
      <w:bookmarkStart w:id="29" w:name="_Toc179904012"/>
      <w:r>
        <w:t xml:space="preserve">ES 2: </w:t>
      </w:r>
      <w:r>
        <w:tab/>
      </w:r>
      <w:r>
        <w:t>Project</w:t>
      </w:r>
      <w:r>
        <w:rPr>
          <w:spacing w:val="-5"/>
        </w:rPr>
        <w:t xml:space="preserve"> </w:t>
      </w:r>
      <w:r>
        <w:t>Location</w:t>
      </w:r>
      <w:bookmarkEnd w:id="29"/>
    </w:p>
    <w:p w14:paraId="379334CA">
      <w:pPr>
        <w:tabs>
          <w:tab w:val="left" w:pos="709"/>
        </w:tabs>
        <w:ind w:left="709"/>
        <w:jc w:val="both"/>
        <w:rPr>
          <w:lang w:val="en" w:eastAsia="ja-JP"/>
        </w:rPr>
      </w:pPr>
      <w:r>
        <w:rPr>
          <w:lang w:val="en" w:eastAsia="ja-JP"/>
        </w:rPr>
        <w:t>Wajir County is located in the formerly North Eastern Province of Kenya, and borders Somalia to the East and Ethiopia to the North. Within Kenya, it borders the counties of Mandera, Isiolo, Marsabit and Garissa.</w:t>
      </w:r>
    </w:p>
    <w:p w14:paraId="255D016D">
      <w:pPr>
        <w:tabs>
          <w:tab w:val="left" w:pos="709"/>
        </w:tabs>
        <w:ind w:left="709"/>
        <w:jc w:val="both"/>
        <w:rPr>
          <w:lang w:val="en" w:eastAsia="ja-JP"/>
        </w:rPr>
      </w:pPr>
      <w:r>
        <w:rPr>
          <w:lang w:val="en" w:eastAsia="ja-JP"/>
        </w:rPr>
        <w:t xml:space="preserve">The County has six sub-counties, namely: Wajir East, Wajir South, Wajir North, Wajir West, Eldas and Tarbaj. </w:t>
      </w:r>
    </w:p>
    <w:p w14:paraId="7C0C767B">
      <w:pPr>
        <w:tabs>
          <w:tab w:val="left" w:pos="709"/>
        </w:tabs>
        <w:ind w:left="709"/>
        <w:jc w:val="both"/>
        <w:rPr>
          <w:lang w:val="en" w:eastAsia="ja-JP"/>
        </w:rPr>
      </w:pPr>
      <w:r>
        <w:rPr>
          <w:lang w:val="en" w:eastAsia="ja-JP"/>
        </w:rPr>
        <w:t>Wajir town, which is the project area, is in the jurisdiction of Wajir East sub-county. Based on the 2019 Kenya Census, it has a total population of 101,247. Wajir town is divided into ten zones, each with an elected zone chief.</w:t>
      </w:r>
    </w:p>
    <w:p w14:paraId="052A3C41">
      <w:pPr>
        <w:pStyle w:val="3"/>
        <w:rPr>
          <w:lang w:eastAsia="ja-JP"/>
        </w:rPr>
      </w:pPr>
      <w:bookmarkStart w:id="30" w:name="_Toc179904013"/>
      <w:r>
        <w:t xml:space="preserve">ES 3: </w:t>
      </w:r>
      <w:r>
        <w:tab/>
      </w:r>
      <w:r>
        <w:t>Proposed Scope of Works</w:t>
      </w:r>
      <w:bookmarkEnd w:id="30"/>
    </w:p>
    <w:p w14:paraId="17D17804">
      <w:pPr>
        <w:tabs>
          <w:tab w:val="left" w:pos="709"/>
        </w:tabs>
        <w:ind w:left="709"/>
        <w:jc w:val="both"/>
        <w:rPr>
          <w:lang w:val="en-GB"/>
        </w:rPr>
      </w:pPr>
      <w:r>
        <w:rPr>
          <w:lang w:val="en-GB"/>
        </w:rPr>
        <w:t>The proposed site for the faecal sludge treatment facility is located 6 Km SE of Wajir CBD and about 5 km from the Airport at 188150 Northing and 615300 Eastings. The infrastructure to be developed on site will comprise of the following</w:t>
      </w:r>
    </w:p>
    <w:tbl>
      <w:tblPr>
        <w:tblStyle w:val="86"/>
        <w:tblW w:w="4494" w:type="dxa"/>
        <w:tblInd w:w="83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494"/>
      </w:tblGrid>
      <w:tr w14:paraId="3EC1DA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24DF89BC">
            <w:pPr>
              <w:pStyle w:val="115"/>
            </w:pPr>
            <w:r>
              <w:t>Tanker discharge bay and inlet chute</w:t>
            </w:r>
          </w:p>
        </w:tc>
      </w:tr>
      <w:tr w14:paraId="293E66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2DF050FC">
            <w:pPr>
              <w:pStyle w:val="115"/>
            </w:pPr>
            <w:r>
              <w:t>Screening unit</w:t>
            </w:r>
          </w:p>
        </w:tc>
      </w:tr>
      <w:tr w14:paraId="1D5C5B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59F52AC0">
            <w:pPr>
              <w:pStyle w:val="115"/>
            </w:pPr>
            <w:r>
              <w:t>Holding Basins</w:t>
            </w:r>
          </w:p>
        </w:tc>
      </w:tr>
      <w:tr w14:paraId="03CA5C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7B1D5729">
            <w:pPr>
              <w:pStyle w:val="115"/>
            </w:pPr>
            <w:r>
              <w:t>Sludge pumping stations</w:t>
            </w:r>
          </w:p>
        </w:tc>
      </w:tr>
      <w:tr w14:paraId="5A9279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05404F00">
            <w:pPr>
              <w:pStyle w:val="115"/>
            </w:pPr>
            <w:r>
              <w:t>Sludge drying beds</w:t>
            </w:r>
          </w:p>
        </w:tc>
      </w:tr>
      <w:tr w14:paraId="2401F5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4058FFC0">
            <w:pPr>
              <w:pStyle w:val="115"/>
            </w:pPr>
            <w:r>
              <w:t xml:space="preserve">Two primary anaerobic ponds </w:t>
            </w:r>
          </w:p>
        </w:tc>
      </w:tr>
      <w:tr w14:paraId="550404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blHeader/>
        </w:trPr>
        <w:tc>
          <w:tcPr>
            <w:tcW w:w="4494" w:type="dxa"/>
          </w:tcPr>
          <w:p w14:paraId="7A2F5ADC">
            <w:pPr>
              <w:pStyle w:val="115"/>
            </w:pPr>
            <w:r>
              <w:t xml:space="preserve">Two secondary anaerobic ponds </w:t>
            </w:r>
          </w:p>
        </w:tc>
      </w:tr>
      <w:tr w14:paraId="1C7C76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161E26ED">
            <w:pPr>
              <w:pStyle w:val="115"/>
            </w:pPr>
            <w:r>
              <w:t>Two facultative ponds</w:t>
            </w:r>
          </w:p>
        </w:tc>
      </w:tr>
      <w:tr w14:paraId="3FAF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6DD09291">
            <w:pPr>
              <w:pStyle w:val="115"/>
            </w:pPr>
            <w:r>
              <w:t>Two maturation ponds</w:t>
            </w:r>
          </w:p>
        </w:tc>
      </w:tr>
      <w:tr w14:paraId="3EAE8A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5B0440B4">
            <w:pPr>
              <w:pStyle w:val="115"/>
            </w:pPr>
            <w:r>
              <w:t>Constructed wetlands</w:t>
            </w:r>
          </w:p>
        </w:tc>
      </w:tr>
      <w:tr w14:paraId="2EF53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4916EBD1">
            <w:pPr>
              <w:pStyle w:val="115"/>
            </w:pPr>
            <w:r>
              <w:t>Biosolids drying slabs</w:t>
            </w:r>
          </w:p>
        </w:tc>
      </w:tr>
      <w:tr w14:paraId="2922D3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0F8318C7">
            <w:pPr>
              <w:pStyle w:val="115"/>
            </w:pPr>
            <w:r>
              <w:t>Generator house</w:t>
            </w:r>
          </w:p>
        </w:tc>
      </w:tr>
      <w:tr w14:paraId="0C6FF7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380C4482">
            <w:pPr>
              <w:pStyle w:val="115"/>
            </w:pPr>
            <w:r>
              <w:t>Operations Building</w:t>
            </w:r>
          </w:p>
        </w:tc>
      </w:tr>
      <w:tr w14:paraId="761642C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4" w:hRule="atLeast"/>
          <w:tblHeader/>
        </w:trPr>
        <w:tc>
          <w:tcPr>
            <w:tcW w:w="4494" w:type="dxa"/>
          </w:tcPr>
          <w:p w14:paraId="3E8235EF">
            <w:pPr>
              <w:pStyle w:val="115"/>
            </w:pPr>
            <w:r>
              <w:t>Elevated water storage tank</w:t>
            </w:r>
          </w:p>
        </w:tc>
      </w:tr>
      <w:tr w14:paraId="0C82BD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blHeader/>
        </w:trPr>
        <w:tc>
          <w:tcPr>
            <w:tcW w:w="4494" w:type="dxa"/>
          </w:tcPr>
          <w:p w14:paraId="4F0D7EE6">
            <w:pPr>
              <w:pStyle w:val="115"/>
            </w:pPr>
            <w:r>
              <w:t>Guard house</w:t>
            </w:r>
          </w:p>
        </w:tc>
      </w:tr>
      <w:tr w14:paraId="0ED0D2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blHeader/>
        </w:trPr>
        <w:tc>
          <w:tcPr>
            <w:tcW w:w="4494" w:type="dxa"/>
          </w:tcPr>
          <w:p w14:paraId="0EA364DF">
            <w:pPr>
              <w:pStyle w:val="115"/>
            </w:pPr>
            <w:r>
              <w:t>Incinerator</w:t>
            </w:r>
          </w:p>
        </w:tc>
      </w:tr>
      <w:tr w14:paraId="02CED5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5" w:hRule="atLeast"/>
          <w:tblHeader/>
        </w:trPr>
        <w:tc>
          <w:tcPr>
            <w:tcW w:w="4494" w:type="dxa"/>
          </w:tcPr>
          <w:p w14:paraId="7C346068">
            <w:pPr>
              <w:pStyle w:val="115"/>
            </w:pPr>
            <w:r>
              <w:t>Waste to Value facility</w:t>
            </w:r>
          </w:p>
        </w:tc>
      </w:tr>
    </w:tbl>
    <w:p w14:paraId="76940D67">
      <w:pPr>
        <w:tabs>
          <w:tab w:val="left" w:pos="709"/>
        </w:tabs>
        <w:ind w:left="709"/>
        <w:jc w:val="both"/>
        <w:rPr>
          <w:lang w:val="en-GB"/>
        </w:rPr>
      </w:pPr>
    </w:p>
    <w:p w14:paraId="40564EEC">
      <w:pPr>
        <w:tabs>
          <w:tab w:val="left" w:pos="709"/>
        </w:tabs>
        <w:ind w:left="709"/>
        <w:jc w:val="both"/>
        <w:rPr>
          <w:lang w:val="en-GB"/>
        </w:rPr>
      </w:pPr>
      <w:r>
        <w:rPr>
          <w:lang w:val="en-GB"/>
        </w:rPr>
        <w:t xml:space="preserve">The project </w:t>
      </w:r>
      <w:r>
        <w:rPr>
          <w:rFonts w:eastAsia="Times New Roman" w:cs="Times New Roman"/>
        </w:rPr>
        <w:t>activities shall include among others clearance of vegetation, earthworks and excavation of ponds, transportation of materials, construction of treatment works, construction of the ponds, operation of site management camp and associated facilities, storage of materials, accommodation for project crew, operation of the project and decommissioning of the facilities.</w:t>
      </w:r>
    </w:p>
    <w:p w14:paraId="0833C456">
      <w:pPr>
        <w:rPr>
          <w:b/>
        </w:rPr>
      </w:pPr>
      <w:r>
        <w:tab/>
      </w:r>
      <w:r>
        <w:rPr>
          <w:b/>
        </w:rPr>
        <w:t>Estimated Project Budget</w:t>
      </w:r>
      <w:r>
        <w:rPr>
          <w:b/>
          <w:u w:val="single"/>
        </w:rPr>
        <w:t xml:space="preserve"> </w:t>
      </w:r>
    </w:p>
    <w:p w14:paraId="22F15373">
      <w:pPr>
        <w:tabs>
          <w:tab w:val="left" w:pos="709"/>
        </w:tabs>
        <w:spacing w:line="240" w:lineRule="auto"/>
        <w:ind w:left="709"/>
        <w:jc w:val="both"/>
      </w:pPr>
      <w:r>
        <w:t xml:space="preserve">The total estimated project according to the engineer’s bills of quantities is </w:t>
      </w:r>
      <w:r>
        <w:rPr>
          <w:b/>
        </w:rPr>
        <w:t>570,802,041,</w:t>
      </w:r>
      <w:r>
        <w:t xml:space="preserve"> inclusive of 16%VAT.</w:t>
      </w:r>
    </w:p>
    <w:p w14:paraId="71649CEA">
      <w:pPr>
        <w:pStyle w:val="3"/>
      </w:pPr>
      <w:bookmarkStart w:id="31" w:name="_Toc179904014"/>
      <w:r>
        <w:t xml:space="preserve">ES 6: </w:t>
      </w:r>
      <w:r>
        <w:tab/>
      </w:r>
      <w:r>
        <w:t>Project Alternatives</w:t>
      </w:r>
      <w:bookmarkEnd w:id="31"/>
    </w:p>
    <w:p w14:paraId="66EF0E90">
      <w:pPr>
        <w:tabs>
          <w:tab w:val="left" w:pos="709"/>
        </w:tabs>
        <w:ind w:left="709"/>
        <w:jc w:val="both"/>
        <w:rPr>
          <w:b/>
          <w:u w:val="single"/>
        </w:rPr>
      </w:pPr>
      <w:r>
        <w:rPr>
          <w:b/>
          <w:u w:val="single"/>
        </w:rPr>
        <w:t>The “no project” alternative</w:t>
      </w:r>
    </w:p>
    <w:p w14:paraId="7C0E8858">
      <w:pPr>
        <w:tabs>
          <w:tab w:val="left" w:pos="709"/>
        </w:tabs>
        <w:spacing w:line="240" w:lineRule="auto"/>
        <w:ind w:left="709"/>
        <w:jc w:val="both"/>
      </w:pPr>
      <w:r>
        <w:t>Under the No-Nothing Alternative, no FSTP will be built and operated, and the insanitary conditions associated with the dispersal of raw untreated faecal sludge on lands surround the town will continue. The do-nothing alternative would mean that land and water and ultimately Wajir will continue to be polluted and loaded with untreated faecal matter and potential disease vectors.</w:t>
      </w:r>
    </w:p>
    <w:p w14:paraId="54919699">
      <w:pPr>
        <w:tabs>
          <w:tab w:val="left" w:pos="709"/>
        </w:tabs>
        <w:spacing w:line="240" w:lineRule="auto"/>
        <w:ind w:left="709"/>
        <w:jc w:val="both"/>
        <w:rPr>
          <w:b/>
          <w:u w:val="single"/>
        </w:rPr>
      </w:pPr>
      <w:r>
        <w:t xml:space="preserve"> </w:t>
      </w:r>
      <w:r>
        <w:rPr>
          <w:b/>
          <w:u w:val="single"/>
        </w:rPr>
        <w:t>The ‘yes’ project alternative</w:t>
      </w:r>
    </w:p>
    <w:p w14:paraId="704B4485">
      <w:pPr>
        <w:tabs>
          <w:tab w:val="left" w:pos="709"/>
        </w:tabs>
        <w:spacing w:line="240" w:lineRule="auto"/>
        <w:ind w:left="709"/>
        <w:jc w:val="both"/>
        <w:rPr>
          <w:lang w:val="en-GB"/>
        </w:rPr>
      </w:pPr>
      <w:r>
        <w:rPr>
          <w:lang w:val="en-GB"/>
        </w:rPr>
        <w:t>This was considered a viable option. This option was considered viable as opposed to the ‘no option’ because the yes project alternative implies that the project be implemented and once implemented there will be a number of gains that will be realized.</w:t>
      </w:r>
    </w:p>
    <w:p w14:paraId="719F37C7">
      <w:pPr>
        <w:tabs>
          <w:tab w:val="left" w:pos="709"/>
        </w:tabs>
        <w:ind w:left="709"/>
        <w:jc w:val="both"/>
        <w:rPr>
          <w:rFonts w:ascii="Arial" w:hAnsi="Arial" w:cs="Arial"/>
          <w:color w:val="222222"/>
          <w:sz w:val="20"/>
          <w:szCs w:val="20"/>
          <w:shd w:val="clear" w:color="auto" w:fill="FFFFFF"/>
        </w:rPr>
      </w:pPr>
      <w:r>
        <w:t xml:space="preserve">Space has been reserved in the current layout to allow for future incorporation of a waste to value preposition and in particular the </w:t>
      </w:r>
      <w:r>
        <w:rPr>
          <w:rFonts w:ascii="Arial" w:hAnsi="Arial" w:cs="Arial"/>
          <w:color w:val="222222"/>
          <w:sz w:val="20"/>
          <w:szCs w:val="20"/>
          <w:shd w:val="clear" w:color="auto" w:fill="FFFFFF"/>
        </w:rPr>
        <w:t>reuse of sludge for agricultural composting, which is also the lowest value product in the waste regimes of an FSTP.</w:t>
      </w:r>
    </w:p>
    <w:p w14:paraId="12DFB9CC">
      <w:pPr>
        <w:pStyle w:val="3"/>
        <w:keepLines/>
      </w:pPr>
      <w:bookmarkStart w:id="32" w:name="_Toc179904015"/>
      <w:r>
        <w:t xml:space="preserve">ES 7: </w:t>
      </w:r>
      <w:r>
        <w:tab/>
      </w:r>
      <w:r>
        <w:t>Socio-Economic and Environmental Baseline Information</w:t>
      </w:r>
      <w:bookmarkEnd w:id="32"/>
    </w:p>
    <w:p w14:paraId="2BE77917">
      <w:pPr>
        <w:keepNext/>
        <w:keepLines/>
        <w:tabs>
          <w:tab w:val="left" w:pos="709"/>
        </w:tabs>
        <w:ind w:left="709"/>
        <w:jc w:val="both"/>
        <w:rPr>
          <w:b/>
          <w:u w:val="single"/>
        </w:rPr>
      </w:pPr>
      <w:r>
        <w:rPr>
          <w:b/>
          <w:u w:val="single"/>
        </w:rPr>
        <w:t>Biophysical Environmental Baseline</w:t>
      </w:r>
    </w:p>
    <w:p w14:paraId="426850E3">
      <w:pPr>
        <w:keepNext/>
        <w:keepLines/>
        <w:tabs>
          <w:tab w:val="left" w:pos="709"/>
        </w:tabs>
        <w:ind w:left="709"/>
        <w:jc w:val="both"/>
      </w:pPr>
      <w:r>
        <w:t>Wajir County has an average annual rainfall of 240mm, with April being the wettest month and July the driest. Temperatures average 27.9°C, peaking at 36°C in February and March, with June to August being the coolest. Vegetation includes acacia and Commiphora species, while livestock farming, especially of cattle, camels, goats, and sheep, is common. The area also hosts marabou storks and various livestock breeds.</w:t>
      </w:r>
    </w:p>
    <w:p w14:paraId="342CC2B0">
      <w:pPr>
        <w:keepNext/>
        <w:keepLines/>
        <w:tabs>
          <w:tab w:val="left" w:pos="709"/>
        </w:tabs>
        <w:ind w:left="709"/>
        <w:jc w:val="both"/>
        <w:rPr>
          <w:b/>
          <w:u w:val="single"/>
        </w:rPr>
      </w:pPr>
      <w:r>
        <w:rPr>
          <w:b/>
          <w:u w:val="single"/>
        </w:rPr>
        <w:t>Socio-Economic Baseline</w:t>
      </w:r>
    </w:p>
    <w:p w14:paraId="2BBD2C9D">
      <w:pPr>
        <w:keepNext/>
        <w:keepLines/>
        <w:ind w:left="709"/>
        <w:jc w:val="both"/>
      </w:pPr>
      <w:r>
        <w:t>Wajir County has six constituencies and 30 wards, with 14 administrative sub-counties. The proposed faecal sludge treatment plant is about 1.5 km from a nearby dispensary, and the site is accessed via dusty murram roads from Wajir town along the Isiolo-Mandera Road. Housing in the area includes a mix of Manyattas (made from sticks, mud, and fabric), semi-permanent, and permanent homes made of stone and corrugated iron sheets. The area reflects a blend of traditional and modern living structures.</w:t>
      </w:r>
    </w:p>
    <w:p w14:paraId="3FBAF9CD">
      <w:pPr>
        <w:sectPr>
          <w:headerReference r:id="rId15" w:type="default"/>
          <w:footerReference r:id="rId16" w:type="default"/>
          <w:pgSz w:w="11906" w:h="16838"/>
          <w:pgMar w:top="1440" w:right="1440" w:bottom="1440" w:left="1440" w:header="708" w:footer="708" w:gutter="0"/>
          <w:pgNumType w:fmt="lowerRoman"/>
          <w:cols w:space="708" w:num="1"/>
          <w:docGrid w:linePitch="360" w:charSpace="0"/>
        </w:sectPr>
      </w:pPr>
    </w:p>
    <w:p w14:paraId="1D33222A">
      <w:pPr>
        <w:pStyle w:val="3"/>
      </w:pPr>
      <w:bookmarkStart w:id="33" w:name="_Toc179904016"/>
      <w:r>
        <w:t xml:space="preserve">ES 8: </w:t>
      </w:r>
      <w:r>
        <w:tab/>
      </w:r>
      <w:r>
        <w:t>Policies, Legal and Institutional Frameworks</w:t>
      </w:r>
      <w:bookmarkEnd w:id="33"/>
    </w:p>
    <w:tbl>
      <w:tblPr>
        <w:tblStyle w:val="8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688"/>
        <w:gridCol w:w="2277"/>
        <w:gridCol w:w="2590"/>
        <w:gridCol w:w="2045"/>
        <w:gridCol w:w="2026"/>
        <w:gridCol w:w="2548"/>
      </w:tblGrid>
      <w:tr w14:paraId="317AEC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984" w:type="pct"/>
          </w:tcPr>
          <w:p w14:paraId="6D604669">
            <w:pPr>
              <w:spacing w:after="0"/>
              <w:rPr>
                <w:rFonts w:cstheme="minorHAnsi"/>
                <w:b/>
              </w:rPr>
            </w:pPr>
            <w:r>
              <w:rPr>
                <w:rFonts w:cstheme="minorHAnsi"/>
                <w:b/>
              </w:rPr>
              <w:t>National Laws and Regulations</w:t>
            </w:r>
          </w:p>
        </w:tc>
        <w:tc>
          <w:tcPr>
            <w:tcW w:w="908" w:type="pct"/>
          </w:tcPr>
          <w:p w14:paraId="217A0A5B">
            <w:pPr>
              <w:spacing w:after="0"/>
              <w:rPr>
                <w:rFonts w:cstheme="minorHAnsi"/>
              </w:rPr>
            </w:pPr>
            <w:r>
              <w:rPr>
                <w:rFonts w:cstheme="minorHAnsi"/>
                <w:b/>
              </w:rPr>
              <w:t>County Laws and Regulation</w:t>
            </w:r>
          </w:p>
        </w:tc>
        <w:tc>
          <w:tcPr>
            <w:tcW w:w="984" w:type="pct"/>
          </w:tcPr>
          <w:p w14:paraId="61EC0139">
            <w:pPr>
              <w:spacing w:after="0"/>
              <w:rPr>
                <w:rFonts w:cstheme="minorHAnsi"/>
              </w:rPr>
            </w:pPr>
            <w:r>
              <w:rPr>
                <w:rFonts w:cstheme="minorHAnsi"/>
                <w:b/>
              </w:rPr>
              <w:t>National Policy Framework</w:t>
            </w:r>
          </w:p>
        </w:tc>
        <w:tc>
          <w:tcPr>
            <w:tcW w:w="708" w:type="pct"/>
          </w:tcPr>
          <w:p w14:paraId="35F7E271">
            <w:pPr>
              <w:spacing w:after="0"/>
              <w:rPr>
                <w:rFonts w:cstheme="minorHAnsi"/>
              </w:rPr>
            </w:pPr>
            <w:r>
              <w:rPr>
                <w:rFonts w:cstheme="minorHAnsi"/>
                <w:b/>
              </w:rPr>
              <w:t>County Policy Framework</w:t>
            </w:r>
          </w:p>
        </w:tc>
        <w:tc>
          <w:tcPr>
            <w:tcW w:w="708" w:type="pct"/>
          </w:tcPr>
          <w:p w14:paraId="01B6D0C3">
            <w:pPr>
              <w:spacing w:after="0"/>
              <w:rPr>
                <w:rFonts w:cstheme="minorHAnsi"/>
              </w:rPr>
            </w:pPr>
            <w:r>
              <w:rPr>
                <w:rFonts w:cstheme="minorHAnsi"/>
                <w:b/>
              </w:rPr>
              <w:t xml:space="preserve">Sustainable Development Goals </w:t>
            </w:r>
          </w:p>
        </w:tc>
        <w:tc>
          <w:tcPr>
            <w:tcW w:w="708" w:type="pct"/>
          </w:tcPr>
          <w:p w14:paraId="5D7375CC">
            <w:pPr>
              <w:spacing w:after="0"/>
              <w:rPr>
                <w:rFonts w:cstheme="minorHAnsi"/>
              </w:rPr>
            </w:pPr>
            <w:r>
              <w:rPr>
                <w:rFonts w:cstheme="minorHAnsi"/>
                <w:b/>
              </w:rPr>
              <w:t>Multilateral Environmental Agreements</w:t>
            </w:r>
          </w:p>
        </w:tc>
      </w:tr>
      <w:tr w14:paraId="7E09A2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4" w:type="pct"/>
          </w:tcPr>
          <w:p w14:paraId="2CD8D34B">
            <w:pPr>
              <w:pStyle w:val="115"/>
              <w:rPr>
                <w:lang w:val="en-GB"/>
              </w:rPr>
            </w:pPr>
            <w:r>
              <w:rPr>
                <w:lang w:val="en-GB"/>
              </w:rPr>
              <w:t>The Environmental Management and Co-ordination Act, (EMCA) 1999 and amended in 2015 and subsequent Regulations.</w:t>
            </w:r>
          </w:p>
          <w:p w14:paraId="152EB4B9">
            <w:pPr>
              <w:pStyle w:val="115"/>
              <w:rPr>
                <w:lang w:val="en-GB"/>
              </w:rPr>
            </w:pPr>
            <w:r>
              <w:rPr>
                <w:lang w:val="en-GB"/>
              </w:rPr>
              <w:t>Occupational Health and Safety Act 2007 CAP 514.</w:t>
            </w:r>
          </w:p>
          <w:p w14:paraId="3BD7D3D5">
            <w:pPr>
              <w:pStyle w:val="115"/>
              <w:rPr>
                <w:lang w:val="en-GB"/>
              </w:rPr>
            </w:pPr>
            <w:r>
              <w:rPr>
                <w:lang w:val="en-GB"/>
              </w:rPr>
              <w:t>The Public Health Act 1986 revised 2012 (Cap 242).</w:t>
            </w:r>
          </w:p>
          <w:p w14:paraId="61E655D0">
            <w:pPr>
              <w:pStyle w:val="115"/>
              <w:rPr>
                <w:lang w:val="en-GB"/>
              </w:rPr>
            </w:pPr>
            <w:r>
              <w:rPr>
                <w:lang w:val="en-GB"/>
              </w:rPr>
              <w:t>The Physical and Land Use Planning Act, (PLUPA) 2019</w:t>
            </w:r>
          </w:p>
          <w:p w14:paraId="5C76F8AF">
            <w:pPr>
              <w:pStyle w:val="115"/>
              <w:rPr>
                <w:lang w:val="en-GB"/>
              </w:rPr>
            </w:pPr>
            <w:r>
              <w:rPr>
                <w:lang w:val="en-GB"/>
              </w:rPr>
              <w:t>National Construction Authority Act No. 41 of 2011</w:t>
            </w:r>
          </w:p>
          <w:p w14:paraId="5B2F2F88">
            <w:pPr>
              <w:pStyle w:val="115"/>
              <w:rPr>
                <w:lang w:val="en-GB"/>
              </w:rPr>
            </w:pPr>
            <w:r>
              <w:rPr>
                <w:lang w:val="en-GB"/>
              </w:rPr>
              <w:t>Sustainable Waste Management Act 2022</w:t>
            </w:r>
          </w:p>
          <w:p w14:paraId="3C3F6C11">
            <w:pPr>
              <w:pStyle w:val="115"/>
              <w:rPr>
                <w:lang w:val="en-GB"/>
              </w:rPr>
            </w:pPr>
            <w:r>
              <w:rPr>
                <w:lang w:val="en-GB"/>
              </w:rPr>
              <w:t xml:space="preserve">Children Act (2001) and revised 2016 </w:t>
            </w:r>
          </w:p>
          <w:p w14:paraId="6821A516">
            <w:pPr>
              <w:pStyle w:val="115"/>
              <w:rPr>
                <w:lang w:val="en-GB"/>
              </w:rPr>
            </w:pPr>
            <w:r>
              <w:rPr>
                <w:lang w:val="en-GB"/>
              </w:rPr>
              <w:t>County Government Act (2012</w:t>
            </w:r>
          </w:p>
          <w:p w14:paraId="6DC71FD2">
            <w:pPr>
              <w:pStyle w:val="115"/>
              <w:rPr>
                <w:lang w:val="en-GB"/>
              </w:rPr>
            </w:pPr>
            <w:r>
              <w:rPr>
                <w:lang w:val="en-GB"/>
              </w:rPr>
              <w:t xml:space="preserve">Work Injury Benefits Act, 2007 </w:t>
            </w:r>
          </w:p>
          <w:p w14:paraId="0B1CAB89">
            <w:pPr>
              <w:pStyle w:val="115"/>
              <w:rPr>
                <w:lang w:val="en-GB"/>
              </w:rPr>
            </w:pPr>
            <w:r>
              <w:rPr>
                <w:lang w:val="en-GB"/>
              </w:rPr>
              <w:t>Water Act (2016)</w:t>
            </w:r>
          </w:p>
          <w:p w14:paraId="65ED5E24">
            <w:pPr>
              <w:pStyle w:val="115"/>
              <w:rPr>
                <w:lang w:val="en-GB"/>
              </w:rPr>
            </w:pPr>
            <w:r>
              <w:rPr>
                <w:lang w:val="en-GB"/>
              </w:rPr>
              <w:t>Sexual Offences Act (2006)</w:t>
            </w:r>
          </w:p>
          <w:p w14:paraId="5E416DD5">
            <w:pPr>
              <w:pStyle w:val="115"/>
              <w:rPr>
                <w:lang w:val="en-GB"/>
              </w:rPr>
            </w:pPr>
            <w:r>
              <w:rPr>
                <w:lang w:val="en-GB"/>
              </w:rPr>
              <w:t>Climate Act (2016) Revised 2023.</w:t>
            </w:r>
          </w:p>
          <w:p w14:paraId="0F1F6DA8">
            <w:pPr>
              <w:pStyle w:val="115"/>
              <w:rPr>
                <w:lang w:val="en-GB"/>
              </w:rPr>
            </w:pPr>
            <w:r>
              <w:rPr>
                <w:lang w:val="en-GB"/>
              </w:rPr>
              <w:t>Urban Areas and Cities Act (2011)</w:t>
            </w:r>
          </w:p>
          <w:p w14:paraId="53CA0FFC">
            <w:pPr>
              <w:pStyle w:val="115"/>
            </w:pPr>
            <w:r>
              <w:t>EMCA regulations on (Noise, Waste management, Air Pollution, Excessive Vibrations and Noise, Water Quality Regulations, Extended Producer Responsibility Regulations</w:t>
            </w:r>
          </w:p>
        </w:tc>
        <w:tc>
          <w:tcPr>
            <w:tcW w:w="908" w:type="pct"/>
          </w:tcPr>
          <w:p w14:paraId="4ED40C35">
            <w:pPr>
              <w:pStyle w:val="115"/>
              <w:rPr>
                <w:lang w:val="en-GB"/>
              </w:rPr>
            </w:pPr>
            <w:r>
              <w:rPr>
                <w:lang w:val="en-GB"/>
              </w:rPr>
              <w:t>County Government Act No.17 of 2012</w:t>
            </w:r>
          </w:p>
          <w:p w14:paraId="37E525BF">
            <w:pPr>
              <w:pStyle w:val="115"/>
              <w:rPr>
                <w:lang w:val="en-GB"/>
              </w:rPr>
            </w:pPr>
            <w:r>
              <w:rPr>
                <w:lang w:val="en-GB"/>
              </w:rPr>
              <w:t>Wajir County Climate Change Fund Act, 2016</w:t>
            </w:r>
          </w:p>
          <w:p w14:paraId="09D427D8">
            <w:pPr>
              <w:spacing w:after="0"/>
              <w:ind w:left="150" w:hanging="180"/>
              <w:rPr>
                <w:rFonts w:cstheme="minorHAnsi"/>
              </w:rPr>
            </w:pPr>
          </w:p>
        </w:tc>
        <w:tc>
          <w:tcPr>
            <w:tcW w:w="984" w:type="pct"/>
          </w:tcPr>
          <w:p w14:paraId="6EFAE09C">
            <w:pPr>
              <w:pStyle w:val="115"/>
              <w:rPr>
                <w:lang w:val="en-GB"/>
              </w:rPr>
            </w:pPr>
            <w:r>
              <w:rPr>
                <w:lang w:val="en-GB"/>
              </w:rPr>
              <w:t>Kenya Vision 2030</w:t>
            </w:r>
          </w:p>
          <w:p w14:paraId="2987C166">
            <w:pPr>
              <w:pStyle w:val="115"/>
              <w:rPr>
                <w:lang w:val="en-GB"/>
              </w:rPr>
            </w:pPr>
            <w:r>
              <w:rPr>
                <w:lang w:val="en-GB"/>
              </w:rPr>
              <w:t>The National Environmental Action Plan (NEAP) 1994</w:t>
            </w:r>
          </w:p>
          <w:p w14:paraId="5813424A">
            <w:pPr>
              <w:pStyle w:val="115"/>
              <w:rPr>
                <w:lang w:val="en-GB"/>
              </w:rPr>
            </w:pPr>
            <w:r>
              <w:rPr>
                <w:lang w:val="en-GB"/>
              </w:rPr>
              <w:t>Policy Paper on Environment and Development 2014</w:t>
            </w:r>
          </w:p>
          <w:p w14:paraId="75E301B9">
            <w:pPr>
              <w:pStyle w:val="115"/>
              <w:rPr>
                <w:lang w:val="en-GB"/>
              </w:rPr>
            </w:pPr>
            <w:r>
              <w:rPr>
                <w:lang w:val="en-GB"/>
              </w:rPr>
              <w:t>The National Water Resources Management Policy (1999)</w:t>
            </w:r>
          </w:p>
          <w:p w14:paraId="20C6052E">
            <w:pPr>
              <w:pStyle w:val="115"/>
              <w:rPr>
                <w:lang w:val="en-GB"/>
              </w:rPr>
            </w:pPr>
            <w:r>
              <w:rPr>
                <w:lang w:val="en-GB"/>
              </w:rPr>
              <w:t xml:space="preserve">HIV and AIDS Policy 2009; Setting Minimum Internal Requirements (MIR) for managing HIV and AIDS. </w:t>
            </w:r>
          </w:p>
          <w:p w14:paraId="67C169A2">
            <w:pPr>
              <w:pStyle w:val="115"/>
              <w:rPr>
                <w:lang w:val="en-GB"/>
              </w:rPr>
            </w:pPr>
            <w:r>
              <w:rPr>
                <w:lang w:val="en-GB"/>
              </w:rPr>
              <w:t xml:space="preserve">Gender Policy 2011; Mainstream gender concerns. </w:t>
            </w:r>
          </w:p>
          <w:p w14:paraId="01FE6756">
            <w:pPr>
              <w:pStyle w:val="115"/>
              <w:rPr>
                <w:lang w:val="en-GB"/>
              </w:rPr>
            </w:pPr>
            <w:r>
              <w:rPr>
                <w:lang w:val="en-GB"/>
              </w:rPr>
              <w:t>Sessional Paper No. 7 of 2005 on National Employment Policy and Strategies for Kenya</w:t>
            </w:r>
          </w:p>
          <w:p w14:paraId="17CF0EE8">
            <w:pPr>
              <w:pStyle w:val="115"/>
              <w:rPr>
                <w:lang w:val="en-GB"/>
              </w:rPr>
            </w:pPr>
            <w:r>
              <w:rPr>
                <w:lang w:val="en-GB"/>
              </w:rPr>
              <w:t>Sustainable Waste Management Policy 2021</w:t>
            </w:r>
          </w:p>
          <w:p w14:paraId="7D7BAAC1">
            <w:pPr>
              <w:pStyle w:val="115"/>
              <w:rPr>
                <w:lang w:val="en-GB"/>
              </w:rPr>
            </w:pPr>
            <w:r>
              <w:rPr>
                <w:lang w:val="en-GB"/>
              </w:rPr>
              <w:t>Kenya Youth Development Policy 2019</w:t>
            </w:r>
            <w:r>
              <w:rPr>
                <w:lang w:val="en-GB"/>
              </w:rPr>
              <w:tab/>
            </w:r>
          </w:p>
          <w:p w14:paraId="0C52A21B">
            <w:pPr>
              <w:pStyle w:val="115"/>
              <w:rPr>
                <w:lang w:val="en-GB"/>
              </w:rPr>
            </w:pPr>
            <w:r>
              <w:rPr>
                <w:lang w:val="en-GB"/>
              </w:rPr>
              <w:t xml:space="preserve">The National Museums and Heritage Act; </w:t>
            </w:r>
          </w:p>
          <w:p w14:paraId="5921A02D">
            <w:pPr>
              <w:pStyle w:val="115"/>
              <w:rPr>
                <w:lang w:val="en-GB"/>
              </w:rPr>
            </w:pPr>
            <w:r>
              <w:rPr>
                <w:lang w:val="en-GB"/>
              </w:rPr>
              <w:t>HIV and AIDS Prevention and Control Act</w:t>
            </w:r>
          </w:p>
          <w:p w14:paraId="2B092F29">
            <w:pPr>
              <w:spacing w:after="0"/>
              <w:ind w:left="150" w:hanging="180"/>
              <w:rPr>
                <w:rFonts w:cstheme="minorHAnsi"/>
              </w:rPr>
            </w:pPr>
          </w:p>
        </w:tc>
        <w:tc>
          <w:tcPr>
            <w:tcW w:w="708" w:type="pct"/>
          </w:tcPr>
          <w:p w14:paraId="527F3F7A">
            <w:pPr>
              <w:pStyle w:val="115"/>
              <w:rPr>
                <w:lang w:val="en-GB"/>
              </w:rPr>
            </w:pPr>
            <w:r>
              <w:rPr>
                <w:lang w:val="en-GB"/>
              </w:rPr>
              <w:t>Wajir County integrated development goals 2023-2027</w:t>
            </w:r>
          </w:p>
          <w:p w14:paraId="1A62F962">
            <w:pPr>
              <w:spacing w:after="0"/>
              <w:rPr>
                <w:rFonts w:cstheme="minorHAnsi"/>
              </w:rPr>
            </w:pPr>
          </w:p>
        </w:tc>
        <w:tc>
          <w:tcPr>
            <w:tcW w:w="708" w:type="pct"/>
          </w:tcPr>
          <w:p w14:paraId="54AE84F4">
            <w:pPr>
              <w:pStyle w:val="115"/>
              <w:rPr>
                <w:lang w:val="en-GB"/>
              </w:rPr>
            </w:pPr>
            <w:r>
              <w:rPr>
                <w:lang w:val="en-GB"/>
              </w:rPr>
              <w:t xml:space="preserve">SDG Goal 1; No poverty </w:t>
            </w:r>
          </w:p>
          <w:p w14:paraId="462F769B">
            <w:pPr>
              <w:pStyle w:val="115"/>
              <w:rPr>
                <w:lang w:val="en-GB"/>
              </w:rPr>
            </w:pPr>
            <w:r>
              <w:rPr>
                <w:lang w:val="en-GB"/>
              </w:rPr>
              <w:t>SDG Goal 2; Zero Hunger</w:t>
            </w:r>
          </w:p>
          <w:p w14:paraId="25E5FCB7">
            <w:pPr>
              <w:pStyle w:val="115"/>
              <w:rPr>
                <w:lang w:val="en-GB"/>
              </w:rPr>
            </w:pPr>
            <w:r>
              <w:rPr>
                <w:lang w:val="en-GB"/>
              </w:rPr>
              <w:t>SDG Goal 3; Good health &amp; well Being</w:t>
            </w:r>
          </w:p>
          <w:p w14:paraId="031CBB3F">
            <w:pPr>
              <w:pStyle w:val="115"/>
              <w:rPr>
                <w:lang w:val="en-GB"/>
              </w:rPr>
            </w:pPr>
            <w:r>
              <w:rPr>
                <w:lang w:val="en-GB"/>
              </w:rPr>
              <w:t xml:space="preserve">SDG Goal 4; Quality education </w:t>
            </w:r>
          </w:p>
          <w:p w14:paraId="00480D4C">
            <w:pPr>
              <w:pStyle w:val="115"/>
              <w:rPr>
                <w:lang w:val="en-GB"/>
              </w:rPr>
            </w:pPr>
            <w:r>
              <w:rPr>
                <w:lang w:val="en-GB"/>
              </w:rPr>
              <w:t>SDG Goal 5; Gender equality</w:t>
            </w:r>
          </w:p>
          <w:p w14:paraId="6732D2EF">
            <w:pPr>
              <w:pStyle w:val="115"/>
              <w:rPr>
                <w:lang w:val="en-GB"/>
              </w:rPr>
            </w:pPr>
            <w:r>
              <w:rPr>
                <w:lang w:val="en-GB"/>
              </w:rPr>
              <w:t>SDG Goal 6; Clean Water and Sanitation</w:t>
            </w:r>
          </w:p>
          <w:p w14:paraId="23D2FFC0">
            <w:pPr>
              <w:pStyle w:val="115"/>
              <w:rPr>
                <w:lang w:val="en-GB"/>
              </w:rPr>
            </w:pPr>
            <w:r>
              <w:rPr>
                <w:lang w:val="en-GB"/>
              </w:rPr>
              <w:t>SDG Goal 7; Affordable and clean energy</w:t>
            </w:r>
          </w:p>
          <w:p w14:paraId="70AA25AA">
            <w:pPr>
              <w:pStyle w:val="115"/>
              <w:rPr>
                <w:lang w:val="en-GB"/>
              </w:rPr>
            </w:pPr>
            <w:r>
              <w:rPr>
                <w:lang w:val="en-GB"/>
              </w:rPr>
              <w:t>SDG Goal 8; Decent work and economic growth</w:t>
            </w:r>
          </w:p>
          <w:p w14:paraId="4A73DE72">
            <w:pPr>
              <w:pStyle w:val="115"/>
              <w:rPr>
                <w:lang w:val="en-GB"/>
              </w:rPr>
            </w:pPr>
            <w:r>
              <w:rPr>
                <w:lang w:val="en-GB"/>
              </w:rPr>
              <w:t>SDG Goal 9; Industry, Innovation and infrastructure</w:t>
            </w:r>
          </w:p>
          <w:p w14:paraId="5A29A6A3">
            <w:pPr>
              <w:pStyle w:val="115"/>
              <w:rPr>
                <w:lang w:val="en-GB"/>
              </w:rPr>
            </w:pPr>
            <w:r>
              <w:rPr>
                <w:lang w:val="en-GB"/>
              </w:rPr>
              <w:t>SDG Goal 10; Reduced inequalities</w:t>
            </w:r>
          </w:p>
          <w:p w14:paraId="0AEA9249">
            <w:pPr>
              <w:pStyle w:val="115"/>
              <w:rPr>
                <w:lang w:val="en-GB"/>
              </w:rPr>
            </w:pPr>
            <w:r>
              <w:rPr>
                <w:lang w:val="en-GB"/>
              </w:rPr>
              <w:t>SDG Goal 11; Sustainable cities and communities</w:t>
            </w:r>
          </w:p>
          <w:p w14:paraId="63FAB08A">
            <w:pPr>
              <w:pStyle w:val="115"/>
              <w:rPr>
                <w:lang w:val="en-GB"/>
              </w:rPr>
            </w:pPr>
            <w:r>
              <w:rPr>
                <w:lang w:val="en-GB"/>
              </w:rPr>
              <w:t>SDG Goal 12; Responsible consumption and production</w:t>
            </w:r>
          </w:p>
          <w:p w14:paraId="23539CEA">
            <w:pPr>
              <w:pStyle w:val="115"/>
              <w:rPr>
                <w:lang w:val="en-GB"/>
              </w:rPr>
            </w:pPr>
            <w:r>
              <w:rPr>
                <w:lang w:val="en-GB"/>
              </w:rPr>
              <w:t>SDG Goal 13; Climate action</w:t>
            </w:r>
          </w:p>
          <w:p w14:paraId="59B77D5F">
            <w:pPr>
              <w:pStyle w:val="115"/>
              <w:rPr>
                <w:lang w:val="en-GB"/>
              </w:rPr>
            </w:pPr>
            <w:r>
              <w:rPr>
                <w:lang w:val="en-GB"/>
              </w:rPr>
              <w:t>SDG Goal 15; Life on land</w:t>
            </w:r>
          </w:p>
          <w:p w14:paraId="6F518079">
            <w:pPr>
              <w:pStyle w:val="115"/>
              <w:rPr>
                <w:lang w:val="en-GB"/>
              </w:rPr>
            </w:pPr>
            <w:r>
              <w:rPr>
                <w:lang w:val="en-GB"/>
              </w:rPr>
              <w:t>SDG Goal 16; Peace justice and strong institutions</w:t>
            </w:r>
          </w:p>
          <w:p w14:paraId="6205F4FF">
            <w:pPr>
              <w:pStyle w:val="115"/>
              <w:rPr>
                <w:lang w:val="en-GB"/>
              </w:rPr>
            </w:pPr>
            <w:r>
              <w:rPr>
                <w:lang w:val="en-GB"/>
              </w:rPr>
              <w:t>SDG Goal 17; Partnerships for the goals</w:t>
            </w:r>
          </w:p>
        </w:tc>
        <w:tc>
          <w:tcPr>
            <w:tcW w:w="708" w:type="pct"/>
          </w:tcPr>
          <w:p w14:paraId="0E4017B9">
            <w:pPr>
              <w:pStyle w:val="115"/>
              <w:rPr>
                <w:lang w:val="en-GB"/>
              </w:rPr>
            </w:pPr>
            <w:r>
              <w:rPr>
                <w:lang w:val="en-GB"/>
              </w:rPr>
              <w:t>United Nations Framework for Convention on Climate Change (UNFCCC)</w:t>
            </w:r>
          </w:p>
          <w:p w14:paraId="4BDABFAA">
            <w:pPr>
              <w:pStyle w:val="115"/>
              <w:rPr>
                <w:lang w:val="en-GB"/>
              </w:rPr>
            </w:pPr>
            <w:r>
              <w:rPr>
                <w:lang w:val="en-GB"/>
              </w:rPr>
              <w:t xml:space="preserve">Vienna Convention for the Protection of Ozone Layer </w:t>
            </w:r>
          </w:p>
          <w:p w14:paraId="21F7C416">
            <w:pPr>
              <w:pStyle w:val="115"/>
              <w:rPr>
                <w:lang w:val="en-GB"/>
              </w:rPr>
            </w:pPr>
            <w:r>
              <w:rPr>
                <w:lang w:val="en-GB"/>
              </w:rPr>
              <w:t xml:space="preserve">Convention on Biological Diversity (1992) </w:t>
            </w:r>
          </w:p>
          <w:p w14:paraId="392A45FA">
            <w:pPr>
              <w:pStyle w:val="115"/>
              <w:rPr>
                <w:lang w:val="en-GB"/>
              </w:rPr>
            </w:pPr>
            <w:r>
              <w:rPr>
                <w:lang w:val="en-GB"/>
              </w:rPr>
              <w:t xml:space="preserve">African Union- Agenda 2063 </w:t>
            </w:r>
          </w:p>
          <w:p w14:paraId="25CB5453">
            <w:pPr>
              <w:pStyle w:val="115"/>
              <w:rPr>
                <w:lang w:val="en-GB"/>
              </w:rPr>
            </w:pPr>
            <w:r>
              <w:rPr>
                <w:lang w:val="en-GB"/>
              </w:rPr>
              <w:t>African Charter on the Rights and Welfare of the Child.</w:t>
            </w:r>
          </w:p>
          <w:p w14:paraId="046EB917">
            <w:pPr>
              <w:pStyle w:val="115"/>
              <w:rPr>
                <w:lang w:val="en-GB"/>
              </w:rPr>
            </w:pPr>
            <w:r>
              <w:rPr>
                <w:lang w:val="en-GB"/>
              </w:rPr>
              <w:t>Montreal Protocol on Substances that Deplete the Ozone Layer (1987)</w:t>
            </w:r>
          </w:p>
          <w:p w14:paraId="1994D705">
            <w:pPr>
              <w:pStyle w:val="115"/>
              <w:rPr>
                <w:lang w:val="en-GB"/>
              </w:rPr>
            </w:pPr>
          </w:p>
        </w:tc>
      </w:tr>
    </w:tbl>
    <w:p w14:paraId="72D37ADC">
      <w:pPr>
        <w:pStyle w:val="3"/>
        <w:sectPr>
          <w:headerReference r:id="rId17" w:type="default"/>
          <w:pgSz w:w="16838" w:h="11906" w:orient="landscape"/>
          <w:pgMar w:top="1440" w:right="1440" w:bottom="1440" w:left="1440" w:header="708" w:footer="708" w:gutter="0"/>
          <w:pgNumType w:fmt="lowerRoman"/>
          <w:cols w:space="708" w:num="1"/>
          <w:docGrid w:linePitch="360" w:charSpace="0"/>
        </w:sectPr>
      </w:pPr>
    </w:p>
    <w:p w14:paraId="1DDCC4F8">
      <w:pPr>
        <w:pStyle w:val="3"/>
      </w:pPr>
      <w:bookmarkStart w:id="34" w:name="_Toc179904017"/>
      <w:r>
        <w:t xml:space="preserve">ES 9: </w:t>
      </w:r>
      <w:r>
        <w:tab/>
      </w:r>
      <w:r>
        <w:t>Public Participation and Stakeholder Engagement</w:t>
      </w:r>
      <w:bookmarkEnd w:id="34"/>
    </w:p>
    <w:p w14:paraId="601F8A91">
      <w:pPr>
        <w:tabs>
          <w:tab w:val="left" w:pos="709"/>
        </w:tabs>
        <w:spacing w:line="240" w:lineRule="auto"/>
        <w:ind w:left="709"/>
        <w:jc w:val="both"/>
        <w:rPr>
          <w:rFonts w:cs="Times New Roman"/>
        </w:rPr>
      </w:pPr>
      <w:r>
        <w:rPr>
          <w:rFonts w:cs="Times New Roman"/>
        </w:rPr>
        <w:t xml:space="preserve">The assessment involved consultations with relevant stakeholders in target Project area as per social assessment requirements of cultural appropriateness and FPIC.   </w:t>
      </w:r>
    </w:p>
    <w:tbl>
      <w:tblPr>
        <w:tblStyle w:val="12"/>
        <w:tblW w:w="4610" w:type="pct"/>
        <w:tblInd w:w="70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0" w:type="dxa"/>
          <w:bottom w:w="0" w:type="dxa"/>
          <w:right w:w="0" w:type="dxa"/>
        </w:tblCellMar>
      </w:tblPr>
      <w:tblGrid>
        <w:gridCol w:w="949"/>
        <w:gridCol w:w="1339"/>
        <w:gridCol w:w="3075"/>
        <w:gridCol w:w="1484"/>
        <w:gridCol w:w="1484"/>
      </w:tblGrid>
      <w:tr w14:paraId="2C9C67E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trPr>
        <w:tc>
          <w:tcPr>
            <w:tcW w:w="488" w:type="pct"/>
          </w:tcPr>
          <w:p w14:paraId="3513CD12">
            <w:pPr>
              <w:pStyle w:val="124"/>
              <w:tabs>
                <w:tab w:val="left" w:pos="709"/>
              </w:tabs>
              <w:ind w:left="107" w:right="270"/>
              <w:jc w:val="both"/>
              <w:rPr>
                <w:rFonts w:ascii="Arial Narrow" w:hAnsi="Arial Narrow" w:cs="Times New Roman"/>
                <w:b/>
              </w:rPr>
            </w:pPr>
            <w:r>
              <w:rPr>
                <w:rFonts w:ascii="Arial Narrow" w:hAnsi="Arial Narrow" w:cs="Times New Roman"/>
                <w:b/>
              </w:rPr>
              <w:t>Date</w:t>
            </w:r>
          </w:p>
        </w:tc>
        <w:tc>
          <w:tcPr>
            <w:tcW w:w="824" w:type="pct"/>
          </w:tcPr>
          <w:p w14:paraId="53AEF0B2">
            <w:pPr>
              <w:pStyle w:val="124"/>
              <w:tabs>
                <w:tab w:val="left" w:pos="709"/>
              </w:tabs>
              <w:ind w:left="105" w:right="270"/>
              <w:jc w:val="both"/>
              <w:rPr>
                <w:rFonts w:ascii="Arial Narrow" w:hAnsi="Arial Narrow" w:cs="Times New Roman"/>
                <w:b/>
              </w:rPr>
            </w:pPr>
            <w:r>
              <w:rPr>
                <w:rFonts w:ascii="Arial Narrow" w:hAnsi="Arial Narrow" w:cs="Times New Roman"/>
                <w:b/>
              </w:rPr>
              <w:t>Meeting</w:t>
            </w:r>
            <w:r>
              <w:rPr>
                <w:rFonts w:ascii="Arial Narrow" w:hAnsi="Arial Narrow" w:cs="Times New Roman"/>
                <w:b/>
                <w:spacing w:val="-1"/>
              </w:rPr>
              <w:t xml:space="preserve"> </w:t>
            </w:r>
            <w:r>
              <w:rPr>
                <w:rFonts w:ascii="Arial Narrow" w:hAnsi="Arial Narrow" w:cs="Times New Roman"/>
                <w:b/>
              </w:rPr>
              <w:t>Venue</w:t>
            </w:r>
          </w:p>
        </w:tc>
        <w:tc>
          <w:tcPr>
            <w:tcW w:w="1866" w:type="pct"/>
          </w:tcPr>
          <w:p w14:paraId="7954CF9A">
            <w:pPr>
              <w:pStyle w:val="124"/>
              <w:tabs>
                <w:tab w:val="left" w:pos="709"/>
              </w:tabs>
              <w:ind w:left="107" w:right="270"/>
              <w:jc w:val="both"/>
              <w:rPr>
                <w:rFonts w:ascii="Arial Narrow" w:hAnsi="Arial Narrow" w:cs="Times New Roman"/>
                <w:b/>
              </w:rPr>
            </w:pPr>
            <w:r>
              <w:rPr>
                <w:rFonts w:ascii="Arial Narrow" w:hAnsi="Arial Narrow" w:cs="Times New Roman"/>
                <w:b/>
              </w:rPr>
              <w:t>Stakeholder</w:t>
            </w:r>
            <w:r>
              <w:rPr>
                <w:rFonts w:ascii="Arial Narrow" w:hAnsi="Arial Narrow" w:cs="Times New Roman"/>
                <w:b/>
                <w:spacing w:val="-1"/>
              </w:rPr>
              <w:t xml:space="preserve"> </w:t>
            </w:r>
            <w:r>
              <w:rPr>
                <w:rFonts w:ascii="Arial Narrow" w:hAnsi="Arial Narrow" w:cs="Times New Roman"/>
                <w:b/>
              </w:rPr>
              <w:t>Consulted</w:t>
            </w:r>
          </w:p>
        </w:tc>
        <w:tc>
          <w:tcPr>
            <w:tcW w:w="911" w:type="pct"/>
          </w:tcPr>
          <w:p w14:paraId="45AD3936">
            <w:pPr>
              <w:pStyle w:val="124"/>
              <w:tabs>
                <w:tab w:val="left" w:pos="709"/>
              </w:tabs>
              <w:ind w:left="107" w:right="270"/>
              <w:jc w:val="both"/>
              <w:rPr>
                <w:rFonts w:ascii="Arial Narrow" w:hAnsi="Arial Narrow" w:cs="Times New Roman"/>
                <w:b/>
              </w:rPr>
            </w:pPr>
            <w:r>
              <w:rPr>
                <w:rFonts w:ascii="Arial Narrow" w:hAnsi="Arial Narrow" w:cs="Times New Roman"/>
                <w:b/>
              </w:rPr>
              <w:t>Number of</w:t>
            </w:r>
            <w:r>
              <w:rPr>
                <w:rFonts w:ascii="Arial Narrow" w:hAnsi="Arial Narrow" w:cs="Times New Roman"/>
                <w:b/>
                <w:spacing w:val="1"/>
              </w:rPr>
              <w:t xml:space="preserve"> </w:t>
            </w:r>
            <w:r>
              <w:rPr>
                <w:rFonts w:ascii="Arial Narrow" w:hAnsi="Arial Narrow" w:cs="Times New Roman"/>
                <w:b/>
              </w:rPr>
              <w:t>Meeting</w:t>
            </w:r>
            <w:r>
              <w:rPr>
                <w:rFonts w:ascii="Arial Narrow" w:hAnsi="Arial Narrow" w:cs="Times New Roman"/>
                <w:b/>
                <w:spacing w:val="1"/>
              </w:rPr>
              <w:t xml:space="preserve"> </w:t>
            </w:r>
            <w:r>
              <w:rPr>
                <w:rFonts w:ascii="Arial Narrow" w:hAnsi="Arial Narrow" w:cs="Times New Roman"/>
                <w:b/>
              </w:rPr>
              <w:t>Attendance</w:t>
            </w:r>
          </w:p>
        </w:tc>
        <w:tc>
          <w:tcPr>
            <w:tcW w:w="911" w:type="pct"/>
          </w:tcPr>
          <w:p w14:paraId="2178A69C">
            <w:pPr>
              <w:pStyle w:val="124"/>
              <w:tabs>
                <w:tab w:val="left" w:pos="709"/>
              </w:tabs>
              <w:ind w:left="107" w:right="270"/>
              <w:jc w:val="both"/>
              <w:rPr>
                <w:rFonts w:ascii="Arial Narrow" w:hAnsi="Arial Narrow" w:cs="Times New Roman"/>
                <w:b/>
              </w:rPr>
            </w:pPr>
            <w:r>
              <w:rPr>
                <w:rFonts w:ascii="Arial Narrow" w:hAnsi="Arial Narrow" w:cs="Times New Roman"/>
                <w:b/>
              </w:rPr>
              <w:t>Gender</w:t>
            </w:r>
          </w:p>
        </w:tc>
      </w:tr>
      <w:tr w14:paraId="51AC6C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71" w:hRule="atLeast"/>
        </w:trPr>
        <w:tc>
          <w:tcPr>
            <w:tcW w:w="488" w:type="pct"/>
          </w:tcPr>
          <w:p w14:paraId="074B7386">
            <w:pPr>
              <w:pStyle w:val="124"/>
              <w:tabs>
                <w:tab w:val="left" w:pos="709"/>
              </w:tabs>
              <w:ind w:left="107" w:right="270"/>
              <w:jc w:val="both"/>
              <w:rPr>
                <w:rFonts w:ascii="Arial Narrow" w:hAnsi="Arial Narrow" w:cs="Times New Roman"/>
              </w:rPr>
            </w:pPr>
            <w:r>
              <w:rPr>
                <w:rFonts w:ascii="Arial Narrow" w:hAnsi="Arial Narrow" w:cs="Times New Roman"/>
              </w:rPr>
              <w:t>31st July 2024</w:t>
            </w:r>
          </w:p>
        </w:tc>
        <w:tc>
          <w:tcPr>
            <w:tcW w:w="824" w:type="pct"/>
          </w:tcPr>
          <w:p w14:paraId="749B844A">
            <w:pPr>
              <w:pStyle w:val="124"/>
              <w:tabs>
                <w:tab w:val="left" w:pos="709"/>
              </w:tabs>
              <w:ind w:left="105" w:right="270"/>
              <w:jc w:val="both"/>
              <w:rPr>
                <w:rFonts w:ascii="Arial Narrow" w:hAnsi="Arial Narrow" w:cs="Times New Roman"/>
              </w:rPr>
            </w:pPr>
            <w:r>
              <w:rPr>
                <w:rFonts w:ascii="Arial Narrow" w:hAnsi="Arial Narrow" w:cs="Times New Roman"/>
              </w:rPr>
              <w:t>Midpoint Coffee House</w:t>
            </w:r>
          </w:p>
        </w:tc>
        <w:tc>
          <w:tcPr>
            <w:tcW w:w="1866" w:type="pct"/>
          </w:tcPr>
          <w:p w14:paraId="0D2EF5F5">
            <w:pPr>
              <w:pStyle w:val="124"/>
              <w:tabs>
                <w:tab w:val="left" w:pos="709"/>
              </w:tabs>
              <w:ind w:right="270"/>
              <w:jc w:val="both"/>
              <w:rPr>
                <w:rFonts w:ascii="Arial Narrow" w:hAnsi="Arial Narrow" w:cs="Times New Roman"/>
              </w:rPr>
            </w:pPr>
            <w:r>
              <w:rPr>
                <w:rFonts w:ascii="Arial Narrow" w:hAnsi="Arial Narrow" w:cs="Times New Roman"/>
              </w:rPr>
              <w:t>Wajir Water and Sewerage Company (WAJWASCO).</w:t>
            </w:r>
          </w:p>
          <w:p w14:paraId="5D9E8135">
            <w:pPr>
              <w:pStyle w:val="124"/>
              <w:tabs>
                <w:tab w:val="left" w:pos="709"/>
              </w:tabs>
              <w:ind w:right="270"/>
              <w:jc w:val="both"/>
              <w:rPr>
                <w:rFonts w:ascii="Arial Narrow" w:hAnsi="Arial Narrow" w:cs="Times New Roman"/>
              </w:rPr>
            </w:pPr>
            <w:r>
              <w:rPr>
                <w:rFonts w:ascii="Arial Narrow" w:hAnsi="Arial Narrow" w:cs="Times New Roman"/>
              </w:rPr>
              <w:t>Director, National Drought Management Authority</w:t>
            </w:r>
          </w:p>
          <w:p w14:paraId="24CFB9DA">
            <w:pPr>
              <w:pStyle w:val="124"/>
              <w:tabs>
                <w:tab w:val="left" w:pos="709"/>
              </w:tabs>
              <w:ind w:right="270"/>
              <w:jc w:val="both"/>
              <w:rPr>
                <w:rFonts w:ascii="Arial Narrow" w:hAnsi="Arial Narrow" w:cs="Times New Roman"/>
              </w:rPr>
            </w:pPr>
            <w:r>
              <w:rPr>
                <w:rFonts w:ascii="Arial Narrow" w:hAnsi="Arial Narrow" w:cs="Times New Roman"/>
              </w:rPr>
              <w:t>CEC Education</w:t>
            </w:r>
          </w:p>
          <w:p w14:paraId="5019B3BD">
            <w:pPr>
              <w:pStyle w:val="124"/>
              <w:tabs>
                <w:tab w:val="left" w:pos="709"/>
              </w:tabs>
              <w:ind w:right="270"/>
              <w:jc w:val="both"/>
              <w:rPr>
                <w:rFonts w:ascii="Arial Narrow" w:hAnsi="Arial Narrow" w:cs="Times New Roman"/>
              </w:rPr>
            </w:pPr>
            <w:r>
              <w:rPr>
                <w:rFonts w:ascii="Arial Narrow" w:hAnsi="Arial Narrow" w:cs="Times New Roman"/>
              </w:rPr>
              <w:t>CEC Public Health</w:t>
            </w:r>
          </w:p>
          <w:p w14:paraId="051147CF">
            <w:pPr>
              <w:pStyle w:val="124"/>
              <w:tabs>
                <w:tab w:val="left" w:pos="709"/>
              </w:tabs>
              <w:ind w:right="270"/>
              <w:jc w:val="both"/>
              <w:rPr>
                <w:rFonts w:ascii="Arial Narrow" w:hAnsi="Arial Narrow" w:cs="Times New Roman"/>
              </w:rPr>
            </w:pPr>
            <w:r>
              <w:rPr>
                <w:rFonts w:ascii="Arial Narrow" w:hAnsi="Arial Narrow" w:cs="Times New Roman"/>
              </w:rPr>
              <w:t>CEC Lands and physical planning</w:t>
            </w:r>
          </w:p>
          <w:p w14:paraId="02FC8421">
            <w:pPr>
              <w:pStyle w:val="124"/>
              <w:tabs>
                <w:tab w:val="left" w:pos="709"/>
              </w:tabs>
              <w:ind w:right="270"/>
              <w:jc w:val="both"/>
              <w:rPr>
                <w:rFonts w:ascii="Arial Narrow" w:hAnsi="Arial Narrow" w:cs="Times New Roman"/>
              </w:rPr>
            </w:pPr>
            <w:r>
              <w:rPr>
                <w:rFonts w:ascii="Arial Narrow" w:hAnsi="Arial Narrow" w:cs="Times New Roman"/>
              </w:rPr>
              <w:t>CEC Water and sanitation</w:t>
            </w:r>
          </w:p>
          <w:p w14:paraId="2C6594BF">
            <w:pPr>
              <w:pStyle w:val="124"/>
              <w:tabs>
                <w:tab w:val="left" w:pos="709"/>
              </w:tabs>
              <w:ind w:right="270"/>
              <w:jc w:val="both"/>
              <w:rPr>
                <w:rFonts w:ascii="Arial Narrow" w:hAnsi="Arial Narrow" w:cs="Times New Roman"/>
              </w:rPr>
            </w:pPr>
            <w:r>
              <w:rPr>
                <w:rFonts w:ascii="Arial Narrow" w:hAnsi="Arial Narrow" w:cs="Times New Roman"/>
              </w:rPr>
              <w:t xml:space="preserve">Religious leaders </w:t>
            </w:r>
          </w:p>
          <w:p w14:paraId="5008240D">
            <w:pPr>
              <w:pStyle w:val="124"/>
              <w:tabs>
                <w:tab w:val="left" w:pos="709"/>
              </w:tabs>
              <w:ind w:right="270"/>
              <w:jc w:val="both"/>
              <w:rPr>
                <w:rFonts w:ascii="Arial Narrow" w:hAnsi="Arial Narrow" w:cs="Times New Roman"/>
              </w:rPr>
            </w:pPr>
            <w:r>
              <w:rPr>
                <w:rFonts w:ascii="Arial Narrow" w:hAnsi="Arial Narrow" w:cs="Times New Roman"/>
              </w:rPr>
              <w:t>Local Government and administration</w:t>
            </w:r>
          </w:p>
          <w:p w14:paraId="635BEE32">
            <w:pPr>
              <w:pStyle w:val="124"/>
              <w:tabs>
                <w:tab w:val="left" w:pos="709"/>
              </w:tabs>
              <w:ind w:right="270"/>
              <w:jc w:val="both"/>
              <w:rPr>
                <w:rFonts w:ascii="Arial Narrow" w:hAnsi="Arial Narrow" w:cs="Times New Roman"/>
              </w:rPr>
            </w:pPr>
            <w:r>
              <w:rPr>
                <w:rFonts w:ascii="Arial Narrow" w:hAnsi="Arial Narrow" w:cs="Times New Roman"/>
              </w:rPr>
              <w:t>Wajir Municipality director</w:t>
            </w:r>
          </w:p>
          <w:p w14:paraId="58CDEE72">
            <w:pPr>
              <w:pStyle w:val="124"/>
              <w:tabs>
                <w:tab w:val="left" w:pos="709"/>
              </w:tabs>
              <w:ind w:right="270"/>
              <w:jc w:val="both"/>
              <w:rPr>
                <w:rFonts w:ascii="Arial Narrow" w:hAnsi="Arial Narrow" w:cs="Times New Roman"/>
              </w:rPr>
            </w:pPr>
            <w:r>
              <w:rPr>
                <w:rFonts w:ascii="Arial Narrow" w:hAnsi="Arial Narrow" w:cs="Times New Roman"/>
              </w:rPr>
              <w:t>County Commissioner</w:t>
            </w:r>
          </w:p>
          <w:p w14:paraId="6F417609">
            <w:pPr>
              <w:pStyle w:val="124"/>
              <w:tabs>
                <w:tab w:val="left" w:pos="709"/>
              </w:tabs>
              <w:ind w:right="270"/>
              <w:jc w:val="both"/>
              <w:rPr>
                <w:rFonts w:ascii="Arial Narrow" w:hAnsi="Arial Narrow" w:cs="Times New Roman"/>
              </w:rPr>
            </w:pPr>
            <w:r>
              <w:rPr>
                <w:rFonts w:ascii="Arial Narrow" w:hAnsi="Arial Narrow" w:cs="Times New Roman"/>
              </w:rPr>
              <w:t xml:space="preserve">Wajir County NEMA director </w:t>
            </w:r>
          </w:p>
          <w:p w14:paraId="3D5A2351">
            <w:pPr>
              <w:pStyle w:val="124"/>
              <w:tabs>
                <w:tab w:val="left" w:pos="709"/>
              </w:tabs>
              <w:ind w:right="270"/>
              <w:jc w:val="both"/>
              <w:rPr>
                <w:rFonts w:ascii="Arial Narrow" w:hAnsi="Arial Narrow" w:cs="Times New Roman"/>
              </w:rPr>
            </w:pPr>
            <w:r>
              <w:rPr>
                <w:rFonts w:ascii="Arial Narrow" w:hAnsi="Arial Narrow" w:cs="Times New Roman"/>
              </w:rPr>
              <w:t>Engineers??</w:t>
            </w:r>
          </w:p>
          <w:p w14:paraId="77130BD7">
            <w:pPr>
              <w:pStyle w:val="124"/>
              <w:tabs>
                <w:tab w:val="left" w:pos="709"/>
              </w:tabs>
              <w:ind w:right="270"/>
              <w:jc w:val="both"/>
              <w:rPr>
                <w:rFonts w:ascii="Arial Narrow" w:hAnsi="Arial Narrow" w:cs="Times New Roman"/>
              </w:rPr>
            </w:pPr>
            <w:r>
              <w:rPr>
                <w:rFonts w:ascii="Arial Narrow" w:hAnsi="Arial Narrow" w:cs="Times New Roman"/>
              </w:rPr>
              <w:t>KWS</w:t>
            </w:r>
          </w:p>
          <w:p w14:paraId="4609B191">
            <w:pPr>
              <w:pStyle w:val="124"/>
              <w:tabs>
                <w:tab w:val="left" w:pos="709"/>
              </w:tabs>
              <w:ind w:right="270"/>
              <w:jc w:val="both"/>
              <w:rPr>
                <w:rFonts w:ascii="Arial Narrow" w:hAnsi="Arial Narrow" w:cs="Times New Roman"/>
              </w:rPr>
            </w:pPr>
            <w:r>
              <w:rPr>
                <w:rFonts w:ascii="Arial Narrow" w:hAnsi="Arial Narrow" w:cs="Times New Roman"/>
              </w:rPr>
              <w:t>KFS</w:t>
            </w:r>
          </w:p>
        </w:tc>
        <w:tc>
          <w:tcPr>
            <w:tcW w:w="911" w:type="pct"/>
          </w:tcPr>
          <w:p w14:paraId="7CEDEB07">
            <w:pPr>
              <w:pStyle w:val="124"/>
              <w:tabs>
                <w:tab w:val="left" w:pos="709"/>
              </w:tabs>
              <w:ind w:left="107" w:right="270"/>
              <w:jc w:val="both"/>
              <w:rPr>
                <w:rFonts w:ascii="Arial Narrow" w:hAnsi="Arial Narrow" w:cs="Times New Roman"/>
              </w:rPr>
            </w:pPr>
            <w:r>
              <w:rPr>
                <w:rFonts w:ascii="Arial Narrow" w:hAnsi="Arial Narrow" w:cs="Times New Roman"/>
              </w:rPr>
              <w:t>31</w:t>
            </w:r>
          </w:p>
        </w:tc>
        <w:tc>
          <w:tcPr>
            <w:tcW w:w="911" w:type="pct"/>
          </w:tcPr>
          <w:p w14:paraId="4E5E6633">
            <w:pPr>
              <w:pStyle w:val="124"/>
              <w:tabs>
                <w:tab w:val="left" w:pos="709"/>
              </w:tabs>
              <w:ind w:left="107" w:right="270"/>
              <w:jc w:val="both"/>
              <w:rPr>
                <w:rFonts w:ascii="Arial Narrow" w:hAnsi="Arial Narrow" w:cs="Times New Roman"/>
              </w:rPr>
            </w:pPr>
            <w:r>
              <w:rPr>
                <w:rFonts w:ascii="Arial Narrow" w:hAnsi="Arial Narrow" w:cs="Times New Roman"/>
              </w:rPr>
              <w:t>Male: 21</w:t>
            </w:r>
          </w:p>
          <w:p w14:paraId="168399B5">
            <w:pPr>
              <w:pStyle w:val="124"/>
              <w:tabs>
                <w:tab w:val="left" w:pos="709"/>
              </w:tabs>
              <w:ind w:left="107" w:right="270"/>
              <w:jc w:val="both"/>
              <w:rPr>
                <w:rFonts w:ascii="Arial Narrow" w:hAnsi="Arial Narrow" w:cs="Times New Roman"/>
              </w:rPr>
            </w:pPr>
            <w:r>
              <w:rPr>
                <w:rFonts w:ascii="Arial Narrow" w:hAnsi="Arial Narrow" w:cs="Times New Roman"/>
              </w:rPr>
              <w:t>Female: 10</w:t>
            </w:r>
          </w:p>
        </w:tc>
      </w:tr>
      <w:tr w14:paraId="0ABF3D6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62" w:hRule="atLeast"/>
        </w:trPr>
        <w:tc>
          <w:tcPr>
            <w:tcW w:w="488" w:type="pct"/>
          </w:tcPr>
          <w:p w14:paraId="5ED6C937">
            <w:pPr>
              <w:pStyle w:val="124"/>
              <w:tabs>
                <w:tab w:val="left" w:pos="709"/>
              </w:tabs>
              <w:ind w:left="107" w:right="270"/>
              <w:jc w:val="both"/>
              <w:rPr>
                <w:rFonts w:ascii="Arial Narrow" w:hAnsi="Arial Narrow" w:cs="Times New Roman"/>
              </w:rPr>
            </w:pPr>
            <w:r>
              <w:rPr>
                <w:rFonts w:ascii="Arial Narrow" w:hAnsi="Arial Narrow" w:cs="Times New Roman"/>
              </w:rPr>
              <w:t>1st August 2024</w:t>
            </w:r>
          </w:p>
        </w:tc>
        <w:tc>
          <w:tcPr>
            <w:tcW w:w="824" w:type="pct"/>
          </w:tcPr>
          <w:p w14:paraId="70F22D87">
            <w:pPr>
              <w:pStyle w:val="124"/>
              <w:tabs>
                <w:tab w:val="left" w:pos="709"/>
              </w:tabs>
              <w:ind w:left="105" w:right="270"/>
              <w:jc w:val="both"/>
              <w:rPr>
                <w:rFonts w:ascii="Arial Narrow" w:hAnsi="Arial Narrow" w:cs="Times New Roman"/>
              </w:rPr>
            </w:pPr>
            <w:r>
              <w:rPr>
                <w:rFonts w:ascii="Arial Narrow" w:hAnsi="Arial Narrow" w:cs="Times New Roman"/>
              </w:rPr>
              <w:t>Midpoint Coffee House</w:t>
            </w:r>
          </w:p>
        </w:tc>
        <w:tc>
          <w:tcPr>
            <w:tcW w:w="1866" w:type="pct"/>
          </w:tcPr>
          <w:p w14:paraId="15C97920">
            <w:pPr>
              <w:pStyle w:val="124"/>
              <w:tabs>
                <w:tab w:val="left" w:pos="709"/>
              </w:tabs>
              <w:ind w:right="270"/>
              <w:jc w:val="both"/>
              <w:rPr>
                <w:rFonts w:ascii="Arial Narrow" w:hAnsi="Arial Narrow" w:eastAsia="Times New Roman" w:cs="Times New Roman"/>
              </w:rPr>
            </w:pPr>
            <w:r>
              <w:rPr>
                <w:rFonts w:ascii="Arial Narrow" w:hAnsi="Arial Narrow" w:eastAsia="Times New Roman" w:cs="Times New Roman"/>
              </w:rPr>
              <w:t>Chief and locals of Alimaow and Furaha villages</w:t>
            </w:r>
          </w:p>
          <w:p w14:paraId="6D387572">
            <w:pPr>
              <w:pStyle w:val="124"/>
              <w:tabs>
                <w:tab w:val="left" w:pos="709"/>
              </w:tabs>
              <w:ind w:right="270"/>
              <w:jc w:val="both"/>
              <w:rPr>
                <w:rFonts w:ascii="Arial Narrow" w:hAnsi="Arial Narrow" w:eastAsia="Times New Roman" w:cs="Times New Roman"/>
              </w:rPr>
            </w:pPr>
            <w:r>
              <w:rPr>
                <w:rFonts w:ascii="Arial Narrow" w:hAnsi="Arial Narrow" w:eastAsia="Times New Roman" w:cs="Times New Roman"/>
              </w:rPr>
              <w:t>CEC Education</w:t>
            </w:r>
          </w:p>
          <w:p w14:paraId="29FE98CA">
            <w:pPr>
              <w:pStyle w:val="124"/>
              <w:tabs>
                <w:tab w:val="left" w:pos="709"/>
              </w:tabs>
              <w:ind w:right="270"/>
              <w:jc w:val="both"/>
              <w:rPr>
                <w:rFonts w:ascii="Arial Narrow" w:hAnsi="Arial Narrow" w:eastAsia="Times New Roman" w:cs="Times New Roman"/>
              </w:rPr>
            </w:pPr>
            <w:r>
              <w:rPr>
                <w:rFonts w:ascii="Arial Narrow" w:hAnsi="Arial Narrow" w:eastAsia="Times New Roman" w:cs="Times New Roman"/>
              </w:rPr>
              <w:t>WAJWASCO</w:t>
            </w:r>
          </w:p>
        </w:tc>
        <w:tc>
          <w:tcPr>
            <w:tcW w:w="911" w:type="pct"/>
          </w:tcPr>
          <w:p w14:paraId="57C8ABE4">
            <w:pPr>
              <w:pStyle w:val="124"/>
              <w:tabs>
                <w:tab w:val="left" w:pos="709"/>
              </w:tabs>
              <w:ind w:left="107" w:right="270"/>
              <w:jc w:val="both"/>
              <w:rPr>
                <w:rFonts w:ascii="Arial Narrow" w:hAnsi="Arial Narrow" w:cs="Times New Roman"/>
              </w:rPr>
            </w:pPr>
            <w:r>
              <w:rPr>
                <w:rFonts w:ascii="Arial Narrow" w:hAnsi="Arial Narrow" w:cs="Times New Roman"/>
              </w:rPr>
              <w:t>30-Alimaow</w:t>
            </w:r>
          </w:p>
          <w:p w14:paraId="27385952">
            <w:pPr>
              <w:pStyle w:val="124"/>
              <w:tabs>
                <w:tab w:val="left" w:pos="709"/>
              </w:tabs>
              <w:ind w:left="107" w:right="270"/>
              <w:jc w:val="both"/>
              <w:rPr>
                <w:rFonts w:ascii="Arial Narrow" w:hAnsi="Arial Narrow" w:cs="Times New Roman"/>
              </w:rPr>
            </w:pPr>
            <w:r>
              <w:rPr>
                <w:rFonts w:ascii="Arial Narrow" w:hAnsi="Arial Narrow" w:cs="Times New Roman"/>
              </w:rPr>
              <w:t>30-Furaha</w:t>
            </w:r>
          </w:p>
        </w:tc>
        <w:tc>
          <w:tcPr>
            <w:tcW w:w="911" w:type="pct"/>
          </w:tcPr>
          <w:p w14:paraId="37C773C2">
            <w:pPr>
              <w:pStyle w:val="124"/>
              <w:tabs>
                <w:tab w:val="left" w:pos="709"/>
              </w:tabs>
              <w:ind w:left="107" w:right="270"/>
              <w:jc w:val="both"/>
              <w:rPr>
                <w:rFonts w:ascii="Arial Narrow" w:hAnsi="Arial Narrow" w:cs="Times New Roman"/>
              </w:rPr>
            </w:pPr>
            <w:r>
              <w:rPr>
                <w:rFonts w:ascii="Arial Narrow" w:hAnsi="Arial Narrow" w:cs="Times New Roman"/>
              </w:rPr>
              <w:t>Male 50</w:t>
            </w:r>
          </w:p>
          <w:p w14:paraId="79B0B290">
            <w:pPr>
              <w:pStyle w:val="124"/>
              <w:tabs>
                <w:tab w:val="left" w:pos="709"/>
              </w:tabs>
              <w:ind w:left="107" w:right="270"/>
              <w:jc w:val="both"/>
              <w:rPr>
                <w:rFonts w:ascii="Arial Narrow" w:hAnsi="Arial Narrow" w:cs="Times New Roman"/>
              </w:rPr>
            </w:pPr>
            <w:r>
              <w:rPr>
                <w:rFonts w:ascii="Arial Narrow" w:hAnsi="Arial Narrow" w:cs="Times New Roman"/>
              </w:rPr>
              <w:t>Female 10</w:t>
            </w:r>
          </w:p>
        </w:tc>
      </w:tr>
    </w:tbl>
    <w:p w14:paraId="65A30190">
      <w:pPr>
        <w:pStyle w:val="23"/>
      </w:pPr>
      <w:r>
        <w:t>Summary of Stakeholder Consultation Issues</w:t>
      </w:r>
    </w:p>
    <w:tbl>
      <w:tblPr>
        <w:tblStyle w:val="86"/>
        <w:tblW w:w="8805" w:type="dxa"/>
        <w:tblInd w:w="5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7"/>
        <w:gridCol w:w="3737"/>
        <w:gridCol w:w="4561"/>
      </w:tblGrid>
      <w:tr w14:paraId="060BD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40" w:type="dxa"/>
            <w:shd w:val="clear" w:color="auto" w:fill="70AD47" w:themeFill="accent6"/>
          </w:tcPr>
          <w:p w14:paraId="397FE228">
            <w:pPr>
              <w:tabs>
                <w:tab w:val="left" w:pos="709"/>
              </w:tabs>
              <w:spacing w:before="100" w:beforeAutospacing="1" w:after="100" w:afterAutospacing="1" w:line="240" w:lineRule="auto"/>
              <w:jc w:val="both"/>
              <w:rPr>
                <w:rFonts w:cstheme="minorHAnsi"/>
                <w:b/>
              </w:rPr>
            </w:pPr>
            <w:r>
              <w:rPr>
                <w:rFonts w:cstheme="minorHAnsi"/>
                <w:b/>
              </w:rPr>
              <w:t>S No.</w:t>
            </w:r>
          </w:p>
        </w:tc>
        <w:tc>
          <w:tcPr>
            <w:tcW w:w="3833" w:type="dxa"/>
            <w:shd w:val="clear" w:color="auto" w:fill="70AD47" w:themeFill="accent6"/>
          </w:tcPr>
          <w:p w14:paraId="7A13E122">
            <w:pPr>
              <w:tabs>
                <w:tab w:val="left" w:pos="709"/>
              </w:tabs>
              <w:spacing w:before="100" w:beforeAutospacing="1" w:after="100" w:afterAutospacing="1" w:line="240" w:lineRule="auto"/>
              <w:jc w:val="both"/>
              <w:rPr>
                <w:rFonts w:cstheme="minorHAnsi"/>
                <w:b/>
              </w:rPr>
            </w:pPr>
            <w:r>
              <w:rPr>
                <w:rFonts w:cstheme="minorHAnsi"/>
                <w:b/>
              </w:rPr>
              <w:t>Concern/Comment/Question</w:t>
            </w:r>
          </w:p>
        </w:tc>
        <w:tc>
          <w:tcPr>
            <w:tcW w:w="4732" w:type="dxa"/>
            <w:shd w:val="clear" w:color="auto" w:fill="70AD47" w:themeFill="accent6"/>
          </w:tcPr>
          <w:p w14:paraId="67B0D5ED">
            <w:pPr>
              <w:tabs>
                <w:tab w:val="left" w:pos="709"/>
              </w:tabs>
              <w:spacing w:before="100" w:beforeAutospacing="1" w:after="100" w:afterAutospacing="1" w:line="240" w:lineRule="auto"/>
              <w:jc w:val="both"/>
              <w:rPr>
                <w:rFonts w:cstheme="minorHAnsi"/>
                <w:b/>
              </w:rPr>
            </w:pPr>
            <w:r>
              <w:rPr>
                <w:rFonts w:cstheme="minorHAnsi"/>
                <w:b/>
              </w:rPr>
              <w:t>Response/Recommendation</w:t>
            </w:r>
          </w:p>
        </w:tc>
      </w:tr>
      <w:tr w14:paraId="7BC90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74" w:hRule="atLeast"/>
        </w:trPr>
        <w:tc>
          <w:tcPr>
            <w:tcW w:w="240" w:type="dxa"/>
          </w:tcPr>
          <w:p w14:paraId="0FA820D3">
            <w:pPr>
              <w:tabs>
                <w:tab w:val="left" w:pos="709"/>
              </w:tabs>
              <w:spacing w:before="100" w:beforeAutospacing="1" w:after="100" w:afterAutospacing="1" w:line="240" w:lineRule="auto"/>
              <w:jc w:val="both"/>
              <w:rPr>
                <w:rFonts w:cstheme="minorHAnsi"/>
              </w:rPr>
            </w:pPr>
            <w:r>
              <w:rPr>
                <w:rFonts w:cstheme="minorHAnsi"/>
              </w:rPr>
              <w:t>1</w:t>
            </w:r>
          </w:p>
        </w:tc>
        <w:tc>
          <w:tcPr>
            <w:tcW w:w="3833" w:type="dxa"/>
          </w:tcPr>
          <w:p w14:paraId="3FFFE863">
            <w:pPr>
              <w:tabs>
                <w:tab w:val="left" w:pos="709"/>
              </w:tabs>
              <w:spacing w:before="100" w:beforeAutospacing="1" w:after="100" w:afterAutospacing="1" w:line="240" w:lineRule="auto"/>
              <w:jc w:val="both"/>
              <w:rPr>
                <w:rFonts w:cstheme="minorHAnsi"/>
              </w:rPr>
            </w:pPr>
            <w:r>
              <w:rPr>
                <w:rFonts w:cstheme="minorHAnsi"/>
              </w:rPr>
              <w:t>Why shouldn’t the client do the sewer system that had been proposed initially?</w:t>
            </w:r>
          </w:p>
        </w:tc>
        <w:tc>
          <w:tcPr>
            <w:tcW w:w="4732" w:type="dxa"/>
          </w:tcPr>
          <w:p w14:paraId="5782FE79">
            <w:pPr>
              <w:tabs>
                <w:tab w:val="left" w:pos="709"/>
              </w:tabs>
              <w:spacing w:before="100" w:beforeAutospacing="1" w:after="100" w:afterAutospacing="1" w:line="240" w:lineRule="auto"/>
              <w:jc w:val="both"/>
              <w:rPr>
                <w:rFonts w:cstheme="minorHAnsi"/>
              </w:rPr>
            </w:pPr>
            <w:r>
              <w:rPr>
                <w:rFonts w:cstheme="minorHAnsi"/>
              </w:rPr>
              <w:t>The sewer system is not feasible given the area does not have sufficient water supply. Sewer systems can only operate in areas where there is a lot of water sufficient to push the wastes in the trunks.</w:t>
            </w:r>
          </w:p>
          <w:p w14:paraId="57693FFF">
            <w:pPr>
              <w:tabs>
                <w:tab w:val="left" w:pos="709"/>
              </w:tabs>
              <w:spacing w:before="100" w:beforeAutospacing="1" w:after="100" w:afterAutospacing="1" w:line="240" w:lineRule="auto"/>
              <w:jc w:val="both"/>
              <w:rPr>
                <w:rFonts w:cstheme="minorHAnsi"/>
              </w:rPr>
            </w:pPr>
            <w:r>
              <w:rPr>
                <w:rFonts w:cstheme="minorHAnsi"/>
              </w:rPr>
              <w:t>The area is also a flat plain, making it difficult for sewer system to operate as it is also dependent on gravity to enable the flow of the wastes down slope to the FSTP.</w:t>
            </w:r>
          </w:p>
        </w:tc>
      </w:tr>
      <w:tr w14:paraId="3F77D3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 w:type="dxa"/>
          </w:tcPr>
          <w:p w14:paraId="69A6E4AB">
            <w:pPr>
              <w:tabs>
                <w:tab w:val="left" w:pos="709"/>
              </w:tabs>
              <w:spacing w:before="100" w:beforeAutospacing="1" w:after="100" w:afterAutospacing="1" w:line="240" w:lineRule="auto"/>
              <w:jc w:val="both"/>
              <w:rPr>
                <w:rFonts w:cstheme="minorHAnsi"/>
              </w:rPr>
            </w:pPr>
            <w:r>
              <w:rPr>
                <w:rFonts w:cstheme="minorHAnsi"/>
              </w:rPr>
              <w:t>2</w:t>
            </w:r>
          </w:p>
        </w:tc>
        <w:tc>
          <w:tcPr>
            <w:tcW w:w="3833" w:type="dxa"/>
          </w:tcPr>
          <w:p w14:paraId="429F5FCB">
            <w:pPr>
              <w:tabs>
                <w:tab w:val="left" w:pos="709"/>
              </w:tabs>
              <w:spacing w:before="100" w:beforeAutospacing="1" w:after="100" w:afterAutospacing="1" w:line="240" w:lineRule="auto"/>
              <w:jc w:val="both"/>
              <w:rPr>
                <w:rFonts w:cstheme="minorHAnsi"/>
              </w:rPr>
            </w:pPr>
            <w:r>
              <w:rPr>
                <w:rFonts w:cstheme="minorHAnsi"/>
              </w:rPr>
              <w:t>Are there design methods that have been considered to mitigate the possible negative impacts of the plant, given it is a high risk, where there will be production of greenhouse gases in the ponds?</w:t>
            </w:r>
          </w:p>
        </w:tc>
        <w:tc>
          <w:tcPr>
            <w:tcW w:w="4732" w:type="dxa"/>
          </w:tcPr>
          <w:p w14:paraId="772AC942">
            <w:pPr>
              <w:tabs>
                <w:tab w:val="left" w:pos="709"/>
              </w:tabs>
              <w:spacing w:before="100" w:beforeAutospacing="1" w:after="100" w:afterAutospacing="1" w:line="240" w:lineRule="auto"/>
              <w:jc w:val="both"/>
              <w:rPr>
                <w:rFonts w:cstheme="minorHAnsi"/>
              </w:rPr>
            </w:pPr>
            <w:r>
              <w:rPr>
                <w:rFonts w:cstheme="minorHAnsi"/>
              </w:rPr>
              <w:t>Yes, there are engineers who are still designing the plant with operation and maintenance considered, and a final design report shall be shared and discussed.</w:t>
            </w:r>
          </w:p>
        </w:tc>
      </w:tr>
      <w:tr w14:paraId="162439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 w:type="dxa"/>
          </w:tcPr>
          <w:p w14:paraId="72E681BC">
            <w:pPr>
              <w:tabs>
                <w:tab w:val="left" w:pos="709"/>
              </w:tabs>
              <w:spacing w:before="100" w:beforeAutospacing="1" w:after="100" w:afterAutospacing="1" w:line="240" w:lineRule="auto"/>
              <w:jc w:val="both"/>
              <w:rPr>
                <w:rFonts w:cstheme="minorHAnsi"/>
              </w:rPr>
            </w:pPr>
            <w:r>
              <w:rPr>
                <w:rFonts w:cstheme="minorHAnsi"/>
              </w:rPr>
              <w:t>3</w:t>
            </w:r>
          </w:p>
        </w:tc>
        <w:tc>
          <w:tcPr>
            <w:tcW w:w="3833" w:type="dxa"/>
          </w:tcPr>
          <w:p w14:paraId="100C083B">
            <w:pPr>
              <w:tabs>
                <w:tab w:val="left" w:pos="709"/>
              </w:tabs>
              <w:spacing w:before="100" w:beforeAutospacing="1" w:after="100" w:afterAutospacing="1" w:line="240" w:lineRule="auto"/>
              <w:jc w:val="both"/>
              <w:rPr>
                <w:rFonts w:cstheme="minorHAnsi"/>
              </w:rPr>
            </w:pPr>
            <w:r>
              <w:rPr>
                <w:rFonts w:cstheme="minorHAnsi"/>
              </w:rPr>
              <w:t>With the existing court case on the management of the existing dumpsite, how is the client going to ensure it is handled to prevent conflicts with the locals</w:t>
            </w:r>
          </w:p>
        </w:tc>
        <w:tc>
          <w:tcPr>
            <w:tcW w:w="4732" w:type="dxa"/>
          </w:tcPr>
          <w:p w14:paraId="04453981">
            <w:pPr>
              <w:tabs>
                <w:tab w:val="left" w:pos="709"/>
              </w:tabs>
              <w:spacing w:before="100" w:beforeAutospacing="1" w:after="100" w:afterAutospacing="1" w:line="240" w:lineRule="auto"/>
              <w:jc w:val="both"/>
              <w:rPr>
                <w:rFonts w:cstheme="minorHAnsi"/>
              </w:rPr>
            </w:pPr>
            <w:r>
              <w:rPr>
                <w:rFonts w:cstheme="minorHAnsi"/>
              </w:rPr>
              <w:t>The client expressed his concern and said that he shall ensure every issue is addressed to enable the project progresses without fail for the better of the community and Wajir as a whole.</w:t>
            </w:r>
          </w:p>
          <w:p w14:paraId="6EBBAE5A">
            <w:pPr>
              <w:tabs>
                <w:tab w:val="left" w:pos="709"/>
              </w:tabs>
              <w:spacing w:before="100" w:beforeAutospacing="1" w:after="100" w:afterAutospacing="1" w:line="240" w:lineRule="auto"/>
              <w:jc w:val="both"/>
              <w:rPr>
                <w:rFonts w:cstheme="minorHAnsi"/>
              </w:rPr>
            </w:pPr>
            <w:r>
              <w:rPr>
                <w:rFonts w:cstheme="minorHAnsi"/>
              </w:rPr>
              <w:t>In order to ensure fair hearing, this question shall be anchored in the project SEP as an ongoing concern.</w:t>
            </w:r>
          </w:p>
          <w:p w14:paraId="311C9E25">
            <w:pPr>
              <w:tabs>
                <w:tab w:val="left" w:pos="709"/>
              </w:tabs>
              <w:spacing w:before="100" w:beforeAutospacing="1" w:after="100" w:afterAutospacing="1" w:line="240" w:lineRule="auto"/>
              <w:jc w:val="both"/>
              <w:rPr>
                <w:rFonts w:cstheme="minorHAnsi"/>
              </w:rPr>
            </w:pPr>
            <w:r>
              <w:rPr>
                <w:rFonts w:cstheme="minorHAnsi"/>
              </w:rPr>
              <w:t xml:space="preserve">The Court has issued Stay Orders on the case and allowed parties to remedy the situation at the Dumpsite. The Environmental &amp; Management Coordination Act that regulates the proceedings of Tribunal and Environmental Law Court provides an </w:t>
            </w:r>
            <w:r>
              <w:rPr>
                <w:rFonts w:cstheme="minorHAnsi"/>
                <w:b/>
                <w:bCs/>
              </w:rPr>
              <w:t>automatic stay</w:t>
            </w:r>
            <w:r>
              <w:rPr>
                <w:rFonts w:cstheme="minorHAnsi"/>
              </w:rPr>
              <w:t xml:space="preserve"> under section 130 which states the following;</w:t>
            </w:r>
            <w:r>
              <w:rPr>
                <w:rFonts w:cstheme="minorHAnsi"/>
                <w:i/>
                <w:iCs/>
              </w:rPr>
              <w:t xml:space="preserve"> No decision or order of the Tribunal shall be enforced until the time for lodging an appeal has expired or, where the appeal has been commenced, until the appeal has been determined. </w:t>
            </w:r>
          </w:p>
          <w:p w14:paraId="31EBB733">
            <w:pPr>
              <w:rPr>
                <w:rFonts w:cstheme="minorHAnsi"/>
              </w:rPr>
            </w:pPr>
            <w:r>
              <w:rPr>
                <w:rFonts w:cstheme="minorHAnsi"/>
              </w:rPr>
              <w:t>The Appeal has been allowed by the Environment and Court and a mention done. As of now one of the Petitioners out of the two who had filed the case has since withdrawn from the Petition and sent withdrawal to the Court email. </w:t>
            </w:r>
          </w:p>
          <w:p w14:paraId="38A46785">
            <w:pPr>
              <w:tabs>
                <w:tab w:val="left" w:pos="709"/>
              </w:tabs>
              <w:spacing w:before="100" w:beforeAutospacing="1" w:after="100" w:afterAutospacing="1" w:line="240" w:lineRule="auto"/>
              <w:jc w:val="both"/>
              <w:rPr>
                <w:rFonts w:cstheme="minorHAnsi"/>
              </w:rPr>
            </w:pPr>
            <w:r>
              <w:rPr>
                <w:rFonts w:cstheme="minorHAnsi"/>
              </w:rPr>
              <w:t>This Project is one of the definite actions that the County is taking in order to improve the site and ensure the site in question is managed well including access control, solid waste management and air-fouling.</w:t>
            </w:r>
          </w:p>
        </w:tc>
      </w:tr>
      <w:tr w14:paraId="58A3B8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 w:type="dxa"/>
          </w:tcPr>
          <w:p w14:paraId="06D0EB70">
            <w:pPr>
              <w:tabs>
                <w:tab w:val="left" w:pos="709"/>
              </w:tabs>
              <w:spacing w:before="100" w:beforeAutospacing="1" w:after="100" w:afterAutospacing="1" w:line="240" w:lineRule="auto"/>
              <w:jc w:val="both"/>
              <w:rPr>
                <w:rFonts w:cstheme="minorHAnsi"/>
              </w:rPr>
            </w:pPr>
            <w:r>
              <w:rPr>
                <w:rFonts w:cstheme="minorHAnsi"/>
              </w:rPr>
              <w:t>4</w:t>
            </w:r>
          </w:p>
        </w:tc>
        <w:tc>
          <w:tcPr>
            <w:tcW w:w="3833" w:type="dxa"/>
          </w:tcPr>
          <w:p w14:paraId="17E4E355">
            <w:pPr>
              <w:tabs>
                <w:tab w:val="left" w:pos="709"/>
              </w:tabs>
              <w:spacing w:before="100" w:beforeAutospacing="1" w:after="100" w:afterAutospacing="1" w:line="240" w:lineRule="auto"/>
              <w:jc w:val="both"/>
              <w:rPr>
                <w:rFonts w:cstheme="minorHAnsi"/>
              </w:rPr>
            </w:pPr>
            <w:r>
              <w:rPr>
                <w:rFonts w:cstheme="minorHAnsi"/>
              </w:rPr>
              <w:t>A member proposed Public Private Partnerships during the proposed project operation phase to enable proper management of the plant.</w:t>
            </w:r>
          </w:p>
        </w:tc>
        <w:tc>
          <w:tcPr>
            <w:tcW w:w="4732" w:type="dxa"/>
          </w:tcPr>
          <w:p w14:paraId="42F1FDD5">
            <w:pPr>
              <w:tabs>
                <w:tab w:val="left" w:pos="709"/>
              </w:tabs>
              <w:spacing w:before="100" w:beforeAutospacing="1" w:after="100" w:afterAutospacing="1" w:line="240" w:lineRule="auto"/>
              <w:jc w:val="both"/>
              <w:rPr>
                <w:rFonts w:cstheme="minorHAnsi"/>
              </w:rPr>
            </w:pPr>
            <w:r>
              <w:rPr>
                <w:rFonts w:cstheme="minorHAnsi"/>
              </w:rPr>
              <w:t>This was noted</w:t>
            </w:r>
          </w:p>
        </w:tc>
      </w:tr>
      <w:tr w14:paraId="34079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 w:type="dxa"/>
          </w:tcPr>
          <w:p w14:paraId="1BFA7986">
            <w:pPr>
              <w:tabs>
                <w:tab w:val="left" w:pos="709"/>
              </w:tabs>
              <w:spacing w:after="0" w:line="240" w:lineRule="auto"/>
              <w:jc w:val="both"/>
              <w:rPr>
                <w:rFonts w:cstheme="minorHAnsi"/>
              </w:rPr>
            </w:pPr>
            <w:r>
              <w:rPr>
                <w:rFonts w:cstheme="minorHAnsi"/>
              </w:rPr>
              <w:t>5</w:t>
            </w:r>
          </w:p>
        </w:tc>
        <w:tc>
          <w:tcPr>
            <w:tcW w:w="3833" w:type="dxa"/>
          </w:tcPr>
          <w:p w14:paraId="7314D534">
            <w:pPr>
              <w:tabs>
                <w:tab w:val="left" w:pos="709"/>
              </w:tabs>
              <w:spacing w:after="0" w:line="240" w:lineRule="auto"/>
              <w:jc w:val="both"/>
              <w:rPr>
                <w:rFonts w:cstheme="minorHAnsi"/>
              </w:rPr>
            </w:pPr>
            <w:r>
              <w:rPr>
                <w:rFonts w:cstheme="minorHAnsi"/>
              </w:rPr>
              <w:t>The attendees wanted to understand the importance of the byproducts of the proposed plant.</w:t>
            </w:r>
          </w:p>
        </w:tc>
        <w:tc>
          <w:tcPr>
            <w:tcW w:w="4732" w:type="dxa"/>
          </w:tcPr>
          <w:p w14:paraId="01442FB2">
            <w:pPr>
              <w:tabs>
                <w:tab w:val="left" w:pos="709"/>
              </w:tabs>
              <w:spacing w:after="0" w:line="240" w:lineRule="auto"/>
              <w:jc w:val="both"/>
              <w:rPr>
                <w:rFonts w:cstheme="minorHAnsi"/>
              </w:rPr>
            </w:pPr>
            <w:r>
              <w:rPr>
                <w:rFonts w:cstheme="minorHAnsi"/>
              </w:rPr>
              <w:t>There will be production of wastewater, that after undergoing treatment can be used for irrigation in farms.</w:t>
            </w:r>
          </w:p>
          <w:p w14:paraId="2FE66042">
            <w:pPr>
              <w:tabs>
                <w:tab w:val="left" w:pos="709"/>
              </w:tabs>
              <w:spacing w:after="0" w:line="240" w:lineRule="auto"/>
              <w:jc w:val="both"/>
              <w:rPr>
                <w:rFonts w:cstheme="minorHAnsi"/>
              </w:rPr>
            </w:pPr>
            <w:r>
              <w:rPr>
                <w:rFonts w:cstheme="minorHAnsi"/>
              </w:rPr>
              <w:t>The dried sludge could be used as manure or processed into briquettes.</w:t>
            </w:r>
          </w:p>
        </w:tc>
      </w:tr>
      <w:tr w14:paraId="4E5338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40" w:type="dxa"/>
          </w:tcPr>
          <w:p w14:paraId="23525732">
            <w:pPr>
              <w:tabs>
                <w:tab w:val="left" w:pos="709"/>
              </w:tabs>
              <w:spacing w:after="0" w:line="240" w:lineRule="auto"/>
              <w:jc w:val="both"/>
              <w:rPr>
                <w:rFonts w:cstheme="minorHAnsi"/>
              </w:rPr>
            </w:pPr>
            <w:r>
              <w:rPr>
                <w:rFonts w:cstheme="minorHAnsi"/>
              </w:rPr>
              <w:t>6</w:t>
            </w:r>
          </w:p>
        </w:tc>
        <w:tc>
          <w:tcPr>
            <w:tcW w:w="3833" w:type="dxa"/>
          </w:tcPr>
          <w:p w14:paraId="28E7E45B">
            <w:pPr>
              <w:tabs>
                <w:tab w:val="left" w:pos="709"/>
              </w:tabs>
              <w:spacing w:after="0" w:line="240" w:lineRule="auto"/>
              <w:jc w:val="both"/>
              <w:rPr>
                <w:rFonts w:cstheme="minorHAnsi"/>
              </w:rPr>
            </w:pPr>
            <w:r>
              <w:rPr>
                <w:rFonts w:cstheme="minorHAnsi"/>
              </w:rPr>
              <w:t>This is a high-risk project, it should be taken with a lot of seriousness, and ensure all the possible negative impacts are addressed well.</w:t>
            </w:r>
          </w:p>
        </w:tc>
        <w:tc>
          <w:tcPr>
            <w:tcW w:w="4732" w:type="dxa"/>
          </w:tcPr>
          <w:p w14:paraId="63304851">
            <w:pPr>
              <w:tabs>
                <w:tab w:val="left" w:pos="709"/>
              </w:tabs>
              <w:spacing w:after="0" w:line="240" w:lineRule="auto"/>
              <w:jc w:val="both"/>
              <w:rPr>
                <w:rFonts w:cstheme="minorHAnsi"/>
              </w:rPr>
            </w:pPr>
            <w:r>
              <w:rPr>
                <w:rFonts w:cstheme="minorHAnsi"/>
              </w:rPr>
              <w:t>There shall be an ESMMP available that shall be addressing all the anticipated negative impacts and the costs indicated.</w:t>
            </w:r>
          </w:p>
        </w:tc>
      </w:tr>
    </w:tbl>
    <w:p w14:paraId="36138E7C">
      <w:pPr>
        <w:pStyle w:val="3"/>
        <w:rPr>
          <w:w w:val="110"/>
          <w:lang w:eastAsia="en-GB"/>
        </w:rPr>
      </w:pPr>
      <w:bookmarkStart w:id="35" w:name="_Toc179904018"/>
      <w:r>
        <w:rPr>
          <w:w w:val="110"/>
          <w:lang w:eastAsia="en-GB"/>
        </w:rPr>
        <w:t>ES 10: Identification of Environmental &amp; Social Impacts and Mitigation Measures</w:t>
      </w:r>
      <w:bookmarkEnd w:id="35"/>
    </w:p>
    <w:p w14:paraId="274DF06F">
      <w:pPr>
        <w:tabs>
          <w:tab w:val="left" w:pos="709"/>
        </w:tabs>
        <w:ind w:left="709"/>
        <w:jc w:val="both"/>
        <w:rPr>
          <w:rFonts w:eastAsia="Times New Roman Bold" w:cstheme="minorHAnsi"/>
          <w:b/>
          <w:bCs/>
          <w:iCs/>
          <w:lang w:eastAsia="ja-JP"/>
        </w:rPr>
      </w:pPr>
      <w:r>
        <w:rPr>
          <w:rFonts w:eastAsia="Times New Roman Bold" w:cstheme="minorHAnsi"/>
          <w:b/>
          <w:bCs/>
          <w:iCs/>
          <w:lang w:eastAsia="ja-JP"/>
        </w:rPr>
        <w:t xml:space="preserve">Anticipated project positive impacts  </w:t>
      </w:r>
    </w:p>
    <w:tbl>
      <w:tblPr>
        <w:tblStyle w:val="86"/>
        <w:tblW w:w="518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76"/>
        <w:gridCol w:w="2155"/>
        <w:gridCol w:w="2316"/>
        <w:gridCol w:w="2939"/>
      </w:tblGrid>
      <w:tr w14:paraId="07059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tcPr>
          <w:p w14:paraId="114EA155">
            <w:pPr>
              <w:tabs>
                <w:tab w:val="left" w:pos="709"/>
              </w:tabs>
              <w:spacing w:after="0"/>
              <w:jc w:val="both"/>
              <w:rPr>
                <w:rFonts w:cstheme="minorHAnsi"/>
                <w:b/>
                <w:lang w:eastAsia="ja-JP"/>
              </w:rPr>
            </w:pPr>
            <w:r>
              <w:rPr>
                <w:rFonts w:cstheme="minorHAnsi"/>
                <w:b/>
                <w:lang w:eastAsia="ja-JP"/>
              </w:rPr>
              <w:t>Pre-construction phase</w:t>
            </w:r>
          </w:p>
        </w:tc>
        <w:tc>
          <w:tcPr>
            <w:tcW w:w="1124" w:type="pct"/>
          </w:tcPr>
          <w:p w14:paraId="108FED82">
            <w:pPr>
              <w:tabs>
                <w:tab w:val="left" w:pos="709"/>
              </w:tabs>
              <w:spacing w:after="0"/>
              <w:ind w:left="709" w:hanging="728"/>
              <w:jc w:val="both"/>
              <w:rPr>
                <w:rFonts w:cstheme="minorHAnsi"/>
                <w:b/>
                <w:lang w:eastAsia="ja-JP"/>
              </w:rPr>
            </w:pPr>
            <w:r>
              <w:rPr>
                <w:rFonts w:cstheme="minorHAnsi"/>
                <w:b/>
                <w:lang w:eastAsia="ja-JP"/>
              </w:rPr>
              <w:t>Construction Phase</w:t>
            </w:r>
          </w:p>
        </w:tc>
        <w:tc>
          <w:tcPr>
            <w:tcW w:w="1208" w:type="pct"/>
          </w:tcPr>
          <w:p w14:paraId="7C974D78">
            <w:pPr>
              <w:tabs>
                <w:tab w:val="left" w:pos="709"/>
              </w:tabs>
              <w:spacing w:after="0"/>
              <w:jc w:val="both"/>
              <w:rPr>
                <w:rFonts w:cstheme="minorHAnsi"/>
                <w:b/>
                <w:lang w:eastAsia="ja-JP"/>
              </w:rPr>
            </w:pPr>
            <w:r>
              <w:rPr>
                <w:rFonts w:cstheme="minorHAnsi"/>
                <w:b/>
                <w:lang w:eastAsia="ja-JP"/>
              </w:rPr>
              <w:t>Operation Phase</w:t>
            </w:r>
          </w:p>
        </w:tc>
        <w:tc>
          <w:tcPr>
            <w:tcW w:w="1533" w:type="pct"/>
          </w:tcPr>
          <w:p w14:paraId="5383EC1A">
            <w:pPr>
              <w:tabs>
                <w:tab w:val="left" w:pos="709"/>
              </w:tabs>
              <w:spacing w:after="0"/>
              <w:jc w:val="both"/>
              <w:rPr>
                <w:rFonts w:cstheme="minorHAnsi"/>
                <w:b/>
                <w:lang w:eastAsia="ja-JP"/>
              </w:rPr>
            </w:pPr>
            <w:r>
              <w:rPr>
                <w:rFonts w:cstheme="minorHAnsi"/>
                <w:b/>
                <w:lang w:eastAsia="ja-JP"/>
              </w:rPr>
              <w:t>Decommissioning Phase</w:t>
            </w:r>
          </w:p>
        </w:tc>
      </w:tr>
      <w:tr w14:paraId="39DD4B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35" w:type="pct"/>
          </w:tcPr>
          <w:p w14:paraId="7C794199">
            <w:pPr>
              <w:pStyle w:val="289"/>
              <w:tabs>
                <w:tab w:val="left" w:pos="9000"/>
                <w:tab w:val="left" w:pos="9090"/>
              </w:tabs>
              <w:spacing w:before="0"/>
              <w:ind w:left="32" w:right="95" w:firstLine="0"/>
              <w:rPr>
                <w:rFonts w:ascii="Arial Narrow" w:hAnsi="Arial Narrow" w:cs="Times New Roman"/>
                <w:iCs/>
                <w:szCs w:val="22"/>
                <w:lang w:eastAsia="en-US"/>
              </w:rPr>
            </w:pPr>
            <w:r>
              <w:rPr>
                <w:rFonts w:ascii="Arial Narrow" w:hAnsi="Arial Narrow" w:cs="Times New Roman"/>
                <w:iCs/>
                <w:szCs w:val="22"/>
                <w:lang w:eastAsia="en-US"/>
              </w:rPr>
              <w:t>Inclusivity in decision-making</w:t>
            </w:r>
          </w:p>
        </w:tc>
        <w:tc>
          <w:tcPr>
            <w:tcW w:w="1124" w:type="pct"/>
          </w:tcPr>
          <w:p w14:paraId="0B8D05A6">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Creation of employment</w:t>
            </w:r>
          </w:p>
          <w:p w14:paraId="3C1E5665">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Increased business opportunities</w:t>
            </w:r>
          </w:p>
          <w:p w14:paraId="72E53728">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Increased Property Values</w:t>
            </w:r>
          </w:p>
          <w:p w14:paraId="5E81EAE5">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Community Engagement</w:t>
            </w:r>
          </w:p>
          <w:p w14:paraId="391D4CA7">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Environmental Protection</w:t>
            </w:r>
          </w:p>
          <w:p w14:paraId="52D675F4">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Skills Development</w:t>
            </w:r>
          </w:p>
        </w:tc>
        <w:tc>
          <w:tcPr>
            <w:tcW w:w="1208" w:type="pct"/>
          </w:tcPr>
          <w:p w14:paraId="74C7D060">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Improved sanitation.</w:t>
            </w:r>
          </w:p>
          <w:p w14:paraId="3091F15B">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Reduction in waterborne diseases</w:t>
            </w:r>
          </w:p>
          <w:p w14:paraId="69E4FAE9">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Increased property value</w:t>
            </w:r>
          </w:p>
          <w:p w14:paraId="107AA818">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Improvement of quality of life</w:t>
            </w:r>
          </w:p>
          <w:p w14:paraId="4C8F6654">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Reduction in water inaccessibility</w:t>
            </w:r>
          </w:p>
          <w:p w14:paraId="0877F6B9">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Improved Quality of Life</w:t>
            </w:r>
          </w:p>
        </w:tc>
        <w:tc>
          <w:tcPr>
            <w:tcW w:w="1533" w:type="pct"/>
          </w:tcPr>
          <w:p w14:paraId="4E5908A4">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Adaptation to Changing Needs</w:t>
            </w:r>
          </w:p>
          <w:p w14:paraId="48AD586A">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Improved Public Safety</w:t>
            </w:r>
          </w:p>
          <w:p w14:paraId="3D25B65F">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Environmental Restoration</w:t>
            </w:r>
          </w:p>
          <w:p w14:paraId="7D40CBF4">
            <w:pPr>
              <w:pStyle w:val="289"/>
              <w:numPr>
                <w:ilvl w:val="0"/>
                <w:numId w:val="29"/>
              </w:numPr>
              <w:tabs>
                <w:tab w:val="left" w:pos="9000"/>
                <w:tab w:val="left" w:pos="9090"/>
              </w:tabs>
              <w:spacing w:before="0"/>
              <w:ind w:left="150" w:right="95" w:hanging="136"/>
              <w:rPr>
                <w:rFonts w:ascii="Arial Narrow" w:hAnsi="Arial Narrow" w:cs="Times New Roman"/>
                <w:iCs/>
                <w:szCs w:val="22"/>
                <w:lang w:eastAsia="en-US"/>
              </w:rPr>
            </w:pPr>
            <w:r>
              <w:rPr>
                <w:rFonts w:ascii="Arial Narrow" w:hAnsi="Arial Narrow" w:cs="Times New Roman"/>
                <w:iCs/>
                <w:szCs w:val="22"/>
                <w:lang w:eastAsia="en-US"/>
              </w:rPr>
              <w:t>Cost Savings</w:t>
            </w:r>
          </w:p>
        </w:tc>
      </w:tr>
    </w:tbl>
    <w:p w14:paraId="411743C6">
      <w:pPr>
        <w:tabs>
          <w:tab w:val="left" w:pos="709"/>
        </w:tabs>
        <w:ind w:left="709"/>
        <w:jc w:val="both"/>
        <w:rPr>
          <w:b/>
          <w:w w:val="110"/>
          <w:lang w:eastAsia="en-GB"/>
        </w:rPr>
      </w:pPr>
    </w:p>
    <w:p w14:paraId="6544289A">
      <w:pPr>
        <w:tabs>
          <w:tab w:val="left" w:pos="709"/>
        </w:tabs>
        <w:ind w:left="709"/>
        <w:jc w:val="both"/>
        <w:rPr>
          <w:b/>
          <w:lang w:eastAsia="ja-JP"/>
        </w:rPr>
      </w:pPr>
      <w:r>
        <w:rPr>
          <w:b/>
          <w:lang w:eastAsia="ja-JP"/>
        </w:rPr>
        <w:t>Anticipated Negative impacts during pre-construction phase</w:t>
      </w:r>
    </w:p>
    <w:tbl>
      <w:tblPr>
        <w:tblStyle w:val="86"/>
        <w:tblW w:w="518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79"/>
        <w:gridCol w:w="7707"/>
      </w:tblGrid>
      <w:tr w14:paraId="77B456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0" w:type="pct"/>
          </w:tcPr>
          <w:p w14:paraId="3EC6135B">
            <w:pPr>
              <w:tabs>
                <w:tab w:val="left" w:pos="709"/>
              </w:tabs>
              <w:spacing w:after="0"/>
              <w:jc w:val="both"/>
              <w:rPr>
                <w:rFonts w:cstheme="minorHAnsi"/>
                <w:b/>
                <w:lang w:eastAsia="ja-JP"/>
              </w:rPr>
            </w:pPr>
            <w:r>
              <w:rPr>
                <w:rFonts w:cstheme="minorHAnsi"/>
                <w:b/>
                <w:lang w:eastAsia="ja-JP"/>
              </w:rPr>
              <w:t>Impact</w:t>
            </w:r>
          </w:p>
        </w:tc>
        <w:tc>
          <w:tcPr>
            <w:tcW w:w="4020" w:type="pct"/>
          </w:tcPr>
          <w:p w14:paraId="4FE156B6">
            <w:pPr>
              <w:tabs>
                <w:tab w:val="left" w:pos="709"/>
              </w:tabs>
              <w:spacing w:after="0"/>
              <w:jc w:val="both"/>
              <w:rPr>
                <w:rFonts w:cstheme="minorHAnsi"/>
                <w:b/>
                <w:lang w:eastAsia="ja-JP"/>
              </w:rPr>
            </w:pPr>
            <w:r>
              <w:rPr>
                <w:rFonts w:cstheme="minorHAnsi"/>
                <w:b/>
                <w:lang w:eastAsia="ja-JP"/>
              </w:rPr>
              <w:t>Mitigation measures</w:t>
            </w:r>
          </w:p>
        </w:tc>
      </w:tr>
      <w:tr w14:paraId="666D1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0" w:type="pct"/>
          </w:tcPr>
          <w:p w14:paraId="53CF3330">
            <w:pPr>
              <w:spacing w:after="0"/>
              <w:rPr>
                <w:rFonts w:cstheme="minorHAnsi"/>
              </w:rPr>
            </w:pPr>
            <w:r>
              <w:rPr>
                <w:rFonts w:cstheme="minorHAnsi"/>
              </w:rPr>
              <w:t xml:space="preserve">Divided opinion on project implementations </w:t>
            </w:r>
          </w:p>
          <w:p w14:paraId="5C685966">
            <w:pPr>
              <w:tabs>
                <w:tab w:val="left" w:pos="709"/>
              </w:tabs>
              <w:spacing w:after="0"/>
              <w:jc w:val="center"/>
              <w:rPr>
                <w:rFonts w:cstheme="minorHAnsi"/>
                <w:b/>
                <w:lang w:eastAsia="ja-JP"/>
              </w:rPr>
            </w:pPr>
          </w:p>
        </w:tc>
        <w:tc>
          <w:tcPr>
            <w:tcW w:w="4020" w:type="pct"/>
          </w:tcPr>
          <w:p w14:paraId="7B10B9C7">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To address these impacts, it's essential for project implementers to adopt inclusive and participatory approaches that facilitate constructive dialogue, consensus-building, and conflict resolution. </w:t>
            </w:r>
          </w:p>
          <w:p w14:paraId="4BB40373">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Engaging stakeholders early and regularly throughout the project lifecycle. </w:t>
            </w:r>
          </w:p>
          <w:p w14:paraId="2A3A8EA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Conduct extensive public participation and consultation with key stakeholders</w:t>
            </w:r>
          </w:p>
        </w:tc>
      </w:tr>
      <w:tr w14:paraId="08F1A0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0" w:type="pct"/>
          </w:tcPr>
          <w:p w14:paraId="23AC8966">
            <w:pPr>
              <w:spacing w:after="0"/>
              <w:rPr>
                <w:rFonts w:cstheme="minorHAnsi"/>
              </w:rPr>
            </w:pPr>
            <w:r>
              <w:rPr>
                <w:rFonts w:cstheme="minorHAnsi"/>
              </w:rPr>
              <w:t xml:space="preserve">High Expectations of the Local Communities in relation to Jobs </w:t>
            </w:r>
          </w:p>
          <w:p w14:paraId="4ACDA7CA">
            <w:pPr>
              <w:spacing w:after="0"/>
              <w:rPr>
                <w:rFonts w:cstheme="minorHAnsi"/>
              </w:rPr>
            </w:pPr>
          </w:p>
        </w:tc>
        <w:tc>
          <w:tcPr>
            <w:tcW w:w="4020" w:type="pct"/>
          </w:tcPr>
          <w:p w14:paraId="37E422F2">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The hiring requirements must be clear, properly publicized before the start of the recruitment process and respected by the design team. For a better impact on the communities this process shall be conducted with the involvement of local leaders;</w:t>
            </w:r>
          </w:p>
          <w:p w14:paraId="461D7A86">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In the event there are local expectations for employment that cannot be met by the project, the limited availability of places shall be made known to the interested parties through local authorities; and</w:t>
            </w:r>
          </w:p>
          <w:p w14:paraId="4EAAC919">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The principles and procedures for hiring shall, as far as possible, give priority to the hiring of skilled local workers.</w:t>
            </w:r>
          </w:p>
        </w:tc>
      </w:tr>
    </w:tbl>
    <w:p w14:paraId="3567C9E2">
      <w:pPr>
        <w:pStyle w:val="289"/>
        <w:tabs>
          <w:tab w:val="left" w:pos="709"/>
          <w:tab w:val="left" w:pos="9000"/>
          <w:tab w:val="left" w:pos="9090"/>
        </w:tabs>
        <w:spacing w:before="0"/>
        <w:ind w:left="0" w:right="95" w:firstLine="0"/>
        <w:rPr>
          <w:rFonts w:ascii="Arial Narrow" w:hAnsi="Arial Narrow" w:cs="Times New Roman"/>
          <w:iCs/>
          <w:szCs w:val="22"/>
          <w:lang w:eastAsia="en-US"/>
        </w:rPr>
      </w:pPr>
    </w:p>
    <w:p w14:paraId="762EC7EE">
      <w:pPr>
        <w:tabs>
          <w:tab w:val="left" w:pos="709"/>
        </w:tabs>
        <w:ind w:left="709"/>
        <w:jc w:val="both"/>
        <w:rPr>
          <w:b/>
          <w:lang w:eastAsia="ja-JP"/>
        </w:rPr>
      </w:pPr>
      <w:r>
        <w:rPr>
          <w:b/>
          <w:lang w:eastAsia="ja-JP"/>
        </w:rPr>
        <w:t>Anticipated Negative Impacts during Construction</w:t>
      </w:r>
    </w:p>
    <w:tbl>
      <w:tblPr>
        <w:tblStyle w:val="86"/>
        <w:tblW w:w="518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9"/>
        <w:gridCol w:w="7997"/>
      </w:tblGrid>
      <w:tr w14:paraId="28910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829" w:type="pct"/>
          </w:tcPr>
          <w:p w14:paraId="426A6322">
            <w:pPr>
              <w:spacing w:after="0"/>
              <w:rPr>
                <w:rFonts w:cstheme="minorHAnsi"/>
                <w:b/>
              </w:rPr>
            </w:pPr>
            <w:r>
              <w:rPr>
                <w:rFonts w:cstheme="minorHAnsi"/>
                <w:b/>
              </w:rPr>
              <w:t>Impact</w:t>
            </w:r>
          </w:p>
        </w:tc>
        <w:tc>
          <w:tcPr>
            <w:tcW w:w="4171" w:type="pct"/>
          </w:tcPr>
          <w:p w14:paraId="0669EC0B">
            <w:pPr>
              <w:pStyle w:val="289"/>
              <w:tabs>
                <w:tab w:val="left" w:pos="9000"/>
                <w:tab w:val="left" w:pos="9090"/>
              </w:tabs>
              <w:spacing w:before="0"/>
              <w:ind w:left="0" w:right="95" w:firstLine="0"/>
              <w:rPr>
                <w:rFonts w:ascii="Arial Narrow" w:hAnsi="Arial Narrow" w:cs="Times New Roman"/>
                <w:b/>
                <w:iCs/>
                <w:szCs w:val="22"/>
                <w:lang w:eastAsia="en-US"/>
              </w:rPr>
            </w:pPr>
            <w:r>
              <w:rPr>
                <w:rFonts w:ascii="Arial Narrow" w:hAnsi="Arial Narrow" w:cs="Times New Roman"/>
                <w:b/>
                <w:iCs/>
                <w:szCs w:val="22"/>
                <w:lang w:eastAsia="en-US"/>
              </w:rPr>
              <w:t>Mitigation measures</w:t>
            </w:r>
          </w:p>
        </w:tc>
      </w:tr>
      <w:tr w14:paraId="4C1E5E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5F288931">
            <w:pPr>
              <w:spacing w:after="0"/>
              <w:rPr>
                <w:rFonts w:cstheme="minorHAnsi"/>
                <w:lang w:bidi="en-US"/>
              </w:rPr>
            </w:pPr>
            <w:r>
              <w:rPr>
                <w:rFonts w:cstheme="minorHAnsi"/>
                <w:lang w:bidi="en-US"/>
              </w:rPr>
              <w:t>Noise and Excessive Vibrations</w:t>
            </w:r>
          </w:p>
        </w:tc>
        <w:tc>
          <w:tcPr>
            <w:tcW w:w="4171" w:type="pct"/>
          </w:tcPr>
          <w:p w14:paraId="0E8B832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Contractor will comply with provisions of EMCA 1999 and amendments 2015 (Noise and Excessive Vibrations Regulations of 2009)</w:t>
            </w:r>
          </w:p>
          <w:p w14:paraId="1932B76D">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The Contractor shall keep noise level within acceptable limits (55 Decibels during the day and 35 Decibels during the night) and construction activities shall, where possible, be confined to normal working hours in the residential areas.</w:t>
            </w:r>
          </w:p>
          <w:p w14:paraId="49B37EAE">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Hospitals and other noise sensitive areas such as schools shall be notified by the Contractor at least 5 days before construction is due to commence in their vicinity.</w:t>
            </w:r>
          </w:p>
          <w:p w14:paraId="060FA7E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Undertake Noise and Excessive Vibration Assessments.</w:t>
            </w:r>
          </w:p>
          <w:p w14:paraId="21A87EAB">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Effective use of appropriate PPE by exposed workers and Proper maintenance of machines.</w:t>
            </w:r>
          </w:p>
          <w:p w14:paraId="3123F943">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Any complaints received by the Contractor regarding noise will be recorded and communicated to the Supervising Engineer for appropriate action.</w:t>
            </w:r>
          </w:p>
        </w:tc>
      </w:tr>
      <w:tr w14:paraId="256A18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4424C1D0">
            <w:pPr>
              <w:spacing w:after="0"/>
              <w:rPr>
                <w:rFonts w:cstheme="minorHAnsi"/>
              </w:rPr>
            </w:pPr>
            <w:r>
              <w:rPr>
                <w:rFonts w:cstheme="minorHAnsi"/>
              </w:rPr>
              <w:t>Soil Pollution</w:t>
            </w:r>
          </w:p>
        </w:tc>
        <w:tc>
          <w:tcPr>
            <w:tcW w:w="4171" w:type="pct"/>
          </w:tcPr>
          <w:p w14:paraId="1D07AD7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Any polluted soil should be handled with care for proper disposal.</w:t>
            </w:r>
          </w:p>
          <w:p w14:paraId="4A95FA7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Concrete mixing shall be done on concrete slabs or a large metal sheet or mortar boards.</w:t>
            </w:r>
          </w:p>
          <w:p w14:paraId="76B620A2">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Maintenance of vehicles to be done strictly at a designated place/Drip tray to be used to avoid oil spills.</w:t>
            </w:r>
          </w:p>
          <w:p w14:paraId="512C23E6">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Excavation materials to be stock piled at the demarcated location.</w:t>
            </w:r>
          </w:p>
        </w:tc>
      </w:tr>
      <w:tr w14:paraId="6F1EE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558FD950">
            <w:pPr>
              <w:spacing w:after="0"/>
              <w:rPr>
                <w:rFonts w:cstheme="minorHAnsi"/>
              </w:rPr>
            </w:pPr>
            <w:r>
              <w:rPr>
                <w:rFonts w:cstheme="minorHAnsi"/>
              </w:rPr>
              <w:t>Air Pollution</w:t>
            </w:r>
          </w:p>
        </w:tc>
        <w:tc>
          <w:tcPr>
            <w:tcW w:w="4171" w:type="pct"/>
          </w:tcPr>
          <w:p w14:paraId="12C7E622">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Vegetation and Greenery; Incorporate green infrastructure elements such as vegetative barriers and green roofs into construction projects to help absorb pollutants and improve air quality in the surrounding area.</w:t>
            </w:r>
          </w:p>
          <w:p w14:paraId="19D45B2E">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Regulatory Compliance; Ensure compliance with relevant environmental regulations and permits governing air quality standards and emissions limits for construction activities.</w:t>
            </w:r>
          </w:p>
          <w:p w14:paraId="02BAA95D">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Water sprinkling to reduce the dust at the construction sites. </w:t>
            </w:r>
          </w:p>
          <w:p w14:paraId="4E000A5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Use of dust masks to operators and those working in the dusty areas.</w:t>
            </w:r>
          </w:p>
          <w:p w14:paraId="729A406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Use of goggles for all operators.</w:t>
            </w:r>
          </w:p>
          <w:p w14:paraId="22A52C6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Construction machines/equipment will be well maintained to ensure total fuel combustion. All vehicles involved in construction works will be frequently checked and well serviced during the whole construction period so that the level of exhaust emissions is reduced. </w:t>
            </w:r>
          </w:p>
          <w:p w14:paraId="0A90C69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Speed of vehicles hauling construction materials shall be reduced and the construction materials will be covered with tarpaulins.</w:t>
            </w:r>
          </w:p>
        </w:tc>
      </w:tr>
      <w:tr w14:paraId="1A59F1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56592BCA">
            <w:pPr>
              <w:spacing w:after="0"/>
              <w:rPr>
                <w:rFonts w:cstheme="minorHAnsi"/>
              </w:rPr>
            </w:pPr>
            <w:r>
              <w:rPr>
                <w:rFonts w:cstheme="minorHAnsi"/>
              </w:rPr>
              <w:t>Increased Crime and Insecurity</w:t>
            </w:r>
          </w:p>
        </w:tc>
        <w:tc>
          <w:tcPr>
            <w:tcW w:w="4171" w:type="pct"/>
          </w:tcPr>
          <w:p w14:paraId="40CC65E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Contractor and Supervision Team to liaise regularly with the Local Administration and Police Service to address any security and crime arising during project implementation.</w:t>
            </w:r>
          </w:p>
          <w:p w14:paraId="35F1DA8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Contractor to provide 24 hours’ security to Workforce Camps, Yards, Stores and to the Supervising Team’s Offices.</w:t>
            </w:r>
          </w:p>
        </w:tc>
      </w:tr>
      <w:tr w14:paraId="1F61B3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19A1D539">
            <w:pPr>
              <w:spacing w:after="0"/>
              <w:rPr>
                <w:rFonts w:cstheme="minorHAnsi"/>
              </w:rPr>
            </w:pPr>
            <w:r>
              <w:rPr>
                <w:rFonts w:cstheme="minorHAnsi"/>
              </w:rPr>
              <w:t>Occupational Health and Safety Risks</w:t>
            </w:r>
          </w:p>
        </w:tc>
        <w:tc>
          <w:tcPr>
            <w:tcW w:w="4171" w:type="pct"/>
          </w:tcPr>
          <w:p w14:paraId="4954A201">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Contractor to provide a Health and Safety Plan prior to the commencement of works to be approved by the Supervising Engineer.</w:t>
            </w:r>
          </w:p>
          <w:p w14:paraId="4ED7CF7D">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Construction Workers and the Supervising Team to be provided with Personal Protective Equipment including gloves, gum boots, overalls and helmets. Use of PPE to be enforced by the Supervising Engineer.</w:t>
            </w:r>
          </w:p>
          <w:p w14:paraId="483FC10E">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Fully stocked First Aid Kits to be provided within the Sites, Camps and in all Project Vehicles</w:t>
            </w:r>
          </w:p>
          <w:p w14:paraId="50DE1D56">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Isolate the site from access by the local communities during the construction for their safety and health</w:t>
            </w:r>
          </w:p>
          <w:p w14:paraId="7418519E">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Contractor to provide clean water for drinking and healthy food to all the workers</w:t>
            </w:r>
          </w:p>
          <w:p w14:paraId="64001162">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Contractor to adhere to maximum eight hour working rule</w:t>
            </w:r>
          </w:p>
          <w:p w14:paraId="707DA64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Contractor to ensure only qualified personnel operate machinery.</w:t>
            </w:r>
          </w:p>
        </w:tc>
      </w:tr>
      <w:tr w14:paraId="0FB490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32A53941">
            <w:pPr>
              <w:spacing w:after="0"/>
              <w:rPr>
                <w:rFonts w:cstheme="minorHAnsi"/>
              </w:rPr>
            </w:pPr>
            <w:r>
              <w:rPr>
                <w:rFonts w:cstheme="minorHAnsi"/>
              </w:rPr>
              <w:t>Sexual Exploitation and Abuse</w:t>
            </w:r>
          </w:p>
        </w:tc>
        <w:tc>
          <w:tcPr>
            <w:tcW w:w="4171" w:type="pct"/>
          </w:tcPr>
          <w:p w14:paraId="50500A91">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Establish strict codes of conduct for all project staff and contractors, with clear penalties for SEA violations.</w:t>
            </w:r>
          </w:p>
          <w:p w14:paraId="29B240EE">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Conduct community awareness campaigns to educate local populations about their rights and reporting mechanisms.</w:t>
            </w:r>
          </w:p>
          <w:p w14:paraId="3671C5A6">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Set up confidential and accessible reporting systems where victims can safely report SEA incidents without fear of retaliation.</w:t>
            </w:r>
          </w:p>
          <w:p w14:paraId="45B84D51">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Provide mandatory training for all project staff on SEA prevention, gender sensitivity, and appropriate workplace behaviour.</w:t>
            </w:r>
          </w:p>
          <w:p w14:paraId="4A7AF85D">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Regularly monitor project sites and enforce policies through independent oversight and periodic audits.</w:t>
            </w:r>
          </w:p>
          <w:p w14:paraId="07923980">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Ensure that victims of SEA have access to medical, legal, and psychological support.</w:t>
            </w:r>
          </w:p>
        </w:tc>
      </w:tr>
      <w:tr w14:paraId="7F7EEA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63B67CFA">
            <w:pPr>
              <w:spacing w:after="0"/>
              <w:rPr>
                <w:rFonts w:cstheme="minorHAnsi"/>
              </w:rPr>
            </w:pPr>
            <w:r>
              <w:rPr>
                <w:rFonts w:cstheme="minorHAnsi"/>
              </w:rPr>
              <w:t>Inadequate stakeholder Engagement and Exclusion of disadvantaged and vulnerable groups</w:t>
            </w:r>
          </w:p>
        </w:tc>
        <w:tc>
          <w:tcPr>
            <w:tcW w:w="4171" w:type="pct"/>
          </w:tcPr>
          <w:p w14:paraId="46A7F585">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Share project information widely and in a timely manner through diverse, feasible and accessible channels of communication e.g., public forums.</w:t>
            </w:r>
          </w:p>
          <w:p w14:paraId="3482C0EA">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Introduce measures for affirmative action that would ensure especially persons with disability, the elderly and women have access to job opportunities.</w:t>
            </w:r>
          </w:p>
          <w:p w14:paraId="172FA36F">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Undertake recruitment transparently, while ensuring the inclusion of disadvantaged groups.</w:t>
            </w:r>
          </w:p>
          <w:p w14:paraId="199D854F">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Develop and implementation of a stakeholder engagement plan.</w:t>
            </w:r>
          </w:p>
          <w:p w14:paraId="4B0FF31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Engage stakeholders throughout the project phase as guided by the approved stakeholder engagement plan.</w:t>
            </w:r>
          </w:p>
          <w:p w14:paraId="3DED15C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Culturally appropriate consultations and early involvement of VMGs in the project.</w:t>
            </w:r>
          </w:p>
          <w:p w14:paraId="4B68CF5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Use of tailored communication channels to ensure VMGs can access project information.</w:t>
            </w:r>
          </w:p>
          <w:p w14:paraId="0EE69C2A">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Training and empowerment programs to enhance VMG participation.</w:t>
            </w:r>
          </w:p>
          <w:p w14:paraId="4001B825">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Ensure VMGs have equal access to project benefits and opportunities.</w:t>
            </w:r>
          </w:p>
          <w:p w14:paraId="1D0248D2">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Culturally sensitive systems for VMGs to safely report issues.</w:t>
            </w:r>
          </w:p>
          <w:p w14:paraId="7BB070E9">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Adherence to policies that protect VMG rights.</w:t>
            </w:r>
          </w:p>
          <w:p w14:paraId="6AE57323">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Ongoing assessment involving VMGs to track the project’s impact on them.</w:t>
            </w:r>
          </w:p>
        </w:tc>
      </w:tr>
      <w:tr w14:paraId="7A6A3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6C382A53">
            <w:pPr>
              <w:spacing w:after="0"/>
              <w:rPr>
                <w:rFonts w:cstheme="minorHAnsi"/>
              </w:rPr>
            </w:pPr>
            <w:r>
              <w:rPr>
                <w:rFonts w:cstheme="minorHAnsi"/>
              </w:rPr>
              <w:t>Child labour and Abuse Risk</w:t>
            </w:r>
          </w:p>
        </w:tc>
        <w:tc>
          <w:tcPr>
            <w:tcW w:w="4171" w:type="pct"/>
          </w:tcPr>
          <w:p w14:paraId="46576F58">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Ensure each employee signs a code of conduct that covers child protection ensuring no children are employed on site in accordance with national labour laws. </w:t>
            </w:r>
          </w:p>
          <w:p w14:paraId="23576F0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Ensure that any child sexual relations offenses among contractors' workers are promptly reported to the police. </w:t>
            </w:r>
          </w:p>
          <w:p w14:paraId="6C4AC371">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Employ workers who are 18 years and above, and with a valid national ID at the time of hire. </w:t>
            </w:r>
          </w:p>
          <w:p w14:paraId="0B38C1D6">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Implement and monitor the employment register regularly. </w:t>
            </w:r>
          </w:p>
          <w:p w14:paraId="1B70E4EB">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Comply with the national labour laws and labour management practices. </w:t>
            </w:r>
          </w:p>
          <w:p w14:paraId="41BC9342">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Put visible signage on site “No Jobs for children.” </w:t>
            </w:r>
          </w:p>
        </w:tc>
      </w:tr>
      <w:tr w14:paraId="05B28B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0D7079AB">
            <w:pPr>
              <w:spacing w:after="0"/>
              <w:rPr>
                <w:rFonts w:cstheme="minorHAnsi"/>
              </w:rPr>
            </w:pPr>
            <w:r>
              <w:rPr>
                <w:rFonts w:cstheme="minorHAnsi"/>
              </w:rPr>
              <w:t>Gender-Based Violence and Sexual Exploitation and Abuse (SEA) and Sexual Harassment (SH)</w:t>
            </w:r>
          </w:p>
        </w:tc>
        <w:tc>
          <w:tcPr>
            <w:tcW w:w="4171" w:type="pct"/>
          </w:tcPr>
          <w:p w14:paraId="7F250CE6">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Establish clear policies and codes of conduct against GBV, SEA, and SH.</w:t>
            </w:r>
          </w:p>
          <w:p w14:paraId="4B6CBEDA">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Provide mandatory training for staff and community awareness campaigns.</w:t>
            </w:r>
          </w:p>
          <w:p w14:paraId="25E28F3B">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Implement confidential reporting channels and support services for victims.</w:t>
            </w:r>
          </w:p>
          <w:p w14:paraId="7F9DA2B2">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Involve local leaders and empower vulnerable groups to foster a supportive environment.</w:t>
            </w:r>
          </w:p>
          <w:p w14:paraId="5D7785D1">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Ensure safe work environments and secure transportation for workers.</w:t>
            </w:r>
          </w:p>
          <w:p w14:paraId="4D558635">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Partner with NGOs for enhanced support systems and referral services.</w:t>
            </w:r>
          </w:p>
          <w:p w14:paraId="650A6C9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Tailor interventions to be culturally appropriate for the local context.</w:t>
            </w:r>
          </w:p>
          <w:p w14:paraId="5BF454FD">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Develop and implement a plan to manage the risk of SEA/SH. </w:t>
            </w:r>
          </w:p>
          <w:p w14:paraId="2EF8466D">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Map the GBV referral pathways and create awareness among women and men on the risk of SEA/SH.</w:t>
            </w:r>
          </w:p>
        </w:tc>
      </w:tr>
      <w:tr w14:paraId="1B45CA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19FA075C">
            <w:pPr>
              <w:spacing w:after="0"/>
              <w:rPr>
                <w:rFonts w:cstheme="minorHAnsi"/>
              </w:rPr>
            </w:pPr>
            <w:r>
              <w:rPr>
                <w:rFonts w:cstheme="minorHAnsi"/>
              </w:rPr>
              <w:t>Leakage of fuel and lubricants</w:t>
            </w:r>
          </w:p>
        </w:tc>
        <w:tc>
          <w:tcPr>
            <w:tcW w:w="4171" w:type="pct"/>
          </w:tcPr>
          <w:p w14:paraId="7909D1E1">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Dripping pans to be used to contain all hydrocarbon leakages on construction equipment. </w:t>
            </w:r>
          </w:p>
          <w:p w14:paraId="08C5A0F9">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Re-fuelling on designated areas. </w:t>
            </w:r>
          </w:p>
          <w:p w14:paraId="20BD2A3B">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In case of hydrocarbon spills, the contaminated soils will be collected and treated to remove the hydrocarbon and prevent the hydrocarbons from being washed away in storm water to the nearby water bodies</w:t>
            </w:r>
          </w:p>
          <w:p w14:paraId="27F91FCD">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p>
        </w:tc>
      </w:tr>
      <w:tr w14:paraId="171DE4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29" w:type="pct"/>
          </w:tcPr>
          <w:p w14:paraId="0D4F09D4">
            <w:pPr>
              <w:spacing w:after="0"/>
              <w:rPr>
                <w:rFonts w:cstheme="minorHAnsi"/>
              </w:rPr>
            </w:pPr>
            <w:r>
              <w:rPr>
                <w:rFonts w:cstheme="minorHAnsi"/>
              </w:rPr>
              <w:t>Community Health and Safety Risks</w:t>
            </w:r>
          </w:p>
        </w:tc>
        <w:tc>
          <w:tcPr>
            <w:tcW w:w="4171" w:type="pct"/>
          </w:tcPr>
          <w:p w14:paraId="5571C048">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Construction site shall be provided with barricades to protect neighbours and those passing-by. </w:t>
            </w:r>
          </w:p>
          <w:p w14:paraId="07EA625A">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Therefore, the public particularly the children shall not be allowed to come closer to the swing area of excavators or other equipment at site.</w:t>
            </w:r>
          </w:p>
          <w:p w14:paraId="45CBC227">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In places where there are vehicles transporting construction materials and also at turning places towards the construction site, appropriate warning signage shall be posted. </w:t>
            </w:r>
          </w:p>
          <w:p w14:paraId="34E4397F">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Sensitization and training of the surrounding communities regarding the risks associated with construction activities. </w:t>
            </w:r>
          </w:p>
          <w:p w14:paraId="4389A7D9">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Constant surveillance from security to make sure that there are no “uninvited guests” in the project site.</w:t>
            </w:r>
          </w:p>
          <w:p w14:paraId="2C38B8FF">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Sppread of HIV/Aids due to labour influx and behavioural change</w:t>
            </w:r>
          </w:p>
        </w:tc>
      </w:tr>
    </w:tbl>
    <w:p w14:paraId="15A31B7F">
      <w:pPr>
        <w:tabs>
          <w:tab w:val="left" w:pos="709"/>
        </w:tabs>
        <w:ind w:left="709"/>
        <w:jc w:val="both"/>
        <w:rPr>
          <w:b/>
          <w:lang w:eastAsia="ja-JP"/>
        </w:rPr>
      </w:pPr>
      <w:r>
        <w:rPr>
          <w:b/>
          <w:lang w:eastAsia="ja-JP"/>
        </w:rPr>
        <w:t xml:space="preserve">Anticipated Negative Impacts during Operation stage </w:t>
      </w:r>
    </w:p>
    <w:tbl>
      <w:tblPr>
        <w:tblStyle w:val="86"/>
        <w:tblW w:w="5186"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3"/>
        <w:gridCol w:w="7993"/>
      </w:tblGrid>
      <w:tr w14:paraId="59D1A1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831" w:type="pct"/>
          </w:tcPr>
          <w:p w14:paraId="4B1CD568">
            <w:pPr>
              <w:spacing w:after="0"/>
              <w:rPr>
                <w:rFonts w:cstheme="minorHAnsi"/>
                <w:b/>
              </w:rPr>
            </w:pPr>
            <w:r>
              <w:rPr>
                <w:rFonts w:cstheme="minorHAnsi"/>
                <w:b/>
              </w:rPr>
              <w:t>Impacts</w:t>
            </w:r>
          </w:p>
        </w:tc>
        <w:tc>
          <w:tcPr>
            <w:tcW w:w="4169" w:type="pct"/>
          </w:tcPr>
          <w:p w14:paraId="2C33C9CE">
            <w:pPr>
              <w:pStyle w:val="289"/>
              <w:tabs>
                <w:tab w:val="left" w:pos="9000"/>
                <w:tab w:val="left" w:pos="9090"/>
              </w:tabs>
              <w:spacing w:before="0"/>
              <w:ind w:left="0" w:right="95" w:firstLine="0"/>
              <w:rPr>
                <w:rFonts w:ascii="Arial Narrow" w:hAnsi="Arial Narrow" w:cs="Times New Roman"/>
                <w:b/>
                <w:iCs/>
                <w:szCs w:val="22"/>
                <w:lang w:eastAsia="en-US"/>
              </w:rPr>
            </w:pPr>
            <w:r>
              <w:rPr>
                <w:rFonts w:ascii="Arial Narrow" w:hAnsi="Arial Narrow" w:cs="Times New Roman"/>
                <w:b/>
                <w:iCs/>
                <w:szCs w:val="22"/>
                <w:lang w:eastAsia="en-US"/>
              </w:rPr>
              <w:t xml:space="preserve">Mitigation Measures </w:t>
            </w:r>
          </w:p>
        </w:tc>
      </w:tr>
      <w:tr w14:paraId="40C37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tcPr>
          <w:p w14:paraId="07A0591E">
            <w:pPr>
              <w:spacing w:after="0"/>
              <w:rPr>
                <w:rFonts w:cstheme="minorHAnsi"/>
              </w:rPr>
            </w:pPr>
            <w:r>
              <w:rPr>
                <w:rFonts w:cstheme="minorHAnsi"/>
              </w:rPr>
              <w:t>Gender-Based Violence and Sexual Exploitation and Abuse (SEA) and Sexual Harassment (SH)</w:t>
            </w:r>
          </w:p>
        </w:tc>
        <w:tc>
          <w:tcPr>
            <w:tcW w:w="4169" w:type="pct"/>
          </w:tcPr>
          <w:p w14:paraId="12D9EF6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Develop and implement a plan to manage the risk of SEA/SH. </w:t>
            </w:r>
          </w:p>
          <w:p w14:paraId="2D8775EB">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Map the GBV referral pathways and create awareness among women and men on the risk of SEA/SH</w:t>
            </w:r>
          </w:p>
        </w:tc>
      </w:tr>
      <w:tr w14:paraId="63FD4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tcPr>
          <w:p w14:paraId="54B41207">
            <w:pPr>
              <w:spacing w:after="0"/>
              <w:rPr>
                <w:rFonts w:cstheme="minorHAnsi"/>
              </w:rPr>
            </w:pPr>
            <w:r>
              <w:rPr>
                <w:rFonts w:cstheme="minorHAnsi"/>
              </w:rPr>
              <w:t>Inadequate stakeholder Engagement and Exclusion of disadvantaged and vulnerable groups</w:t>
            </w:r>
          </w:p>
        </w:tc>
        <w:tc>
          <w:tcPr>
            <w:tcW w:w="4169" w:type="pct"/>
          </w:tcPr>
          <w:p w14:paraId="130C5AAE">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Share project information widely and in a timely manner through diverse, feasible and accessible channels of communication e.g., public forums.</w:t>
            </w:r>
          </w:p>
          <w:p w14:paraId="5BFF7A2F">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Introduce measures for affirmative action that would ensure especially persons with disability, the elderly and women have access to job opportunities.</w:t>
            </w:r>
          </w:p>
          <w:p w14:paraId="72FF4705">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Undertake recruitment transparently, while ensuring the inclusion of disadvantaged groups.</w:t>
            </w:r>
          </w:p>
          <w:p w14:paraId="465484E0">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Develop and implementation of a stakeholder engagement plan.</w:t>
            </w:r>
          </w:p>
          <w:p w14:paraId="337A5B2B">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Engage stakeholders throughout the project phase as guided by the approved stakeholder engagement plan.</w:t>
            </w:r>
          </w:p>
          <w:p w14:paraId="780859A2">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Culturally appropriate consultations and early involvement of VMGs in the project.</w:t>
            </w:r>
          </w:p>
          <w:p w14:paraId="736393F5">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Use of tailored communication channels to ensure VMGs can access project information.</w:t>
            </w:r>
          </w:p>
          <w:p w14:paraId="4E3024CD">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Training and empowerment programs to enhance VMG participation.</w:t>
            </w:r>
          </w:p>
          <w:p w14:paraId="28009D9F">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Ensure VMGs have equal access to project benefits and opportunities.</w:t>
            </w:r>
          </w:p>
          <w:p w14:paraId="3AABABBD">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Culturally sensitive systems for VMGs to safely report issues.</w:t>
            </w:r>
          </w:p>
          <w:p w14:paraId="66E8365E">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Adherence to policies that protect VMG rights.</w:t>
            </w:r>
          </w:p>
          <w:p w14:paraId="1B248B35">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Ongoing assessment involving VMGs to track the project’s impact on them.</w:t>
            </w:r>
          </w:p>
        </w:tc>
      </w:tr>
      <w:tr w14:paraId="2B4BC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tcPr>
          <w:p w14:paraId="7AB2BE0B">
            <w:pPr>
              <w:spacing w:after="0"/>
              <w:rPr>
                <w:rFonts w:cstheme="minorHAnsi"/>
              </w:rPr>
            </w:pPr>
            <w:r>
              <w:rPr>
                <w:rFonts w:cstheme="minorHAnsi"/>
              </w:rPr>
              <w:t>Water Pollution/Contamination</w:t>
            </w:r>
          </w:p>
        </w:tc>
        <w:tc>
          <w:tcPr>
            <w:tcW w:w="4169" w:type="pct"/>
          </w:tcPr>
          <w:p w14:paraId="3631B078">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To mitigate the impacts of water pollution and contamination, the project should prioritize integrated water management approaches that address both the root causes and symptoms of pollution. This includes investing in infrastructure for safe drinking water supply, wastewater treatment, and solid waste management, promoting sustainable agricultural practices to reduce runoff and pollution, strengthening regulatory frameworks and enforcement mechanisms to prevent industrial pollution, and raising awareness about the importance of water conservation and pollution prevention among community members.</w:t>
            </w:r>
          </w:p>
        </w:tc>
      </w:tr>
      <w:tr w14:paraId="4F50B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tcPr>
          <w:p w14:paraId="583BC625">
            <w:pPr>
              <w:spacing w:after="0"/>
              <w:rPr>
                <w:rFonts w:cstheme="minorHAnsi"/>
              </w:rPr>
            </w:pPr>
            <w:r>
              <w:rPr>
                <w:rFonts w:cstheme="minorHAnsi"/>
              </w:rPr>
              <w:t>Foul smell</w:t>
            </w:r>
          </w:p>
        </w:tc>
        <w:tc>
          <w:tcPr>
            <w:tcW w:w="4169" w:type="pct"/>
          </w:tcPr>
          <w:p w14:paraId="66D7652A">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Install biofilters, which use natural biological processes to filter and neutralize odorous compounds from the air.</w:t>
            </w:r>
          </w:p>
          <w:p w14:paraId="7050FCE8">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Transport sludge and other materials in enclosed conveyors or pipelines to prevent the escape of odors.</w:t>
            </w:r>
          </w:p>
          <w:p w14:paraId="6E034BC3">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Minimize the time sludge spends in open-air conditions by quickly processing and covering it to reduce odor generation.</w:t>
            </w:r>
          </w:p>
          <w:p w14:paraId="0F7E5EDF">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Dewater and stabilize sludge as quickly as possible to reduce the biological activity that causes odors.</w:t>
            </w:r>
          </w:p>
          <w:p w14:paraId="7E0A3B31">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Create buffer zones with green belts or vegetation around the plant to absorb and disperse odors.</w:t>
            </w:r>
          </w:p>
          <w:p w14:paraId="698DD11E">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Place the most odor-intensive operations away from residential areas and near the center of the facility to minimize exposure to the community.</w:t>
            </w:r>
          </w:p>
          <w:p w14:paraId="009C51BB">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Implement regular cleaning schedules for all equipment and facilities to prevent the buildup of odorous materials.</w:t>
            </w:r>
          </w:p>
          <w:p w14:paraId="07F820A5">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Quickly repair any leaks, overflows, or broken equipment that could lead to increased odor emissions.</w:t>
            </w:r>
          </w:p>
          <w:p w14:paraId="550905C6">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Regularly monitor odor levels in and around the plant and share the results with the community.</w:t>
            </w:r>
          </w:p>
          <w:p w14:paraId="562F6C3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Establish a system for the community to report odors and ensure a rapid response to any issues raised.</w:t>
            </w:r>
          </w:p>
          <w:p w14:paraId="74582025">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Use trees and plants known for their odor-absorbing properties around the facility.</w:t>
            </w:r>
          </w:p>
          <w:p w14:paraId="73D63049">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Avoid overloading treatment systems, as this can lead to incomplete processing and higher odor emissions.</w:t>
            </w:r>
          </w:p>
          <w:p w14:paraId="082D5CE0">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Adjust operations during hot seasons when odour emissions might be higher due to increased microbial activity</w:t>
            </w:r>
          </w:p>
        </w:tc>
      </w:tr>
      <w:tr w14:paraId="4968BC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31" w:type="pct"/>
          </w:tcPr>
          <w:p w14:paraId="579BA15F">
            <w:pPr>
              <w:spacing w:after="0"/>
              <w:rPr>
                <w:rFonts w:cstheme="minorHAnsi"/>
              </w:rPr>
            </w:pPr>
            <w:r>
              <w:rPr>
                <w:rFonts w:cstheme="minorHAnsi"/>
              </w:rPr>
              <w:t>Mosquito nuisance</w:t>
            </w:r>
          </w:p>
        </w:tc>
        <w:tc>
          <w:tcPr>
            <w:tcW w:w="4169" w:type="pct"/>
          </w:tcPr>
          <w:p w14:paraId="41BB4BD2">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Establish a maintenance schedule to remove debris and organic matter from ponds, along with a monitoring program for mosquito populations.</w:t>
            </w:r>
          </w:p>
          <w:p w14:paraId="49588FDB">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Incorporate aeration systems in water retention ponds and introduce natural predators (e.g., fish) to control mosquito larvae. Use constructed wetlands for biological control.</w:t>
            </w:r>
          </w:p>
          <w:p w14:paraId="659392DB">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Manage swampy areas with vegetation that repels mosquitoes and ensure drying beds are designed to prevent standing water.</w:t>
            </w:r>
          </w:p>
          <w:p w14:paraId="6975D4A4">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Educate local communities on mosquito control and involve stakeholders in monitoring efforts.</w:t>
            </w:r>
          </w:p>
          <w:p w14:paraId="686B85C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Develop an Integrated Pest Management plan, considering biological, physical, and environmentally safe chemical controls, including the use of larvicides if necessary.</w:t>
            </w:r>
          </w:p>
          <w:p w14:paraId="088AA1AA">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Use mosquito-repelling plants in landscaping and ensure proper drainage to prevent stagnant water accumulation.</w:t>
            </w:r>
          </w:p>
        </w:tc>
      </w:tr>
    </w:tbl>
    <w:p w14:paraId="2C328D0C">
      <w:pPr>
        <w:tabs>
          <w:tab w:val="left" w:pos="709"/>
        </w:tabs>
        <w:ind w:left="709"/>
        <w:jc w:val="both"/>
        <w:rPr>
          <w:b/>
          <w:lang w:eastAsia="ja-JP"/>
        </w:rPr>
      </w:pPr>
      <w:r>
        <w:rPr>
          <w:b/>
          <w:lang w:eastAsia="ja-JP"/>
        </w:rPr>
        <w:t>Anticipated Negative Impacts During Decommissioning Phase</w:t>
      </w:r>
    </w:p>
    <w:tbl>
      <w:tblPr>
        <w:tblStyle w:val="86"/>
        <w:tblW w:w="5343"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738"/>
        <w:gridCol w:w="8138"/>
      </w:tblGrid>
      <w:tr w14:paraId="1A0E49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0" w:type="pct"/>
          </w:tcPr>
          <w:p w14:paraId="02346717">
            <w:pPr>
              <w:spacing w:after="0"/>
              <w:rPr>
                <w:rFonts w:cstheme="minorHAnsi"/>
                <w:b/>
              </w:rPr>
            </w:pPr>
            <w:r>
              <w:rPr>
                <w:rFonts w:cstheme="minorHAnsi"/>
                <w:b/>
              </w:rPr>
              <w:t>Impacts</w:t>
            </w:r>
          </w:p>
        </w:tc>
        <w:tc>
          <w:tcPr>
            <w:tcW w:w="4120" w:type="pct"/>
          </w:tcPr>
          <w:p w14:paraId="2F639315">
            <w:pPr>
              <w:pStyle w:val="289"/>
              <w:tabs>
                <w:tab w:val="left" w:pos="9000"/>
                <w:tab w:val="left" w:pos="9090"/>
              </w:tabs>
              <w:spacing w:before="0"/>
              <w:ind w:left="0" w:right="95" w:firstLine="0"/>
              <w:rPr>
                <w:rFonts w:ascii="Arial Narrow" w:hAnsi="Arial Narrow" w:cs="Times New Roman"/>
                <w:b/>
                <w:iCs/>
                <w:szCs w:val="22"/>
                <w:lang w:eastAsia="en-US"/>
              </w:rPr>
            </w:pPr>
            <w:r>
              <w:rPr>
                <w:rFonts w:ascii="Arial Narrow" w:hAnsi="Arial Narrow" w:cs="Times New Roman"/>
                <w:b/>
                <w:iCs/>
                <w:szCs w:val="22"/>
                <w:lang w:eastAsia="en-US"/>
              </w:rPr>
              <w:t xml:space="preserve">Mitigation Measures </w:t>
            </w:r>
          </w:p>
        </w:tc>
      </w:tr>
      <w:tr w14:paraId="57E0A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0" w:type="pct"/>
          </w:tcPr>
          <w:p w14:paraId="079CFD6A">
            <w:pPr>
              <w:spacing w:after="0"/>
              <w:rPr>
                <w:rFonts w:cstheme="minorHAnsi"/>
              </w:rPr>
            </w:pPr>
            <w:r>
              <w:rPr>
                <w:rFonts w:cstheme="minorHAnsi"/>
              </w:rPr>
              <w:t>Disruption of Services</w:t>
            </w:r>
          </w:p>
        </w:tc>
        <w:tc>
          <w:tcPr>
            <w:tcW w:w="4120" w:type="pct"/>
          </w:tcPr>
          <w:p w14:paraId="59B63BC8">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Implement phased decommissioning to minimize disruption to services.</w:t>
            </w:r>
          </w:p>
          <w:p w14:paraId="3F2055A7">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Provide alternative sanitation options for affected people.</w:t>
            </w:r>
          </w:p>
          <w:p w14:paraId="2CB2868E">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Schedule decommissioning activities during off-peak hours to reduce impact on service provision.</w:t>
            </w:r>
          </w:p>
        </w:tc>
      </w:tr>
      <w:tr w14:paraId="729F8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0" w:type="pct"/>
          </w:tcPr>
          <w:p w14:paraId="25F0F58C">
            <w:pPr>
              <w:spacing w:after="0"/>
              <w:rPr>
                <w:rFonts w:cstheme="minorHAnsi"/>
              </w:rPr>
            </w:pPr>
            <w:r>
              <w:rPr>
                <w:rFonts w:cstheme="minorHAnsi"/>
              </w:rPr>
              <w:t>Environmental Disturbance</w:t>
            </w:r>
          </w:p>
        </w:tc>
        <w:tc>
          <w:tcPr>
            <w:tcW w:w="4120" w:type="pct"/>
          </w:tcPr>
          <w:p w14:paraId="3E5B9D1F">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Conduct thorough environmental impact assessments prior to decommissioning.</w:t>
            </w:r>
          </w:p>
          <w:p w14:paraId="5BA77D4F">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Implement erosion and sediment control measures to prevent soil erosion and water pollution.</w:t>
            </w:r>
          </w:p>
          <w:p w14:paraId="2808BF4C">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Replant native vegetation and restore habitats affected by decommissioning activities.</w:t>
            </w:r>
          </w:p>
        </w:tc>
      </w:tr>
      <w:tr w14:paraId="043F15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80" w:type="pct"/>
          </w:tcPr>
          <w:p w14:paraId="27D8F08D">
            <w:pPr>
              <w:spacing w:after="0"/>
              <w:rPr>
                <w:rFonts w:cstheme="minorHAnsi"/>
                <w:lang w:bidi="en-US"/>
              </w:rPr>
            </w:pPr>
            <w:r>
              <w:rPr>
                <w:rFonts w:cstheme="minorHAnsi"/>
                <w:lang w:bidi="en-US"/>
              </w:rPr>
              <w:t xml:space="preserve">Health and Safety Concerns </w:t>
            </w:r>
          </w:p>
        </w:tc>
        <w:tc>
          <w:tcPr>
            <w:tcW w:w="4120" w:type="pct"/>
          </w:tcPr>
          <w:p w14:paraId="50B36B85">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Enforce strict safety regulations and provide adequate training for workers.</w:t>
            </w:r>
          </w:p>
          <w:p w14:paraId="0E30BF10">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Implement dust and noise control measures to minimize pollution and disturbance to nearby residents.</w:t>
            </w:r>
          </w:p>
          <w:p w14:paraId="48912B83">
            <w:pPr>
              <w:pStyle w:val="289"/>
              <w:numPr>
                <w:ilvl w:val="0"/>
                <w:numId w:val="29"/>
              </w:numPr>
              <w:tabs>
                <w:tab w:val="left" w:pos="9000"/>
                <w:tab w:val="left" w:pos="9090"/>
              </w:tabs>
              <w:spacing w:before="0"/>
              <w:ind w:left="121" w:right="95" w:hanging="197"/>
              <w:rPr>
                <w:rFonts w:ascii="Arial Narrow" w:hAnsi="Arial Narrow" w:cs="Times New Roman"/>
                <w:iCs/>
                <w:szCs w:val="22"/>
                <w:lang w:eastAsia="en-US"/>
              </w:rPr>
            </w:pPr>
            <w:r>
              <w:rPr>
                <w:rFonts w:ascii="Arial Narrow" w:hAnsi="Arial Narrow" w:cs="Times New Roman"/>
                <w:iCs/>
                <w:szCs w:val="22"/>
                <w:lang w:eastAsia="en-US"/>
              </w:rPr>
              <w:t xml:space="preserve">Communicate potential risks to the public and provide guidance on safety precautions.  </w:t>
            </w:r>
          </w:p>
        </w:tc>
      </w:tr>
    </w:tbl>
    <w:p w14:paraId="6D2890A1">
      <w:pPr>
        <w:tabs>
          <w:tab w:val="left" w:pos="709"/>
        </w:tabs>
        <w:ind w:left="709"/>
        <w:jc w:val="both"/>
        <w:rPr>
          <w:b/>
          <w:lang w:eastAsia="ja-JP"/>
        </w:rPr>
      </w:pPr>
    </w:p>
    <w:p w14:paraId="36DAB374">
      <w:pPr>
        <w:pStyle w:val="3"/>
        <w:sectPr>
          <w:headerReference r:id="rId18" w:type="default"/>
          <w:pgSz w:w="11906" w:h="16838"/>
          <w:pgMar w:top="1440" w:right="1440" w:bottom="1440" w:left="1440" w:header="708" w:footer="708" w:gutter="0"/>
          <w:pgNumType w:fmt="lowerRoman"/>
          <w:cols w:space="708" w:num="1"/>
          <w:docGrid w:linePitch="360" w:charSpace="0"/>
        </w:sectPr>
      </w:pPr>
    </w:p>
    <w:p w14:paraId="43426F94">
      <w:pPr>
        <w:pStyle w:val="3"/>
      </w:pPr>
      <w:bookmarkStart w:id="36" w:name="_Toc179904019"/>
      <w:r>
        <w:t xml:space="preserve">ES 11: </w:t>
      </w:r>
      <w:r>
        <w:tab/>
      </w:r>
      <w:r>
        <w:t>ESMMP</w:t>
      </w:r>
      <w:bookmarkEnd w:id="36"/>
      <w:r>
        <w:t xml:space="preserve"> </w:t>
      </w:r>
    </w:p>
    <w:p w14:paraId="55CB3359">
      <w:pPr>
        <w:ind w:left="709"/>
        <w:rPr>
          <w:b/>
        </w:rPr>
      </w:pPr>
      <w:r>
        <w:rPr>
          <w:b/>
        </w:rPr>
        <w:t>Implementation Arrangements for the Environmental and Social Management Plan (ESMP)</w:t>
      </w:r>
    </w:p>
    <w:p w14:paraId="6F7DC69B">
      <w:pPr>
        <w:ind w:left="709"/>
        <w:jc w:val="both"/>
        <w:rPr>
          <w:lang w:eastAsia="ja-JP"/>
        </w:rPr>
      </w:pPr>
      <w:r>
        <w:rPr>
          <w:lang w:eastAsia="ja-JP"/>
        </w:rPr>
        <w:t>Implementing an Environmental and Social Management Plan (ESMP) for the Wajir Faecal Sludge Treatment Plant (FSTP) involves coordinated efforts from various stakeholders, including the project proponent, consultants, and contractors. Here’s a comprehensive overview of the implementation arrangements and capacity requirements for each party, as well as measures to ensure effective ESMP implementation;</w:t>
      </w:r>
    </w:p>
    <w:p w14:paraId="47390A04">
      <w:pPr>
        <w:ind w:left="1418" w:hanging="709"/>
        <w:rPr>
          <w:b/>
        </w:rPr>
      </w:pPr>
      <w:r>
        <w:rPr>
          <w:b/>
        </w:rPr>
        <w:t>Roles and Responsibilities</w:t>
      </w:r>
    </w:p>
    <w:p w14:paraId="32E84643">
      <w:pPr>
        <w:tabs>
          <w:tab w:val="left" w:pos="1080"/>
        </w:tabs>
        <w:ind w:left="709"/>
        <w:rPr>
          <w:rFonts w:cs="Times New Roman"/>
          <w:bCs/>
          <w:i/>
        </w:rPr>
      </w:pPr>
      <w:r>
        <w:rPr>
          <w:rFonts w:cs="Times New Roman"/>
          <w:bCs/>
          <w:i/>
        </w:rPr>
        <w:t>Project Proponent</w:t>
      </w:r>
    </w:p>
    <w:p w14:paraId="303BF799">
      <w:pPr>
        <w:pStyle w:val="115"/>
        <w:numPr>
          <w:ilvl w:val="0"/>
          <w:numId w:val="30"/>
        </w:numPr>
        <w:rPr>
          <w:b/>
          <w:bCs/>
          <w:i/>
        </w:rPr>
      </w:pPr>
      <w:r>
        <w:t>The proponent is responsible for ensuring compliance with the ESMP throughout the project lifecycle.</w:t>
      </w:r>
    </w:p>
    <w:p w14:paraId="6D10E88A">
      <w:pPr>
        <w:pStyle w:val="115"/>
        <w:numPr>
          <w:ilvl w:val="0"/>
          <w:numId w:val="30"/>
        </w:numPr>
        <w:rPr>
          <w:b/>
          <w:bCs/>
          <w:i/>
        </w:rPr>
      </w:pPr>
      <w:r>
        <w:t>Allocate necessary resources (financial, human, and technical) for the effective implementation of the ESMP.</w:t>
      </w:r>
    </w:p>
    <w:p w14:paraId="557A6F48">
      <w:pPr>
        <w:pStyle w:val="115"/>
        <w:numPr>
          <w:ilvl w:val="0"/>
          <w:numId w:val="30"/>
        </w:numPr>
        <w:rPr>
          <w:b/>
          <w:bCs/>
          <w:i/>
        </w:rPr>
      </w:pPr>
      <w:r>
        <w:t>Facilitate communication between all stakeholders, including regulatory bodies, local communities, and contractors.</w:t>
      </w:r>
    </w:p>
    <w:p w14:paraId="550BFF03">
      <w:pPr>
        <w:tabs>
          <w:tab w:val="left" w:pos="1080"/>
        </w:tabs>
        <w:ind w:left="709"/>
        <w:jc w:val="both"/>
        <w:rPr>
          <w:rFonts w:cs="Times New Roman"/>
          <w:bCs/>
          <w:i/>
        </w:rPr>
      </w:pPr>
      <w:r>
        <w:rPr>
          <w:rFonts w:cs="Times New Roman"/>
          <w:bCs/>
          <w:i/>
        </w:rPr>
        <w:t>Consultant</w:t>
      </w:r>
    </w:p>
    <w:p w14:paraId="4842F878">
      <w:pPr>
        <w:pStyle w:val="115"/>
        <w:numPr>
          <w:ilvl w:val="0"/>
          <w:numId w:val="30"/>
        </w:numPr>
      </w:pPr>
      <w:r>
        <w:t>Provide expert guidance in the design and implementation of the ESMP, ensuring that environmental and social considerations are integrated.</w:t>
      </w:r>
    </w:p>
    <w:p w14:paraId="4C430064">
      <w:pPr>
        <w:pStyle w:val="115"/>
        <w:numPr>
          <w:ilvl w:val="0"/>
          <w:numId w:val="30"/>
        </w:numPr>
      </w:pPr>
      <w:r>
        <w:t>Develop monitoring frameworks and tools to assess the effectiveness of the ESMP and prepare periodic reports for the proponent and regulatory authorities.</w:t>
      </w:r>
    </w:p>
    <w:p w14:paraId="4172CC47">
      <w:pPr>
        <w:pStyle w:val="115"/>
        <w:numPr>
          <w:ilvl w:val="0"/>
          <w:numId w:val="30"/>
        </w:numPr>
      </w:pPr>
      <w:r>
        <w:t>Conduct training sessions for project staff and contractors on ESMP requirements and best practices.</w:t>
      </w:r>
    </w:p>
    <w:p w14:paraId="6C13925D">
      <w:pPr>
        <w:tabs>
          <w:tab w:val="left" w:pos="1080"/>
        </w:tabs>
        <w:ind w:left="709"/>
        <w:jc w:val="both"/>
        <w:rPr>
          <w:rFonts w:cs="Times New Roman"/>
          <w:bCs/>
          <w:i/>
        </w:rPr>
      </w:pPr>
      <w:r>
        <w:rPr>
          <w:rFonts w:cs="Times New Roman"/>
          <w:bCs/>
          <w:i/>
        </w:rPr>
        <w:t>Contractor</w:t>
      </w:r>
    </w:p>
    <w:p w14:paraId="45E2DA11">
      <w:pPr>
        <w:pStyle w:val="115"/>
        <w:numPr>
          <w:ilvl w:val="0"/>
          <w:numId w:val="30"/>
        </w:numPr>
      </w:pPr>
      <w:r>
        <w:t>Responsible for implementing specific mitigation measures outlined in the ESMP during construction and operational phases.</w:t>
      </w:r>
    </w:p>
    <w:p w14:paraId="2AD4A7C0">
      <w:pPr>
        <w:pStyle w:val="115"/>
        <w:numPr>
          <w:ilvl w:val="0"/>
          <w:numId w:val="30"/>
        </w:numPr>
      </w:pPr>
      <w:r>
        <w:t>Maintain documentation of compliance with the ESMP and report any non-compliance incidents to the proponent and consultant.</w:t>
      </w:r>
    </w:p>
    <w:p w14:paraId="05D0FAFD">
      <w:pPr>
        <w:pStyle w:val="115"/>
        <w:numPr>
          <w:ilvl w:val="0"/>
          <w:numId w:val="30"/>
        </w:numPr>
      </w:pPr>
      <w:r>
        <w:t>Engage with local communities to address concerns related to construction activities and ensure adherence to social safeguards.</w:t>
      </w:r>
    </w:p>
    <w:p w14:paraId="3D3973BB">
      <w:pPr>
        <w:tabs>
          <w:tab w:val="left" w:pos="709"/>
        </w:tabs>
        <w:ind w:left="709"/>
      </w:pPr>
      <w:r>
        <w:rPr>
          <w:b/>
        </w:rPr>
        <w:t>ESMMP for Preconstruction Stage</w:t>
      </w:r>
    </w:p>
    <w:p w14:paraId="16924F56">
      <w:pPr>
        <w:tabs>
          <w:tab w:val="left" w:pos="709"/>
        </w:tabs>
        <w:spacing w:line="240" w:lineRule="auto"/>
        <w:ind w:left="709"/>
        <w:jc w:val="both"/>
      </w:pPr>
      <w:r>
        <w:t xml:space="preserve">The environmental and social impact mitigation plan outlines key actions to address potential project issues. For </w:t>
      </w:r>
      <w:r>
        <w:rPr>
          <w:b/>
          <w:bCs/>
        </w:rPr>
        <w:t>environmental impacts</w:t>
      </w:r>
      <w:r>
        <w:t xml:space="preserve">, delays in approvals from NEMA and other agencies will be managed by ensuring all necessary permits are obtained before starting the project, with a budget of KES 300,000. For </w:t>
      </w:r>
      <w:r>
        <w:rPr>
          <w:b/>
          <w:bCs/>
        </w:rPr>
        <w:t>social impacts</w:t>
      </w:r>
      <w:r>
        <w:t>, public participation will be conducted to address divided opinions, and local hiring will prioritize community members, with transparent communication on employment opportunities. Community engagement and employment processes will be monitored throughout the project cycle to ensure compliance.</w:t>
      </w:r>
    </w:p>
    <w:p w14:paraId="05FA4A2C">
      <w:pPr>
        <w:tabs>
          <w:tab w:val="left" w:pos="709"/>
        </w:tabs>
        <w:ind w:left="709"/>
      </w:pPr>
      <w:r>
        <w:rPr>
          <w:b/>
        </w:rPr>
        <w:t xml:space="preserve">ESMMP for Construction Phase </w:t>
      </w:r>
    </w:p>
    <w:p w14:paraId="23B05BEE">
      <w:pPr>
        <w:tabs>
          <w:tab w:val="left" w:pos="709"/>
        </w:tabs>
        <w:spacing w:line="240" w:lineRule="auto"/>
        <w:ind w:left="709"/>
        <w:jc w:val="both"/>
        <w:rPr>
          <w:b/>
          <w:bCs/>
        </w:rPr>
      </w:pPr>
      <w:r>
        <w:rPr>
          <w:b/>
          <w:bCs/>
        </w:rPr>
        <w:t>Environmental Risks</w:t>
      </w:r>
    </w:p>
    <w:p w14:paraId="3FC36F56">
      <w:pPr>
        <w:pStyle w:val="115"/>
      </w:pPr>
      <w:r>
        <w:t>Noise Pollution: Implement EMCA regulations, maintain acceptable noise levels, and use PPE. Budget: Ksh 500,000.</w:t>
      </w:r>
    </w:p>
    <w:p w14:paraId="479300B9">
      <w:pPr>
        <w:pStyle w:val="115"/>
      </w:pPr>
      <w:r>
        <w:t>Air Pollution: Use vegetation barriers, ensure regulatory compliance, and maintain equipment. Budget: Ksh 400,000.</w:t>
      </w:r>
    </w:p>
    <w:p w14:paraId="6D8F81CF">
      <w:pPr>
        <w:pStyle w:val="115"/>
      </w:pPr>
      <w:r>
        <w:t>Soil Pollution: Control erosion and monitor soil quality. Budget: Ksh 400,000.</w:t>
      </w:r>
    </w:p>
    <w:p w14:paraId="3573E2C7">
      <w:pPr>
        <w:pStyle w:val="115"/>
      </w:pPr>
      <w:r>
        <w:t>Waste Generation: Improve waste management practices and site cleanliness. Budget: Ksh 500,000.</w:t>
      </w:r>
    </w:p>
    <w:p w14:paraId="39CFBA72">
      <w:pPr>
        <w:pStyle w:val="115"/>
      </w:pPr>
      <w:r>
        <w:t>Fuel Leakage: Use containment measures for spills and treat contaminated soil. Budget: Ksh 150,000.</w:t>
      </w:r>
    </w:p>
    <w:p w14:paraId="71306C32">
      <w:pPr>
        <w:tabs>
          <w:tab w:val="left" w:pos="709"/>
        </w:tabs>
        <w:spacing w:line="240" w:lineRule="auto"/>
        <w:ind w:left="709"/>
        <w:jc w:val="both"/>
        <w:rPr>
          <w:b/>
          <w:bCs/>
        </w:rPr>
      </w:pPr>
      <w:r>
        <w:rPr>
          <w:b/>
          <w:bCs/>
        </w:rPr>
        <w:t>Social Risks</w:t>
      </w:r>
    </w:p>
    <w:p w14:paraId="69B3B0A0">
      <w:pPr>
        <w:pStyle w:val="115"/>
      </w:pPr>
      <w:r>
        <w:t>Sexual Exploitation and Abuse: Establish conduct codes, awareness campaigns, and support services. Budget: Ksh 300,000.</w:t>
      </w:r>
    </w:p>
    <w:p w14:paraId="2D8BCAB6">
      <w:pPr>
        <w:pStyle w:val="115"/>
      </w:pPr>
      <w:r>
        <w:t>Occupational Safety: Enforce safety protocols and provide protective gear. Budget: Ksh 300,000.</w:t>
      </w:r>
    </w:p>
    <w:p w14:paraId="66EC60C3">
      <w:pPr>
        <w:pStyle w:val="115"/>
      </w:pPr>
      <w:r>
        <w:t>Child Exploitation: Ensure age restrictions and monitor employment. Budget: Ksh 200,000.</w:t>
      </w:r>
    </w:p>
    <w:p w14:paraId="1548FEF8">
      <w:pPr>
        <w:pStyle w:val="115"/>
      </w:pPr>
      <w:r>
        <w:t>Crime and Insecurity: Collaborate with local authorities for security. Budget: Ksh 900,000.</w:t>
      </w:r>
    </w:p>
    <w:p w14:paraId="2C6A39AD">
      <w:pPr>
        <w:pStyle w:val="115"/>
      </w:pPr>
      <w:r>
        <w:t>Stakeholder Engagement: Share project information widely and involve disadvantaged groups. Budget: Ksh 250,000.</w:t>
      </w:r>
    </w:p>
    <w:p w14:paraId="02336390">
      <w:pPr>
        <w:pStyle w:val="115"/>
      </w:pPr>
      <w:r>
        <w:t>Gender-Based Violence: Implement management plans and establish reporting channels. Budget: Ksh 150,000.</w:t>
      </w:r>
    </w:p>
    <w:p w14:paraId="087F4A42">
      <w:pPr>
        <w:pStyle w:val="115"/>
      </w:pPr>
      <w:r>
        <w:t>HIV/AIDS Awareness: Conduct campaigns and provide health services. Budget: No additional cost.</w:t>
      </w:r>
    </w:p>
    <w:p w14:paraId="16506946">
      <w:pPr>
        <w:pStyle w:val="115"/>
      </w:pPr>
      <w:r>
        <w:t>Community Safety: Install barricades and educate on construction risks. Budget: Ksh 200,000.</w:t>
      </w:r>
    </w:p>
    <w:p w14:paraId="28AC28BB">
      <w:pPr>
        <w:tabs>
          <w:tab w:val="left" w:pos="709"/>
        </w:tabs>
        <w:ind w:left="709"/>
      </w:pPr>
      <w:r>
        <w:rPr>
          <w:b/>
        </w:rPr>
        <w:t xml:space="preserve">ESMMP for Operation Phase </w:t>
      </w:r>
    </w:p>
    <w:p w14:paraId="5B833519">
      <w:pPr>
        <w:tabs>
          <w:tab w:val="left" w:pos="709"/>
        </w:tabs>
        <w:spacing w:line="240" w:lineRule="auto"/>
        <w:ind w:left="709"/>
        <w:jc w:val="both"/>
      </w:pPr>
      <w:r>
        <w:t>The Environmental and Social Risk Management Plan addresses key impacts related to the project, focusing on Gender-Based Violence (GBV) and Sexual Exploitation and Abuse (SEA), which are prioritized with awareness programs and a grievance mechanism at no additional cost. Water pollution is a critical concern, with strategies for impermeable liners and treatment systems, also without added expenses. The plan emphasizes inclusive stakeholder engagement, allocating Ksh 200,000 for transparent communication and recruitment of disadvantaged groups. Mitigation measures for foul odors and mosquito nuisances involve biofilters and facility maintenance, with budgets of Ksh 100,000 and Ksh 200,000, respectively. Septage spill prevention during transportation is set at Ksh 250,000, while worker health measures include PPE and hygiene training, costing Ksh 100,000. Additionally, Ksh 200,000 is earmarked for controlling scavenger fauna, and Ksh 250,000 is allocated for managing greenhouse gas emissions through methane capture and process optimization. Overall, the plan reflects a strong commitment to environmental protection and community safety.</w:t>
      </w:r>
    </w:p>
    <w:p w14:paraId="7982CE52">
      <w:pPr>
        <w:tabs>
          <w:tab w:val="left" w:pos="709"/>
        </w:tabs>
        <w:spacing w:line="240" w:lineRule="auto"/>
        <w:ind w:left="709"/>
        <w:jc w:val="both"/>
        <w:rPr>
          <w:b/>
        </w:rPr>
      </w:pPr>
      <w:r>
        <w:rPr>
          <w:b/>
        </w:rPr>
        <w:t xml:space="preserve">ESMMP for Decommissioning Phase </w:t>
      </w:r>
    </w:p>
    <w:p w14:paraId="43D6C144">
      <w:pPr>
        <w:tabs>
          <w:tab w:val="left" w:pos="709"/>
        </w:tabs>
        <w:ind w:left="709"/>
        <w:jc w:val="both"/>
      </w:pPr>
      <w:r>
        <w:t>The Decommissioning Environmental and Social Risk Management Plan addresses potential impacts during the decommissioning phase, focusing on three main areas:</w:t>
      </w:r>
    </w:p>
    <w:p w14:paraId="20C13422">
      <w:pPr>
        <w:numPr>
          <w:ilvl w:val="0"/>
          <w:numId w:val="31"/>
        </w:numPr>
        <w:tabs>
          <w:tab w:val="clear" w:pos="720"/>
        </w:tabs>
        <w:ind w:left="1418" w:hanging="709"/>
        <w:jc w:val="both"/>
      </w:pPr>
      <w:r>
        <w:t>Disruption of Services (Low-Medium Impact): The plan includes phased decommissioning to minimize service interruptions, provision of alternative transportation routes, and scheduling activities during off-peak hours. Monitoring will assess service disruptions, with responsibilities shared between local administration and WAJWASCO, at no additional cost.</w:t>
      </w:r>
    </w:p>
    <w:p w14:paraId="2EF9BB71">
      <w:pPr>
        <w:numPr>
          <w:ilvl w:val="0"/>
          <w:numId w:val="31"/>
        </w:numPr>
        <w:tabs>
          <w:tab w:val="clear" w:pos="720"/>
        </w:tabs>
        <w:ind w:left="1418" w:hanging="709"/>
        <w:jc w:val="both"/>
      </w:pPr>
      <w:r>
        <w:t>Environmental Disturbance (Low-Medium Impact): Emphasizing thorough environmental impact assessments and erosion control measures, the plan aims to restore habitats by replanting native vegetation. Compliance and survival rates of replanted vegetation will be monitored, with oversight from the Environmental Management Team, WAJWASCO, and consultants.</w:t>
      </w:r>
    </w:p>
    <w:p w14:paraId="1000420F">
      <w:pPr>
        <w:numPr>
          <w:ilvl w:val="0"/>
          <w:numId w:val="31"/>
        </w:numPr>
        <w:tabs>
          <w:tab w:val="clear" w:pos="720"/>
        </w:tabs>
        <w:ind w:left="1418" w:hanging="709"/>
        <w:jc w:val="both"/>
      </w:pPr>
      <w:r>
        <w:t>Health and Safety Concerns (Medium Impact): The plan focuses on enforcing safety regulations, training workers, and implementing dust and noise control measures. Public risk communication and safety guidance will be prioritized, with monitoring of safety adherence and public feedback. Local administration and WAJWASCO will manage this area, with a budget of Ksh 200,000.</w:t>
      </w:r>
    </w:p>
    <w:p w14:paraId="62982919">
      <w:pPr>
        <w:pStyle w:val="3"/>
        <w:keepLines/>
      </w:pPr>
      <w:bookmarkStart w:id="37" w:name="_Toc179904020"/>
      <w:r>
        <w:t xml:space="preserve">ES 12: </w:t>
      </w:r>
      <w:r>
        <w:tab/>
      </w:r>
      <w:r>
        <w:t>Conclusion and Recommendations</w:t>
      </w:r>
      <w:bookmarkEnd w:id="37"/>
    </w:p>
    <w:p w14:paraId="026D9108">
      <w:pPr>
        <w:keepNext/>
        <w:keepLines/>
        <w:tabs>
          <w:tab w:val="left" w:pos="709"/>
        </w:tabs>
        <w:ind w:left="709"/>
        <w:jc w:val="both"/>
        <w:rPr>
          <w:b/>
        </w:rPr>
      </w:pPr>
      <w:r>
        <w:rPr>
          <w:b/>
        </w:rPr>
        <w:t>Conclusion</w:t>
      </w:r>
    </w:p>
    <w:p w14:paraId="09AAB08A">
      <w:pPr>
        <w:keepNext/>
        <w:keepLines/>
        <w:tabs>
          <w:tab w:val="left" w:pos="709"/>
        </w:tabs>
        <w:ind w:left="709"/>
        <w:jc w:val="both"/>
        <w:rPr>
          <w:color w:val="000000"/>
        </w:rPr>
      </w:pPr>
      <w:r>
        <w:rPr>
          <w:color w:val="000000"/>
        </w:rPr>
        <w:t>The project will offer employment to the locals both direct and indirect. The project will cause no displacement of households. With implementation of the project following the EMMP provided, negative impacts shall be reduced to the minimum maximizing on positive impacts;</w:t>
      </w:r>
    </w:p>
    <w:p w14:paraId="7443561A">
      <w:pPr>
        <w:keepNext/>
        <w:keepLines/>
        <w:tabs>
          <w:tab w:val="left" w:pos="709"/>
        </w:tabs>
        <w:ind w:left="709"/>
        <w:jc w:val="both"/>
        <w:rPr>
          <w:color w:val="000000"/>
        </w:rPr>
      </w:pPr>
      <w:r>
        <w:rPr>
          <w:color w:val="000000"/>
        </w:rPr>
        <w:t>The entire project cost is KES 570,802,041 (Five Hundred and Seventy Million, Eight Hundred and Two Thousand and Forty-One).</w:t>
      </w:r>
    </w:p>
    <w:p w14:paraId="068D5023">
      <w:pPr>
        <w:tabs>
          <w:tab w:val="left" w:pos="709"/>
        </w:tabs>
        <w:ind w:left="709"/>
        <w:jc w:val="both"/>
        <w:rPr>
          <w:color w:val="000000"/>
        </w:rPr>
      </w:pPr>
      <w:r>
        <w:rPr>
          <w:color w:val="000000"/>
        </w:rPr>
        <w:t>From the above bills, the law requires that the Client pays 0.1% of the project cost or a minimum of Kshs 10,000 as NEMA licensing fee. Based on the total cost of the project of Kshs KES 570,802,041. The Client will pay Kshs 570,802.041 to NEMA for the processing of the NEMA license for the entire project.</w:t>
      </w:r>
    </w:p>
    <w:p w14:paraId="63EE39CE">
      <w:pPr>
        <w:tabs>
          <w:tab w:val="left" w:pos="709"/>
        </w:tabs>
        <w:ind w:left="709"/>
        <w:jc w:val="both"/>
        <w:rPr>
          <w:b/>
        </w:rPr>
      </w:pPr>
      <w:r>
        <w:rPr>
          <w:b/>
        </w:rPr>
        <w:t>Recommendation</w:t>
      </w:r>
    </w:p>
    <w:p w14:paraId="452C7DB6">
      <w:pPr>
        <w:tabs>
          <w:tab w:val="left" w:pos="709"/>
        </w:tabs>
        <w:spacing w:line="240" w:lineRule="auto"/>
        <w:ind w:left="709"/>
        <w:jc w:val="both"/>
      </w:pPr>
      <w:r>
        <w:t xml:space="preserve">The Lead expert recommends the following; </w:t>
      </w:r>
    </w:p>
    <w:p w14:paraId="56DF7BD8">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There should be continuous public participation, household questionnaires, focused group discussions and stakeholder engagement administered within the project location to ensure total project acceptance.</w:t>
      </w:r>
    </w:p>
    <w:p w14:paraId="569EE74F">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ESMP measures should be effectively implemented during project implementation, and operation phase of the project under the strict supervision of the proponent and consultant to achieve maximum project acceptability;</w:t>
      </w:r>
    </w:p>
    <w:p w14:paraId="291C935F">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 xml:space="preserve">Where complains arise, the contractor, WAJWASCO and Wajir County should solve the problem according to the requirements of ESMP. </w:t>
      </w:r>
    </w:p>
    <w:p w14:paraId="484E7CE7">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The management should look for other relevant approvals where possible including National Construction Authority before commencement of the project activities.</w:t>
      </w:r>
    </w:p>
    <w:p w14:paraId="408CEA61">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Since all the insignificant negative impacts have been addressed, the consultant recommends that NEMA should approve the ESIA report so that it is implementation to benefit the communities in Alimaow and Furaha location and areas of Wajir County.</w:t>
      </w:r>
    </w:p>
    <w:p w14:paraId="22D02D93">
      <w:pPr>
        <w:pStyle w:val="289"/>
        <w:tabs>
          <w:tab w:val="left" w:pos="709"/>
          <w:tab w:val="left" w:pos="9000"/>
          <w:tab w:val="left" w:pos="9090"/>
        </w:tabs>
        <w:spacing w:before="0"/>
        <w:ind w:right="95"/>
        <w:rPr>
          <w:rFonts w:ascii="Arial Narrow" w:hAnsi="Arial Narrow" w:cs="Times New Roman"/>
          <w:iCs/>
          <w:szCs w:val="22"/>
          <w:lang w:eastAsia="en-US"/>
        </w:rPr>
      </w:pPr>
    </w:p>
    <w:p w14:paraId="4591FBBB">
      <w:pPr>
        <w:pStyle w:val="289"/>
        <w:tabs>
          <w:tab w:val="left" w:pos="709"/>
          <w:tab w:val="left" w:pos="9000"/>
          <w:tab w:val="left" w:pos="9090"/>
        </w:tabs>
        <w:spacing w:before="0"/>
        <w:ind w:right="95"/>
        <w:rPr>
          <w:rFonts w:ascii="Arial Narrow" w:hAnsi="Arial Narrow" w:cs="Times New Roman"/>
          <w:iCs/>
          <w:szCs w:val="22"/>
          <w:lang w:eastAsia="en-US"/>
        </w:rPr>
        <w:sectPr>
          <w:headerReference r:id="rId19" w:type="default"/>
          <w:footerReference r:id="rId20" w:type="default"/>
          <w:pgSz w:w="11906" w:h="16838"/>
          <w:pgMar w:top="1440" w:right="1440" w:bottom="1440" w:left="1440" w:header="708" w:footer="708" w:gutter="0"/>
          <w:pgNumType w:fmt="lowerRoman"/>
          <w:cols w:space="708" w:num="1"/>
          <w:docGrid w:linePitch="360" w:charSpace="0"/>
        </w:sectPr>
      </w:pPr>
    </w:p>
    <w:p w14:paraId="07081D25">
      <w:pPr>
        <w:pStyle w:val="2"/>
        <w:rPr>
          <w:lang w:val="en-GB"/>
        </w:rPr>
      </w:pPr>
      <w:bookmarkStart w:id="38" w:name="_Toc120699551"/>
      <w:bookmarkStart w:id="39" w:name="_Ref173669106"/>
      <w:bookmarkStart w:id="40" w:name="_Toc170722937"/>
      <w:bookmarkStart w:id="41" w:name="_Toc179904021"/>
      <w:bookmarkStart w:id="42" w:name="_Toc164867962"/>
      <w:r>
        <w:rPr>
          <w:lang w:val="en-GB"/>
        </w:rPr>
        <w:t xml:space="preserve">1. </w:t>
      </w:r>
      <w:r>
        <w:rPr>
          <w:lang w:val="en-GB"/>
        </w:rPr>
        <w:tab/>
      </w:r>
      <w:r>
        <w:rPr>
          <w:lang w:val="en-GB"/>
        </w:rPr>
        <w:t>INTRODUCTION</w:t>
      </w:r>
      <w:bookmarkEnd w:id="38"/>
      <w:bookmarkEnd w:id="39"/>
      <w:bookmarkEnd w:id="40"/>
      <w:bookmarkEnd w:id="41"/>
      <w:bookmarkEnd w:id="42"/>
    </w:p>
    <w:p w14:paraId="5D52CEF5">
      <w:pPr>
        <w:pStyle w:val="3"/>
        <w:rPr>
          <w:szCs w:val="24"/>
          <w:lang w:val="en-GB"/>
        </w:rPr>
      </w:pPr>
      <w:bookmarkStart w:id="43" w:name="_Toc170722938"/>
      <w:bookmarkStart w:id="44" w:name="_Toc179904022"/>
      <w:r>
        <w:rPr>
          <w:lang w:val="en-GB"/>
        </w:rPr>
        <w:t xml:space="preserve">1.1 </w:t>
      </w:r>
      <w:r>
        <w:rPr>
          <w:lang w:val="en-GB"/>
        </w:rPr>
        <w:tab/>
      </w:r>
      <w:r>
        <w:rPr>
          <w:lang w:val="en-GB"/>
        </w:rPr>
        <w:t xml:space="preserve">Back Ground </w:t>
      </w:r>
      <w:r>
        <w:rPr>
          <w:szCs w:val="24"/>
          <w:lang w:val="en-GB"/>
        </w:rPr>
        <w:t>Information</w:t>
      </w:r>
      <w:bookmarkEnd w:id="43"/>
      <w:bookmarkEnd w:id="44"/>
    </w:p>
    <w:p w14:paraId="4CDA87E3">
      <w:pPr>
        <w:pStyle w:val="78"/>
        <w:tabs>
          <w:tab w:val="left" w:pos="709"/>
        </w:tabs>
        <w:spacing w:before="0" w:line="240" w:lineRule="auto"/>
        <w:ind w:left="709" w:right="95"/>
        <w:rPr>
          <w:rFonts w:ascii="Arial Narrow" w:hAnsi="Arial Narrow" w:eastAsia="Times New Roman" w:cs="Times New Roman"/>
        </w:rPr>
      </w:pPr>
      <w:r>
        <w:rPr>
          <w:rFonts w:ascii="Arial Narrow" w:hAnsi="Arial Narrow" w:eastAsia="Times New Roman" w:cs="Times New Roman"/>
          <w:szCs w:val="22"/>
          <w:lang w:eastAsia="en-US"/>
        </w:rPr>
        <w:t>The Government of Kenya is undertaking Water and Sanitation Development Project (WSDP), with financing from the World Bank.  Component 2 of the Project entails the Expansion of water supply and sanitation services in marginalized areas in the North-eastern Counties of Kenya that includes Wajir County.</w:t>
      </w:r>
    </w:p>
    <w:p w14:paraId="769BE51B">
      <w:pPr>
        <w:pStyle w:val="78"/>
        <w:tabs>
          <w:tab w:val="left" w:pos="709"/>
        </w:tabs>
        <w:spacing w:before="0" w:line="240" w:lineRule="auto"/>
        <w:ind w:left="709" w:right="95"/>
        <w:rPr>
          <w:rFonts w:ascii="Arial Narrow" w:hAnsi="Arial Narrow" w:eastAsia="Times New Roman" w:cs="Times New Roman"/>
        </w:rPr>
      </w:pPr>
      <w:r>
        <w:rPr>
          <w:rFonts w:ascii="Arial Narrow" w:hAnsi="Arial Narrow" w:eastAsia="Times New Roman" w:cs="Times New Roman"/>
          <w:szCs w:val="22"/>
          <w:lang w:eastAsia="en-US"/>
        </w:rPr>
        <w:t>Wajir Water and Sewerage Company Limited (WAJWASCO) is the implementing agencies of the WSDP in Wajir County. Wajir Water &amp; Sewerage Co. Ltd, (WAJWASCO) was incorporated in 2013 under the companies Act 2002 (cap.486). The company is currently regulated by WASREB, through a Service Provision Agreement (SPA) in 30/09/2014 to provide water supply and sewerage services within Wajir Town and its environs. The County Government of Wajir has appointed WAJWASCO as a Water Services Provider (WSP) for the whole of Wajir County.</w:t>
      </w:r>
    </w:p>
    <w:p w14:paraId="55B12E40">
      <w:pPr>
        <w:pStyle w:val="78"/>
        <w:tabs>
          <w:tab w:val="left" w:pos="709"/>
        </w:tabs>
        <w:spacing w:before="0" w:line="240" w:lineRule="auto"/>
        <w:ind w:left="709" w:right="95"/>
        <w:rPr>
          <w:rFonts w:ascii="Arial Narrow" w:hAnsi="Arial Narrow" w:eastAsia="Times New Roman" w:cs="Times New Roman"/>
        </w:rPr>
      </w:pPr>
      <w:r>
        <w:rPr>
          <w:rFonts w:ascii="Arial Narrow" w:hAnsi="Arial Narrow" w:eastAsia="Times New Roman" w:cs="Times New Roman"/>
          <w:szCs w:val="22"/>
          <w:lang w:eastAsia="en-US"/>
        </w:rPr>
        <w:t xml:space="preserve">In April 2021, WAJWASCO awarded the East African Engineering Consultants Ltd in Joint Venture with Systel Engineering Ltd in association with SULIS Ltd the contract to undertake consultancy services for the design review, preparation of final detailed design, bidding documents, environmental and social impact assessments (ESIAs), resettlement action plans (RAPs), supervision of water and sanitation works in Wajir town and the provision of technical assistance to WAJWASCO. </w:t>
      </w:r>
    </w:p>
    <w:p w14:paraId="09482764">
      <w:pPr>
        <w:pStyle w:val="78"/>
        <w:tabs>
          <w:tab w:val="left" w:pos="709"/>
        </w:tabs>
        <w:spacing w:before="0" w:line="240" w:lineRule="auto"/>
        <w:ind w:left="709" w:right="95"/>
        <w:rPr>
          <w:rFonts w:ascii="Arial Narrow" w:hAnsi="Arial Narrow" w:eastAsia="Times New Roman" w:cs="Times New Roman"/>
        </w:rPr>
      </w:pPr>
      <w:r>
        <w:rPr>
          <w:rFonts w:ascii="Arial Narrow" w:hAnsi="Arial Narrow" w:eastAsia="Times New Roman" w:cs="Times New Roman"/>
          <w:szCs w:val="22"/>
          <w:lang w:eastAsia="en-US"/>
        </w:rPr>
        <w:t>The project Components were repackaged in four categories;</w:t>
      </w:r>
    </w:p>
    <w:p w14:paraId="301BEE83">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 xml:space="preserve">Review and Supervision of implementation of Environmental and Social Safeguards. </w:t>
      </w:r>
    </w:p>
    <w:p w14:paraId="43690CBC">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Sanitation Improvement project.</w:t>
      </w:r>
    </w:p>
    <w:p w14:paraId="301A4F1B">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Faecal sludge Management Works and operational auxiliary facilities</w:t>
      </w:r>
    </w:p>
    <w:p w14:paraId="123F6121">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 xml:space="preserve">Construction of Sanitary Lanes. </w:t>
      </w:r>
    </w:p>
    <w:p w14:paraId="68803692">
      <w:pPr>
        <w:pStyle w:val="78"/>
        <w:tabs>
          <w:tab w:val="left" w:pos="709"/>
          <w:tab w:val="left" w:pos="7797"/>
        </w:tabs>
        <w:spacing w:before="0" w:line="240" w:lineRule="auto"/>
        <w:ind w:left="709" w:right="95"/>
        <w:rPr>
          <w:rFonts w:ascii="Arial Narrow" w:hAnsi="Arial Narrow" w:eastAsia="Times New Roman" w:cs="Times New Roman"/>
          <w:szCs w:val="22"/>
          <w:lang w:eastAsia="en-US"/>
        </w:rPr>
      </w:pPr>
    </w:p>
    <w:p w14:paraId="0DA7B26C">
      <w:pPr>
        <w:pStyle w:val="78"/>
        <w:tabs>
          <w:tab w:val="left" w:pos="709"/>
          <w:tab w:val="left" w:pos="7797"/>
        </w:tabs>
        <w:spacing w:before="0" w:line="240" w:lineRule="auto"/>
        <w:ind w:left="709" w:right="95"/>
        <w:rPr>
          <w:rFonts w:ascii="Arial Narrow" w:hAnsi="Arial Narrow" w:eastAsia="Times New Roman" w:cs="Times New Roman"/>
        </w:rPr>
      </w:pPr>
      <w:r>
        <w:rPr>
          <w:rFonts w:ascii="Arial Narrow" w:hAnsi="Arial Narrow" w:eastAsia="Times New Roman" w:cs="Times New Roman"/>
          <w:szCs w:val="22"/>
          <w:lang w:eastAsia="en-US"/>
        </w:rPr>
        <w:t>This Detailed Design Review Report is for the Faecal Sludge Management Works and the auxiliary facilities for Wajir Town. An Inception Report of May 2021 and a Conceptual Design Review Report of June 2021 preceded it.</w:t>
      </w:r>
    </w:p>
    <w:p w14:paraId="75748B0F">
      <w:pPr>
        <w:pStyle w:val="3"/>
      </w:pPr>
      <w:bookmarkStart w:id="45" w:name="_Toc160348455"/>
      <w:bookmarkStart w:id="46" w:name="_Toc163819974"/>
      <w:bookmarkStart w:id="47" w:name="_Toc165561255"/>
      <w:bookmarkStart w:id="48" w:name="_Toc179904023"/>
      <w:bookmarkStart w:id="49" w:name="_Toc170722939"/>
      <w:r>
        <w:t xml:space="preserve">1.2 </w:t>
      </w:r>
      <w:r>
        <w:tab/>
      </w:r>
      <w:r>
        <w:t>Project objective</w:t>
      </w:r>
      <w:bookmarkEnd w:id="45"/>
      <w:bookmarkEnd w:id="46"/>
      <w:bookmarkEnd w:id="47"/>
      <w:r>
        <w:t>s</w:t>
      </w:r>
      <w:bookmarkEnd w:id="48"/>
      <w:bookmarkEnd w:id="49"/>
    </w:p>
    <w:p w14:paraId="1307B6A3">
      <w:pPr>
        <w:pStyle w:val="78"/>
        <w:tabs>
          <w:tab w:val="left" w:pos="709"/>
        </w:tabs>
        <w:spacing w:before="0" w:line="240" w:lineRule="auto"/>
        <w:ind w:left="709" w:right="848"/>
        <w:rPr>
          <w:rFonts w:ascii="Arial Narrow" w:hAnsi="Arial Narrow" w:eastAsia="Times New Roman" w:cs="Times New Roman"/>
        </w:rPr>
      </w:pPr>
      <w:r>
        <w:rPr>
          <w:rFonts w:ascii="Arial Narrow" w:hAnsi="Arial Narrow" w:eastAsia="Times New Roman" w:cs="Times New Roman"/>
          <w:szCs w:val="22"/>
          <w:lang w:eastAsia="en-US"/>
        </w:rPr>
        <w:t>The detailed design of the WFS&amp;STP components has been based on the following objectives.</w:t>
      </w:r>
    </w:p>
    <w:p w14:paraId="29F64C2E">
      <w:pPr>
        <w:pStyle w:val="289"/>
        <w:numPr>
          <w:ilvl w:val="0"/>
          <w:numId w:val="29"/>
        </w:numPr>
        <w:tabs>
          <w:tab w:val="left" w:pos="709"/>
          <w:tab w:val="left" w:pos="7230"/>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To improve sanitation and public health in the Wajir town.</w:t>
      </w:r>
    </w:p>
    <w:p w14:paraId="68D546B1">
      <w:pPr>
        <w:pStyle w:val="289"/>
        <w:numPr>
          <w:ilvl w:val="0"/>
          <w:numId w:val="29"/>
        </w:numPr>
        <w:tabs>
          <w:tab w:val="left" w:pos="709"/>
          <w:tab w:val="left" w:pos="7230"/>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To reduce waterborne diseases through proper faecal sludge and septage treatment.</w:t>
      </w:r>
    </w:p>
    <w:p w14:paraId="5905E72A">
      <w:pPr>
        <w:pStyle w:val="289"/>
        <w:numPr>
          <w:ilvl w:val="0"/>
          <w:numId w:val="29"/>
        </w:numPr>
        <w:tabs>
          <w:tab w:val="left" w:pos="709"/>
          <w:tab w:val="left" w:pos="7230"/>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To protect groundwater and surface water from contamination.</w:t>
      </w:r>
    </w:p>
    <w:p w14:paraId="5282218E">
      <w:pPr>
        <w:pStyle w:val="289"/>
        <w:numPr>
          <w:ilvl w:val="0"/>
          <w:numId w:val="29"/>
        </w:numPr>
        <w:tabs>
          <w:tab w:val="left" w:pos="709"/>
          <w:tab w:val="left" w:pos="7230"/>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To establish a sustainable waste management system.</w:t>
      </w:r>
    </w:p>
    <w:p w14:paraId="654E229E">
      <w:pPr>
        <w:pStyle w:val="289"/>
        <w:numPr>
          <w:ilvl w:val="0"/>
          <w:numId w:val="29"/>
        </w:numPr>
        <w:tabs>
          <w:tab w:val="left" w:pos="709"/>
          <w:tab w:val="left" w:pos="7230"/>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To promote the use of treated by-products in agriculture.</w:t>
      </w:r>
    </w:p>
    <w:p w14:paraId="01930608">
      <w:pPr>
        <w:pStyle w:val="289"/>
        <w:numPr>
          <w:ilvl w:val="0"/>
          <w:numId w:val="29"/>
        </w:numPr>
        <w:tabs>
          <w:tab w:val="left" w:pos="709"/>
          <w:tab w:val="left" w:pos="7230"/>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To build capacity among local authorities and stakeholders.</w:t>
      </w:r>
    </w:p>
    <w:p w14:paraId="005B1356">
      <w:pPr>
        <w:pStyle w:val="289"/>
        <w:numPr>
          <w:ilvl w:val="0"/>
          <w:numId w:val="29"/>
        </w:numPr>
        <w:tabs>
          <w:tab w:val="left" w:pos="709"/>
          <w:tab w:val="left" w:pos="7230"/>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To engage the community in sanitation practices and plant benefits.</w:t>
      </w:r>
    </w:p>
    <w:p w14:paraId="41018716">
      <w:pPr>
        <w:pStyle w:val="289"/>
        <w:numPr>
          <w:ilvl w:val="0"/>
          <w:numId w:val="29"/>
        </w:numPr>
        <w:tabs>
          <w:tab w:val="left" w:pos="709"/>
          <w:tab w:val="left" w:pos="7230"/>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To create job opportunities and stimulate economic development.</w:t>
      </w:r>
    </w:p>
    <w:p w14:paraId="72A828D9">
      <w:pPr>
        <w:pStyle w:val="289"/>
        <w:numPr>
          <w:ilvl w:val="0"/>
          <w:numId w:val="29"/>
        </w:numPr>
        <w:tabs>
          <w:tab w:val="left" w:pos="709"/>
          <w:tab w:val="left" w:pos="7230"/>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To ensure compliance with national and international sanitation standards.</w:t>
      </w:r>
    </w:p>
    <w:p w14:paraId="3833F6B5">
      <w:pPr>
        <w:pStyle w:val="78"/>
        <w:numPr>
          <w:ilvl w:val="0"/>
          <w:numId w:val="32"/>
        </w:numPr>
        <w:tabs>
          <w:tab w:val="left" w:pos="709"/>
          <w:tab w:val="left" w:pos="7230"/>
        </w:tabs>
        <w:spacing w:before="0" w:line="240" w:lineRule="auto"/>
        <w:ind w:right="95" w:hanging="720"/>
        <w:rPr>
          <w:rFonts w:ascii="Arial Narrow" w:hAnsi="Arial Narrow" w:eastAsia="Times New Roman" w:cs="Times New Roman"/>
        </w:rPr>
      </w:pPr>
      <w:r>
        <w:rPr>
          <w:rFonts w:ascii="Arial Narrow" w:hAnsi="Arial Narrow" w:eastAsia="Times New Roman" w:cs="Times New Roman"/>
          <w:szCs w:val="22"/>
          <w:lang w:eastAsia="en-US"/>
        </w:rPr>
        <w:t>To implement innovative technologies for effective waste treatment and resource recovery.</w:t>
      </w:r>
    </w:p>
    <w:p w14:paraId="3C8C4A8E">
      <w:pPr>
        <w:pStyle w:val="3"/>
      </w:pPr>
      <w:bookmarkStart w:id="50" w:name="_Toc160348456"/>
      <w:bookmarkStart w:id="51" w:name="_Toc170722940"/>
      <w:bookmarkStart w:id="52" w:name="_Toc163819975"/>
      <w:bookmarkStart w:id="53" w:name="_Toc165561256"/>
      <w:bookmarkStart w:id="54" w:name="_Toc158721336"/>
      <w:bookmarkStart w:id="55" w:name="_Toc179904024"/>
      <w:r>
        <w:t>1.3 Objectives of the</w:t>
      </w:r>
      <w:bookmarkEnd w:id="50"/>
      <w:r>
        <w:t xml:space="preserve"> Environmental and Social Impact Assessment Project Report.</w:t>
      </w:r>
      <w:bookmarkEnd w:id="51"/>
      <w:bookmarkEnd w:id="52"/>
      <w:bookmarkEnd w:id="53"/>
      <w:bookmarkEnd w:id="54"/>
      <w:bookmarkEnd w:id="55"/>
    </w:p>
    <w:p w14:paraId="6D150A64">
      <w:pPr>
        <w:pStyle w:val="78"/>
        <w:tabs>
          <w:tab w:val="left" w:pos="709"/>
        </w:tabs>
        <w:spacing w:before="0" w:line="240" w:lineRule="auto"/>
        <w:ind w:left="709" w:right="848"/>
        <w:rPr>
          <w:rFonts w:ascii="Arial Narrow" w:hAnsi="Arial Narrow"/>
          <w:lang w:eastAsia="ja-JP"/>
        </w:rPr>
      </w:pPr>
      <w:r>
        <w:rPr>
          <w:rFonts w:ascii="Arial Narrow" w:hAnsi="Arial Narrow" w:eastAsia="Times New Roman" w:cs="Times New Roman"/>
          <w:szCs w:val="22"/>
          <w:lang w:eastAsia="en-US"/>
        </w:rPr>
        <w:t>The Environmental &amp; Social Impact Assessment (ESIA)</w:t>
      </w:r>
      <w:r>
        <w:rPr>
          <w:rFonts w:ascii="Arial Narrow" w:hAnsi="Arial Narrow"/>
          <w:lang w:eastAsia="ja-JP"/>
        </w:rPr>
        <w:t xml:space="preserve"> is expected to achieve the following objectives:</w:t>
      </w:r>
    </w:p>
    <w:p w14:paraId="3114D6D2">
      <w:pPr>
        <w:pStyle w:val="78"/>
        <w:tabs>
          <w:tab w:val="left" w:pos="709"/>
        </w:tabs>
        <w:spacing w:before="0" w:line="240" w:lineRule="auto"/>
        <w:ind w:left="709" w:right="848"/>
        <w:rPr>
          <w:rFonts w:ascii="Arial Narrow" w:hAnsi="Arial Narrow"/>
          <w:lang w:eastAsia="ja-JP"/>
        </w:rPr>
      </w:pPr>
    </w:p>
    <w:p w14:paraId="5B3C923E">
      <w:pPr>
        <w:pStyle w:val="289"/>
        <w:numPr>
          <w:ilvl w:val="0"/>
          <w:numId w:val="29"/>
        </w:numPr>
        <w:tabs>
          <w:tab w:val="left" w:pos="709"/>
          <w:tab w:val="left" w:pos="9000"/>
          <w:tab w:val="left" w:pos="9090"/>
        </w:tabs>
        <w:spacing w:before="0"/>
        <w:ind w:left="1440" w:right="95" w:hanging="720"/>
        <w:rPr>
          <w:rFonts w:ascii="Arial Narrow" w:hAnsi="Arial Narrow" w:cs="Times New Roman"/>
          <w:iCs/>
          <w:lang w:eastAsia="en-US"/>
        </w:rPr>
      </w:pPr>
      <w:r>
        <w:rPr>
          <w:rFonts w:ascii="Arial Narrow" w:hAnsi="Arial Narrow" w:cs="Times New Roman"/>
          <w:iCs/>
          <w:szCs w:val="22"/>
          <w:lang w:eastAsia="en-US"/>
        </w:rPr>
        <w:t>To identify all potential significant environmental and social impacts of the proposed   Project and recommend measures for mitigation.</w:t>
      </w:r>
    </w:p>
    <w:p w14:paraId="3DC32E5D">
      <w:pPr>
        <w:pStyle w:val="289"/>
        <w:numPr>
          <w:ilvl w:val="0"/>
          <w:numId w:val="29"/>
        </w:numPr>
        <w:tabs>
          <w:tab w:val="left" w:pos="709"/>
          <w:tab w:val="left" w:pos="9000"/>
          <w:tab w:val="left" w:pos="9090"/>
        </w:tabs>
        <w:spacing w:before="0"/>
        <w:ind w:left="1440" w:right="95" w:hanging="720"/>
        <w:rPr>
          <w:rFonts w:ascii="Arial Narrow" w:hAnsi="Arial Narrow" w:cs="Times New Roman"/>
          <w:iCs/>
          <w:lang w:eastAsia="en-US"/>
        </w:rPr>
      </w:pPr>
      <w:r>
        <w:rPr>
          <w:rFonts w:ascii="Arial Narrow" w:hAnsi="Arial Narrow" w:cs="Times New Roman"/>
          <w:iCs/>
          <w:szCs w:val="22"/>
          <w:lang w:eastAsia="en-US"/>
        </w:rPr>
        <w:t>To assess and predict the potential impacts during site preparation, construction, operational and decommissioning stages of the Project.</w:t>
      </w:r>
    </w:p>
    <w:p w14:paraId="03D67776">
      <w:pPr>
        <w:pStyle w:val="289"/>
        <w:numPr>
          <w:ilvl w:val="0"/>
          <w:numId w:val="29"/>
        </w:numPr>
        <w:tabs>
          <w:tab w:val="left" w:pos="709"/>
          <w:tab w:val="left" w:pos="9000"/>
          <w:tab w:val="left" w:pos="9090"/>
        </w:tabs>
        <w:spacing w:before="0"/>
        <w:ind w:left="1440" w:right="95" w:hanging="720"/>
        <w:rPr>
          <w:rFonts w:ascii="Arial Narrow" w:hAnsi="Arial Narrow" w:cs="Times New Roman"/>
          <w:iCs/>
          <w:lang w:eastAsia="en-US"/>
        </w:rPr>
      </w:pPr>
      <w:r>
        <w:rPr>
          <w:rFonts w:ascii="Arial Narrow" w:hAnsi="Arial Narrow" w:cs="Times New Roman"/>
          <w:iCs/>
          <w:szCs w:val="22"/>
          <w:lang w:eastAsia="en-US"/>
        </w:rPr>
        <w:t>To verify compliance with environmental regulations.</w:t>
      </w:r>
    </w:p>
    <w:p w14:paraId="55B19CE4">
      <w:pPr>
        <w:pStyle w:val="289"/>
        <w:numPr>
          <w:ilvl w:val="0"/>
          <w:numId w:val="29"/>
        </w:numPr>
        <w:tabs>
          <w:tab w:val="left" w:pos="709"/>
          <w:tab w:val="left" w:pos="9000"/>
          <w:tab w:val="left" w:pos="9090"/>
        </w:tabs>
        <w:spacing w:before="0"/>
        <w:ind w:left="1440" w:right="95" w:hanging="720"/>
        <w:rPr>
          <w:rFonts w:ascii="Arial Narrow" w:hAnsi="Arial Narrow" w:cs="Times New Roman"/>
          <w:iCs/>
          <w:lang w:eastAsia="en-US"/>
        </w:rPr>
      </w:pPr>
      <w:r>
        <w:rPr>
          <w:rFonts w:ascii="Arial Narrow" w:hAnsi="Arial Narrow" w:cs="Times New Roman"/>
          <w:iCs/>
          <w:szCs w:val="22"/>
          <w:lang w:eastAsia="en-US"/>
        </w:rPr>
        <w:t>To generate baseline data for monitoring and evaluation of how well the mitigation measures will be implemented during the Project cycle.</w:t>
      </w:r>
    </w:p>
    <w:p w14:paraId="19DCCB6B">
      <w:pPr>
        <w:pStyle w:val="289"/>
        <w:numPr>
          <w:ilvl w:val="0"/>
          <w:numId w:val="29"/>
        </w:numPr>
        <w:tabs>
          <w:tab w:val="left" w:pos="709"/>
          <w:tab w:val="left" w:pos="9000"/>
          <w:tab w:val="left" w:pos="9090"/>
        </w:tabs>
        <w:spacing w:before="0"/>
        <w:ind w:left="1440" w:right="95" w:hanging="720"/>
        <w:rPr>
          <w:rFonts w:ascii="Arial Narrow" w:hAnsi="Arial Narrow" w:cs="Times New Roman"/>
          <w:iCs/>
          <w:lang w:eastAsia="en-US"/>
        </w:rPr>
      </w:pPr>
      <w:r>
        <w:rPr>
          <w:rFonts w:ascii="Arial Narrow" w:hAnsi="Arial Narrow" w:cs="Times New Roman"/>
          <w:iCs/>
          <w:szCs w:val="22"/>
          <w:lang w:eastAsia="en-US"/>
        </w:rPr>
        <w:t>To allow for public participation.</w:t>
      </w:r>
    </w:p>
    <w:p w14:paraId="467493A0">
      <w:pPr>
        <w:pStyle w:val="289"/>
        <w:numPr>
          <w:ilvl w:val="0"/>
          <w:numId w:val="29"/>
        </w:numPr>
        <w:tabs>
          <w:tab w:val="left" w:pos="709"/>
          <w:tab w:val="left" w:pos="9000"/>
          <w:tab w:val="left" w:pos="9090"/>
        </w:tabs>
        <w:spacing w:before="0"/>
        <w:ind w:left="1440" w:right="95" w:hanging="720"/>
        <w:rPr>
          <w:rFonts w:ascii="Arial Narrow" w:hAnsi="Arial Narrow" w:cs="Times New Roman"/>
          <w:iCs/>
          <w:lang w:eastAsia="en-US"/>
        </w:rPr>
      </w:pPr>
      <w:r>
        <w:rPr>
          <w:rFonts w:ascii="Arial Narrow" w:hAnsi="Arial Narrow" w:cs="Times New Roman"/>
          <w:iCs/>
          <w:szCs w:val="22"/>
          <w:lang w:eastAsia="en-US"/>
        </w:rPr>
        <w:t>To prepare an Environmental and Social Management Plan to mitigate the identified impacts to ensure sustainability of the proposed Projects.</w:t>
      </w:r>
    </w:p>
    <w:p w14:paraId="01502D1B">
      <w:pPr>
        <w:pStyle w:val="289"/>
        <w:numPr>
          <w:ilvl w:val="0"/>
          <w:numId w:val="29"/>
        </w:numPr>
        <w:tabs>
          <w:tab w:val="left" w:pos="709"/>
          <w:tab w:val="left" w:pos="9000"/>
          <w:tab w:val="left" w:pos="9090"/>
        </w:tabs>
        <w:spacing w:before="0"/>
        <w:ind w:left="1440" w:right="95" w:hanging="720"/>
        <w:rPr>
          <w:rFonts w:ascii="Arial Narrow" w:hAnsi="Arial Narrow" w:cs="Times New Roman"/>
          <w:iCs/>
          <w:lang w:eastAsia="en-US"/>
        </w:rPr>
      </w:pPr>
      <w:r>
        <w:rPr>
          <w:rFonts w:ascii="Arial Narrow" w:hAnsi="Arial Narrow" w:cs="Times New Roman"/>
          <w:iCs/>
          <w:szCs w:val="22"/>
          <w:lang w:eastAsia="en-US"/>
        </w:rPr>
        <w:t>To recommend cost effective measures to be implemented to mitigate against the negative impacts.</w:t>
      </w:r>
      <w:bookmarkStart w:id="56" w:name="_bookmark20"/>
      <w:bookmarkEnd w:id="56"/>
      <w:bookmarkStart w:id="57" w:name="1.4_ESIA_Assessment_Methodology"/>
      <w:bookmarkEnd w:id="57"/>
    </w:p>
    <w:p w14:paraId="6879CF0E">
      <w:pPr>
        <w:tabs>
          <w:tab w:val="left" w:pos="709"/>
        </w:tabs>
        <w:spacing w:line="240" w:lineRule="auto"/>
        <w:ind w:left="709"/>
        <w:jc w:val="both"/>
        <w:rPr>
          <w:lang w:eastAsia="ja-JP"/>
        </w:rPr>
      </w:pPr>
    </w:p>
    <w:p w14:paraId="7BDF1F53">
      <w:pPr>
        <w:tabs>
          <w:tab w:val="left" w:pos="709"/>
        </w:tabs>
        <w:spacing w:line="240" w:lineRule="auto"/>
        <w:ind w:left="709"/>
        <w:jc w:val="both"/>
        <w:rPr>
          <w:lang w:eastAsia="ja-JP"/>
        </w:rPr>
      </w:pPr>
      <w:r>
        <w:rPr>
          <w:lang w:eastAsia="ja-JP"/>
        </w:rPr>
        <w:t>The ESIA report has been prepared in accordance with the Client (WAJWASCO and World Bank) Guidelines, the Environmental (Impact Assessment and Audit) Regulations, 2003 (and the amendment Regulations of 2019) and Environmental Management and Coordination Act (EMCA) 1999 amended in 2015).</w:t>
      </w:r>
    </w:p>
    <w:p w14:paraId="39C1AE09">
      <w:pPr>
        <w:pStyle w:val="117"/>
      </w:pPr>
      <w:bookmarkStart w:id="58" w:name="_Toc170722941"/>
      <w:bookmarkStart w:id="59" w:name="_Toc179904025"/>
      <w:bookmarkStart w:id="60" w:name="_Toc165561257"/>
      <w:bookmarkStart w:id="61" w:name="_Toc163819976"/>
      <w:r>
        <w:t xml:space="preserve">1.4 </w:t>
      </w:r>
      <w:r>
        <w:tab/>
      </w:r>
      <w:r>
        <w:t>Scope of the Study</w:t>
      </w:r>
      <w:bookmarkEnd w:id="58"/>
      <w:bookmarkEnd w:id="59"/>
      <w:bookmarkEnd w:id="60"/>
      <w:bookmarkEnd w:id="61"/>
    </w:p>
    <w:p w14:paraId="563E7073">
      <w:pPr>
        <w:tabs>
          <w:tab w:val="left" w:pos="709"/>
        </w:tabs>
        <w:spacing w:line="240" w:lineRule="auto"/>
        <w:ind w:left="709"/>
        <w:jc w:val="both"/>
        <w:rPr>
          <w:lang w:eastAsia="ja-JP"/>
        </w:rPr>
      </w:pPr>
      <w:r>
        <w:rPr>
          <w:lang w:eastAsia="ja-JP"/>
        </w:rPr>
        <w:t xml:space="preserve">To identify the potential environmental and social impacts, and to come up with the proper mitigation measures for the proposed projects, the consultant used both conventional and participatory approaches. In conducting this exercise, the consultant. </w:t>
      </w:r>
    </w:p>
    <w:p w14:paraId="346CDC2C">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Conducted project site visits, consulting with the local communities, and other relevant key stakeholders.</w:t>
      </w:r>
    </w:p>
    <w:p w14:paraId="4F474925">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Carry out comprehensive assessment ensuring all environmental concerns and views of all parties/persons likely to be affected by the project are taken into consideration.</w:t>
      </w:r>
    </w:p>
    <w:p w14:paraId="7CCDDD04">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Reviewed the preliminary designs for the proposed project to get acquainted with environmental issues in the project site vicinity.</w:t>
      </w:r>
    </w:p>
    <w:p w14:paraId="00A4D4B9">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Schedule time for site visiting activities to be undertaken for the ESIA.</w:t>
      </w:r>
    </w:p>
    <w:p w14:paraId="4E8170D5">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Developed an environmental and social management and monitoring plan with mechanisms for evaluating compliance and environmental performance, which include the cost of mitigation measures and the timeframe of implementing the measures.</w:t>
      </w:r>
    </w:p>
    <w:p w14:paraId="56D27AFD">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Publicized the project and its anticipated effects by posters in strategic places, publishing a notice in both official and local languages in the Kenyan Gazette and one of the local dailies.</w:t>
      </w:r>
    </w:p>
    <w:p w14:paraId="63C51885">
      <w:pPr>
        <w:pStyle w:val="289"/>
        <w:numPr>
          <w:ilvl w:val="0"/>
          <w:numId w:val="29"/>
        </w:numPr>
        <w:tabs>
          <w:tab w:val="left" w:pos="709"/>
          <w:tab w:val="left" w:pos="9000"/>
          <w:tab w:val="left" w:pos="9090"/>
        </w:tabs>
        <w:spacing w:before="0"/>
        <w:ind w:left="1440" w:right="95" w:hanging="720"/>
        <w:rPr>
          <w:rFonts w:ascii="Arial Narrow" w:hAnsi="Arial Narrow" w:cs="Times New Roman"/>
          <w:iCs/>
        </w:rPr>
      </w:pPr>
      <w:r>
        <w:rPr>
          <w:rFonts w:ascii="Arial Narrow" w:hAnsi="Arial Narrow" w:cs="Times New Roman"/>
          <w:iCs/>
          <w:szCs w:val="22"/>
          <w:lang w:eastAsia="en-US"/>
        </w:rPr>
        <w:t>Liaising with NEMA for compliance with all mandatory and regulatory requirements relating to the ESIA.</w:t>
      </w:r>
    </w:p>
    <w:p w14:paraId="1B4A93A4">
      <w:pPr>
        <w:pStyle w:val="117"/>
      </w:pPr>
      <w:bookmarkStart w:id="62" w:name="_Toc179904026"/>
      <w:bookmarkStart w:id="63" w:name="_Toc165561258"/>
      <w:bookmarkStart w:id="64" w:name="_Toc163819977"/>
      <w:bookmarkStart w:id="65" w:name="_Toc170722942"/>
      <w:r>
        <w:t>1.5 Terms of Reference (ToR)</w:t>
      </w:r>
      <w:bookmarkEnd w:id="62"/>
      <w:bookmarkEnd w:id="63"/>
      <w:bookmarkEnd w:id="64"/>
      <w:bookmarkEnd w:id="65"/>
    </w:p>
    <w:p w14:paraId="170EAE95">
      <w:pPr>
        <w:tabs>
          <w:tab w:val="left" w:pos="709"/>
        </w:tabs>
        <w:spacing w:after="0" w:line="240" w:lineRule="auto"/>
        <w:ind w:left="709" w:right="95"/>
        <w:jc w:val="both"/>
        <w:rPr>
          <w:lang w:eastAsia="ja-JP"/>
        </w:rPr>
      </w:pPr>
      <w:r>
        <w:rPr>
          <w:lang w:eastAsia="ja-JP"/>
        </w:rPr>
        <w:t>In compliance with legal and professional requirements, it is expected that the outputs from this study reflect a consultative process being generated by WAJWASCO.</w:t>
      </w:r>
    </w:p>
    <w:p w14:paraId="294C3FDB">
      <w:pPr>
        <w:tabs>
          <w:tab w:val="left" w:pos="709"/>
        </w:tabs>
        <w:spacing w:line="240" w:lineRule="auto"/>
        <w:ind w:left="709"/>
        <w:jc w:val="both"/>
        <w:rPr>
          <w:lang w:eastAsia="ja-JP"/>
        </w:rPr>
      </w:pPr>
      <w:r>
        <w:rPr>
          <w:lang w:eastAsia="ja-JP"/>
        </w:rPr>
        <w:t>The authenticity requires the consultant to conduct the below tasks;</w:t>
      </w:r>
    </w:p>
    <w:p w14:paraId="6D3A7119">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Assessment and description of location/site, objectives, scope, nature of the proposed project,</w:t>
      </w:r>
    </w:p>
    <w:p w14:paraId="7611C34A">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Analysis of the proposed project activities during the proposed project cycle; construction, operation, decommissioning phases,</w:t>
      </w:r>
    </w:p>
    <w:p w14:paraId="227DEDCA">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Establish the suitability of the proposed project in the proposed location,</w:t>
      </w:r>
    </w:p>
    <w:p w14:paraId="54181441">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Review and establish all relevant baseline information as will be required by NEMA (Physical, Biological and Social Cultural and economic) and identify any information gaps,</w:t>
      </w:r>
    </w:p>
    <w:p w14:paraId="3ACDF275">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Description and analysis of policy legal and institutional framework including but not limited to Kenyan policies, laws, regulation and guidelines which have a bearing on the proposed project and will also serve as benchmarks for monitoring and evaluation, and future environmental audits,</w:t>
      </w:r>
    </w:p>
    <w:p w14:paraId="09DB3B1D">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Analysis of the designs, technology, procedures and processes to be used, in the implementation of the works,</w:t>
      </w:r>
    </w:p>
    <w:p w14:paraId="3A777B63">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Consultation and Public Participation (CPP): Identify key stakeholders and affected persons; hold a public meeting and provide /collect written evidence i.e. minutes,</w:t>
      </w:r>
    </w:p>
    <w:p w14:paraId="14C5531E">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Identify and analyze proposed project alternatives including but not limited to: Scale and extent; project site alternatives, no project alternatives, design alternatives, material alternatives and technologies alternatives,</w:t>
      </w:r>
    </w:p>
    <w:p w14:paraId="71126AAE">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Identify, predict and carry out in-depth analysis all actual potential and significant impacts on flora, fauna, soils, air, water, the social, cultural and community settings; the direct, indirect, cumulative, irreversible, short-term and long-term effects anticipated to be generated by the proposed project, both positive and negative throughout the project cycle,</w:t>
      </w:r>
    </w:p>
    <w:p w14:paraId="6A938BAC">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Recommend sufficient mitigation measures for all the potential negative impacts identified,</w:t>
      </w:r>
    </w:p>
    <w:p w14:paraId="39622611">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Analyze occupational health and safety issue associated with the proposed project,</w:t>
      </w:r>
    </w:p>
    <w:p w14:paraId="055B3930">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Develop an Environmental and Social Management Plan (ESMMP) proposing the measures for eliminating, minimizing or mitigating adverse impacts on the environment, including the cost, timeframe and responsibility to implement the measures.</w:t>
      </w:r>
    </w:p>
    <w:p w14:paraId="17ADA634">
      <w:pPr>
        <w:pStyle w:val="117"/>
      </w:pPr>
      <w:bookmarkStart w:id="66" w:name="_Toc159939293"/>
      <w:bookmarkStart w:id="67" w:name="_Toc160029068"/>
      <w:bookmarkStart w:id="68" w:name="_Toc159931049"/>
      <w:bookmarkStart w:id="69" w:name="_Toc170722943"/>
      <w:bookmarkStart w:id="70" w:name="_Toc165561259"/>
      <w:bookmarkStart w:id="71" w:name="_Toc163819978"/>
      <w:bookmarkStart w:id="72" w:name="_Toc160348459"/>
      <w:bookmarkStart w:id="73" w:name="_Toc179904027"/>
      <w:r>
        <w:t>1.6</w:t>
      </w:r>
      <w:r>
        <w:tab/>
      </w:r>
      <w:r>
        <w:t xml:space="preserve"> Justification of the ESIA</w:t>
      </w:r>
      <w:bookmarkEnd w:id="66"/>
      <w:bookmarkEnd w:id="67"/>
      <w:bookmarkEnd w:id="68"/>
      <w:bookmarkEnd w:id="69"/>
      <w:bookmarkEnd w:id="70"/>
      <w:bookmarkEnd w:id="71"/>
      <w:bookmarkEnd w:id="72"/>
      <w:bookmarkEnd w:id="73"/>
    </w:p>
    <w:p w14:paraId="2475FDAC">
      <w:pPr>
        <w:pStyle w:val="78"/>
        <w:spacing w:before="0" w:line="240" w:lineRule="auto"/>
        <w:ind w:left="709" w:right="9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The implementation of the proposed project shall have both socio-economic and environmental impacts on the project area. To alleviate any detrimental effects of the project, there is a need to assess possible impacts of the development on the environment and the socio-economic attributes of the project area. First, the proposed project will be evaluated against the framework provided by the Physical Development plan to ensure proper alignment. Then an Environmental Impact Assessment is conducted in accordance with the Client Guidelines, Environmental Management and Co-ordination Act (EMCA), Act, Cap 387, and the Environmental (Impact Assessment and Audit) Regulations, 2009 (and the amendment Regulations of 2019). Due to the likely socio-economic impacts of the project, our Environmental Specialist and Socio-Economic Specialist have also collected socio-economic data to support the Environmental Impact Assessment and to be used for Economic Evaluation of the Project. They were assisted by Field Assistants and a group of Enumerators especially in the process of acquiring the primary data in the field.</w:t>
      </w:r>
    </w:p>
    <w:p w14:paraId="5D916E7F">
      <w:pPr>
        <w:pStyle w:val="78"/>
        <w:spacing w:before="0" w:line="240" w:lineRule="auto"/>
        <w:ind w:left="709" w:right="9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The execution of the assignment was carried out during the preliminary design of the Project to ensure that the designs produced comply with environmental requirements and consider socio-economic status in the areas. The outcome of the Environmental Impact Assessment will be used to moderate the Engineers’ Designs to ensure that they are in harmony with the environmental and socio-economic attributes of the project area. This approach will enhance the protection of the environment and the local community from negative effects of development.</w:t>
      </w:r>
    </w:p>
    <w:p w14:paraId="2F48F520">
      <w:pPr>
        <w:pStyle w:val="117"/>
      </w:pPr>
      <w:bookmarkStart w:id="74" w:name="_Toc170722944"/>
      <w:bookmarkStart w:id="75" w:name="_Toc163819979"/>
      <w:bookmarkStart w:id="76" w:name="_Toc179904028"/>
      <w:bookmarkStart w:id="77" w:name="_Toc165561260"/>
      <w:r>
        <w:t xml:space="preserve">1.7 </w:t>
      </w:r>
      <w:r>
        <w:tab/>
      </w:r>
      <w:r>
        <w:t>Environmental and Social Impact and Assessment Team</w:t>
      </w:r>
      <w:bookmarkEnd w:id="74"/>
      <w:bookmarkEnd w:id="75"/>
      <w:bookmarkEnd w:id="76"/>
      <w:bookmarkEnd w:id="77"/>
    </w:p>
    <w:p w14:paraId="1CF09130">
      <w:pPr>
        <w:pStyle w:val="23"/>
      </w:pPr>
      <w:bookmarkStart w:id="78" w:name="_Toc163820115"/>
      <w:bookmarkStart w:id="79" w:name="_Toc168922652"/>
      <w:bookmarkStart w:id="80" w:name="_Toc179556812"/>
      <w:bookmarkStart w:id="81" w:name="_Toc165643038"/>
      <w:r>
        <w:t xml:space="preserve">Table </w:t>
      </w:r>
      <w:r>
        <w:fldChar w:fldCharType="begin"/>
      </w:r>
      <w:r>
        <w:instrText xml:space="preserve"> SEQ Table \* ARABIC </w:instrText>
      </w:r>
      <w:r>
        <w:fldChar w:fldCharType="separate"/>
      </w:r>
      <w:r>
        <w:t>1</w:t>
      </w:r>
      <w:r>
        <w:fldChar w:fldCharType="end"/>
      </w:r>
      <w:r>
        <w:t>: Summary of EIA Team and Responsibilities</w:t>
      </w:r>
      <w:bookmarkEnd w:id="78"/>
      <w:bookmarkEnd w:id="79"/>
      <w:bookmarkEnd w:id="80"/>
      <w:bookmarkEnd w:id="81"/>
    </w:p>
    <w:tbl>
      <w:tblPr>
        <w:tblStyle w:val="12"/>
        <w:tblW w:w="4610" w:type="pct"/>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88"/>
        <w:gridCol w:w="1317"/>
        <w:gridCol w:w="5616"/>
      </w:tblGrid>
      <w:tr w14:paraId="6CD53B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3" w:hRule="atLeast"/>
        </w:trPr>
        <w:tc>
          <w:tcPr>
            <w:tcW w:w="932" w:type="pct"/>
            <w:shd w:val="clear" w:color="auto" w:fill="5B9BD5" w:themeFill="accent1"/>
          </w:tcPr>
          <w:p w14:paraId="53FE99A1">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Designation</w:t>
            </w:r>
          </w:p>
        </w:tc>
        <w:tc>
          <w:tcPr>
            <w:tcW w:w="773" w:type="pct"/>
            <w:shd w:val="clear" w:color="auto" w:fill="5B9BD5" w:themeFill="accent1"/>
          </w:tcPr>
          <w:p w14:paraId="6958A25B">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Name</w:t>
            </w:r>
          </w:p>
        </w:tc>
        <w:tc>
          <w:tcPr>
            <w:tcW w:w="3295" w:type="pct"/>
            <w:shd w:val="clear" w:color="auto" w:fill="5B9BD5" w:themeFill="accent1"/>
          </w:tcPr>
          <w:p w14:paraId="6BB72A0E">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Responsibilities</w:t>
            </w:r>
          </w:p>
        </w:tc>
      </w:tr>
      <w:tr w14:paraId="3E06E6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 w:type="pct"/>
          </w:tcPr>
          <w:p w14:paraId="4B61CE26">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Lead Expert</w:t>
            </w:r>
          </w:p>
        </w:tc>
        <w:tc>
          <w:tcPr>
            <w:tcW w:w="773" w:type="pct"/>
          </w:tcPr>
          <w:p w14:paraId="022E77D4">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Charles Muyembe</w:t>
            </w:r>
          </w:p>
        </w:tc>
        <w:tc>
          <w:tcPr>
            <w:tcW w:w="3295" w:type="pct"/>
          </w:tcPr>
          <w:p w14:paraId="4BB7A255">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Supervise ESIA field Surveys and Socio economic field surveys’</w:t>
            </w:r>
          </w:p>
          <w:p w14:paraId="5EDB7810">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Provide general guidance</w:t>
            </w:r>
          </w:p>
          <w:p w14:paraId="2499DED9">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Review ESIA Reports and Socio Economic Reports</w:t>
            </w:r>
          </w:p>
        </w:tc>
      </w:tr>
      <w:tr w14:paraId="1EA7E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 w:type="pct"/>
          </w:tcPr>
          <w:p w14:paraId="1597A13C">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Sociologist</w:t>
            </w:r>
          </w:p>
        </w:tc>
        <w:tc>
          <w:tcPr>
            <w:tcW w:w="773" w:type="pct"/>
          </w:tcPr>
          <w:p w14:paraId="751129A0">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Charity Gathuthi</w:t>
            </w:r>
          </w:p>
        </w:tc>
        <w:tc>
          <w:tcPr>
            <w:tcW w:w="3295" w:type="pct"/>
          </w:tcPr>
          <w:p w14:paraId="382F9400">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Conducting Socioeconomic surveys and assessments</w:t>
            </w:r>
          </w:p>
          <w:p w14:paraId="2E76CD1F">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Conducting household surveys and assessments</w:t>
            </w:r>
          </w:p>
        </w:tc>
      </w:tr>
      <w:tr w14:paraId="0C7C3F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 w:type="pct"/>
          </w:tcPr>
          <w:p w14:paraId="29D5DF80">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Associate Expert</w:t>
            </w:r>
          </w:p>
        </w:tc>
        <w:tc>
          <w:tcPr>
            <w:tcW w:w="773" w:type="pct"/>
          </w:tcPr>
          <w:p w14:paraId="0CEBFD55">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Saraphina Nasimiyu</w:t>
            </w:r>
          </w:p>
        </w:tc>
        <w:tc>
          <w:tcPr>
            <w:tcW w:w="3295" w:type="pct"/>
          </w:tcPr>
          <w:p w14:paraId="54625276">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 xml:space="preserve">Carrying out Field Surveys/Assessments </w:t>
            </w:r>
          </w:p>
          <w:p w14:paraId="5B0255A1">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Drafting of ESIA reports</w:t>
            </w:r>
          </w:p>
          <w:p w14:paraId="039BD663">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Conducting Socioeconomic Field assessments</w:t>
            </w:r>
          </w:p>
        </w:tc>
      </w:tr>
      <w:tr w14:paraId="5C6395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32" w:type="pct"/>
          </w:tcPr>
          <w:p w14:paraId="15A5790C">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Environmentalist</w:t>
            </w:r>
          </w:p>
        </w:tc>
        <w:tc>
          <w:tcPr>
            <w:tcW w:w="773" w:type="pct"/>
          </w:tcPr>
          <w:p w14:paraId="082176DD">
            <w:pPr>
              <w:pStyle w:val="78"/>
              <w:spacing w:before="0" w:line="240" w:lineRule="auto"/>
              <w:ind w:left="0"/>
              <w:jc w:val="left"/>
              <w:rPr>
                <w:rFonts w:ascii="Arial Narrow" w:hAnsi="Arial Narrow" w:eastAsia="Times New Roman" w:cs="Times New Roman"/>
              </w:rPr>
            </w:pPr>
            <w:r>
              <w:rPr>
                <w:rFonts w:ascii="Arial Narrow" w:hAnsi="Arial Narrow" w:eastAsia="Times New Roman" w:cs="Times New Roman"/>
                <w:szCs w:val="22"/>
                <w:lang w:eastAsia="en-US"/>
              </w:rPr>
              <w:t>Michael Momanyi</w:t>
            </w:r>
          </w:p>
          <w:p w14:paraId="06D9A3ED">
            <w:pPr>
              <w:pStyle w:val="78"/>
              <w:spacing w:before="0" w:line="240" w:lineRule="auto"/>
              <w:ind w:left="0"/>
              <w:jc w:val="left"/>
              <w:rPr>
                <w:rFonts w:ascii="Arial Narrow" w:hAnsi="Arial Narrow" w:eastAsia="Times New Roman" w:cs="Times New Roman"/>
              </w:rPr>
            </w:pPr>
            <w:r>
              <w:rPr>
                <w:rFonts w:ascii="Arial Narrow" w:hAnsi="Arial Narrow" w:eastAsia="Times New Roman" w:cs="Times New Roman"/>
                <w:szCs w:val="22"/>
                <w:lang w:eastAsia="en-US"/>
              </w:rPr>
              <w:t>Davis Wanami</w:t>
            </w:r>
          </w:p>
        </w:tc>
        <w:tc>
          <w:tcPr>
            <w:tcW w:w="3295" w:type="pct"/>
          </w:tcPr>
          <w:p w14:paraId="667271F1">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Peer review</w:t>
            </w:r>
          </w:p>
          <w:p w14:paraId="4F8A2941">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 xml:space="preserve">Carrying out Field Surveys/Assessments </w:t>
            </w:r>
          </w:p>
          <w:p w14:paraId="025D8260">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Drafting of ESIA reports</w:t>
            </w:r>
          </w:p>
          <w:p w14:paraId="585F5598">
            <w:pPr>
              <w:pStyle w:val="78"/>
              <w:spacing w:before="0" w:line="240" w:lineRule="auto"/>
              <w:ind w:left="0"/>
              <w:jc w:val="left"/>
              <w:rPr>
                <w:rFonts w:ascii="Arial Narrow" w:hAnsi="Arial Narrow" w:eastAsia="Times New Roman" w:cs="Times New Roman"/>
                <w:szCs w:val="22"/>
                <w:lang w:eastAsia="en-US"/>
              </w:rPr>
            </w:pPr>
            <w:r>
              <w:rPr>
                <w:rFonts w:ascii="Arial Narrow" w:hAnsi="Arial Narrow" w:eastAsia="Times New Roman" w:cs="Times New Roman"/>
                <w:szCs w:val="22"/>
                <w:lang w:eastAsia="en-US"/>
              </w:rPr>
              <w:t>Conducting Socioeconomic Field assessments</w:t>
            </w:r>
          </w:p>
        </w:tc>
      </w:tr>
    </w:tbl>
    <w:p w14:paraId="55D62DAF">
      <w:pPr>
        <w:tabs>
          <w:tab w:val="left" w:pos="709"/>
        </w:tabs>
        <w:spacing w:line="240" w:lineRule="auto"/>
        <w:jc w:val="both"/>
        <w:sectPr>
          <w:headerReference r:id="rId21" w:type="default"/>
          <w:pgSz w:w="11906" w:h="16838"/>
          <w:pgMar w:top="1440" w:right="1440" w:bottom="1440" w:left="1440" w:header="708" w:footer="708" w:gutter="0"/>
          <w:pgNumType w:start="1"/>
          <w:cols w:space="708" w:num="1"/>
          <w:docGrid w:linePitch="360" w:charSpace="0"/>
        </w:sectPr>
      </w:pPr>
    </w:p>
    <w:p w14:paraId="634E83D9">
      <w:pPr>
        <w:pStyle w:val="2"/>
      </w:pPr>
      <w:bookmarkStart w:id="82" w:name="_Toc165561261"/>
      <w:bookmarkStart w:id="83" w:name="_Toc179904029"/>
      <w:bookmarkStart w:id="84" w:name="_Toc170722945"/>
      <w:r>
        <w:t>2.</w:t>
      </w:r>
      <w:r>
        <w:tab/>
      </w:r>
      <w:r>
        <w:t xml:space="preserve"> </w:t>
      </w:r>
      <w:r>
        <w:rPr>
          <w:lang w:val="en-GB"/>
        </w:rPr>
        <w:t>ESIA APPROACH METHODOLOGY</w:t>
      </w:r>
      <w:bookmarkEnd w:id="82"/>
      <w:bookmarkEnd w:id="83"/>
      <w:bookmarkEnd w:id="84"/>
    </w:p>
    <w:p w14:paraId="5624FE83">
      <w:pPr>
        <w:pStyle w:val="120"/>
        <w:tabs>
          <w:tab w:val="left" w:pos="709"/>
        </w:tabs>
        <w:spacing w:before="100" w:beforeAutospacing="1" w:after="100" w:afterAutospacing="1" w:line="240" w:lineRule="auto"/>
        <w:ind w:left="709"/>
        <w:rPr>
          <w:sz w:val="22"/>
          <w:szCs w:val="22"/>
        </w:rPr>
      </w:pPr>
      <w:r>
        <w:rPr>
          <w:sz w:val="22"/>
          <w:szCs w:val="22"/>
        </w:rPr>
        <w:t xml:space="preserve">As stated earlier, the ESIA Study was carried out in compliance with the government of Kenya’s Environment Management and Coordination Act of 1999, among other relevant laws, regulations and guideline standards. </w:t>
      </w:r>
    </w:p>
    <w:p w14:paraId="6444C9E5">
      <w:pPr>
        <w:pStyle w:val="120"/>
        <w:tabs>
          <w:tab w:val="left" w:pos="709"/>
        </w:tabs>
        <w:spacing w:before="100" w:beforeAutospacing="1" w:after="100" w:afterAutospacing="1" w:line="240" w:lineRule="auto"/>
        <w:ind w:left="709"/>
        <w:rPr>
          <w:sz w:val="22"/>
          <w:szCs w:val="22"/>
        </w:rPr>
      </w:pPr>
      <w:r>
        <w:rPr>
          <w:sz w:val="22"/>
          <w:szCs w:val="22"/>
        </w:rPr>
        <w:t>The general steps followed during the assessment were as follows:</w:t>
      </w:r>
    </w:p>
    <w:p w14:paraId="3E023C05">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Environmental and social screening, in which the project was identified as among those requiring Environmental and Social Impact Assessment under schedule 2 of EMCA, 1999</w:t>
      </w:r>
    </w:p>
    <w:p w14:paraId="76C55FE2">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Environmental scoping that provided the key environmental issues</w:t>
      </w:r>
    </w:p>
    <w:p w14:paraId="0CFC59AA">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Desktop studies</w:t>
      </w:r>
    </w:p>
    <w:p w14:paraId="48088C46">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Physical inspection of the area and surrounding areas</w:t>
      </w:r>
    </w:p>
    <w:p w14:paraId="0AFA3825">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ESIA Public participation via the use of general questionnaires, key informants’ interviews, socio-economic surveys and interactive meetings</w:t>
      </w:r>
    </w:p>
    <w:p w14:paraId="3C488755">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Data analysis and</w:t>
      </w:r>
    </w:p>
    <w:p w14:paraId="457CA1F1">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Report preparation.</w:t>
      </w:r>
    </w:p>
    <w:p w14:paraId="595D8120">
      <w:pPr>
        <w:pStyle w:val="117"/>
      </w:pPr>
      <w:bookmarkStart w:id="85" w:name="_Toc170722946"/>
      <w:bookmarkStart w:id="86" w:name="_Toc179904030"/>
      <w:bookmarkStart w:id="87" w:name="_Toc165561262"/>
      <w:r>
        <w:t>2.1</w:t>
      </w:r>
      <w:r>
        <w:tab/>
      </w:r>
      <w:r>
        <w:t xml:space="preserve"> Environmental and Social Screening</w:t>
      </w:r>
      <w:bookmarkEnd w:id="85"/>
      <w:bookmarkEnd w:id="86"/>
      <w:bookmarkEnd w:id="87"/>
      <w:r>
        <w:t xml:space="preserve"> </w:t>
      </w:r>
    </w:p>
    <w:p w14:paraId="732F9C03">
      <w:pPr>
        <w:pStyle w:val="120"/>
        <w:tabs>
          <w:tab w:val="left" w:pos="709"/>
        </w:tabs>
        <w:spacing w:before="100" w:beforeAutospacing="1" w:after="100" w:afterAutospacing="1" w:line="240" w:lineRule="auto"/>
        <w:ind w:left="709"/>
        <w:rPr>
          <w:sz w:val="22"/>
          <w:szCs w:val="22"/>
        </w:rPr>
      </w:pPr>
      <w:r>
        <w:rPr>
          <w:sz w:val="22"/>
          <w:szCs w:val="22"/>
        </w:rPr>
        <w:t xml:space="preserve">This step was conducted through legal review and desktop studies to assess whether there will be a need for an environmental and social impact assessment, and what level of assessment is necessary. This was done using a screening checklist in reference to requirements of the EMCA, 1999, and specifically the second schedule. The proposed project is listed as a medium risk project in Legal Notice 31&amp;32 of EMCA with potential limited adverse environmental and social risks and/or impacts that are few, generally site-specific, largely reversible and readily addressed through mitigation measures. </w:t>
      </w:r>
    </w:p>
    <w:p w14:paraId="048114CE">
      <w:pPr>
        <w:pStyle w:val="117"/>
      </w:pPr>
      <w:bookmarkStart w:id="88" w:name="_Toc179904031"/>
      <w:bookmarkStart w:id="89" w:name="_Toc170722947"/>
      <w:bookmarkStart w:id="90" w:name="_Toc165561265"/>
      <w:r>
        <w:t xml:space="preserve">2.2 </w:t>
      </w:r>
      <w:r>
        <w:tab/>
      </w:r>
      <w:r>
        <w:t>Environmental and Social Scoping</w:t>
      </w:r>
      <w:bookmarkEnd w:id="88"/>
      <w:bookmarkEnd w:id="89"/>
      <w:bookmarkEnd w:id="90"/>
      <w:r>
        <w:t xml:space="preserve"> </w:t>
      </w:r>
    </w:p>
    <w:p w14:paraId="6707E419">
      <w:pPr>
        <w:pStyle w:val="120"/>
        <w:tabs>
          <w:tab w:val="left" w:pos="709"/>
        </w:tabs>
        <w:spacing w:before="100" w:beforeAutospacing="1" w:after="100" w:afterAutospacing="1" w:line="240" w:lineRule="auto"/>
        <w:ind w:left="709"/>
        <w:rPr>
          <w:sz w:val="22"/>
          <w:szCs w:val="22"/>
        </w:rPr>
      </w:pPr>
      <w:r>
        <w:rPr>
          <w:sz w:val="22"/>
          <w:szCs w:val="22"/>
        </w:rPr>
        <w:t>The scoping process, through an ESIA scoping checklist, was conducted to help narrow down onto the most critical issues requiring attention during the assessment. Environmental issues were categorized into physical, natural/ecological and social, economic and cultural aspects. It also included discussions with key stakeholders, managers and design engineers as well as interviews with local communities. Data from secondary sources was used to outline the bio-physical features, socio-economic characteristics of the residents, the existing infrastructure services and the forms of land tenure.</w:t>
      </w:r>
    </w:p>
    <w:p w14:paraId="34C674F0">
      <w:pPr>
        <w:pStyle w:val="117"/>
      </w:pPr>
      <w:bookmarkStart w:id="91" w:name="_Toc179904032"/>
      <w:bookmarkStart w:id="92" w:name="_Toc165561266"/>
      <w:bookmarkStart w:id="93" w:name="_Toc170722948"/>
      <w:r>
        <w:t xml:space="preserve">2.3 </w:t>
      </w:r>
      <w:r>
        <w:tab/>
      </w:r>
      <w:r>
        <w:t>Desktop Study</w:t>
      </w:r>
      <w:bookmarkEnd w:id="91"/>
      <w:bookmarkEnd w:id="92"/>
      <w:bookmarkEnd w:id="93"/>
    </w:p>
    <w:p w14:paraId="3C80FD92">
      <w:pPr>
        <w:pStyle w:val="120"/>
        <w:tabs>
          <w:tab w:val="left" w:pos="709"/>
        </w:tabs>
        <w:spacing w:before="100" w:beforeAutospacing="1" w:after="100" w:afterAutospacing="1" w:line="240" w:lineRule="auto"/>
        <w:ind w:left="709"/>
        <w:rPr>
          <w:sz w:val="22"/>
          <w:szCs w:val="22"/>
        </w:rPr>
      </w:pPr>
      <w:r>
        <w:rPr>
          <w:sz w:val="22"/>
          <w:szCs w:val="22"/>
        </w:rPr>
        <w:t>Desktop study included document review on the nature of the proposed activities, project documents, designs, policy and legislative framework as well as the environmental setting of the area among others. This method was achieved through;</w:t>
      </w:r>
    </w:p>
    <w:p w14:paraId="3B8C9079">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Data Collection: The desktop study began with gathering relevant data from various sources. This includes geological maps, topographical surveys, historical records, land use patterns, environmental reports, and any existing documentation related to Wajir.</w:t>
      </w:r>
    </w:p>
    <w:p w14:paraId="1A8F41E8">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Review of Regulations: Understanding the legal and regulatory framework is essential. This involved studying laws, environmental regulations, and any other pertinent rules that may influence the project’s design and execution.</w:t>
      </w:r>
    </w:p>
    <w:p w14:paraId="04E033DB">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Environmental Analysis: Assessments related to environmental factors such as air quality, water resources, soil composition, and potential hazards (like flood zones or contaminated sites) were conducted based on available data. This helped in identifying potential risks and mitigation measures.</w:t>
      </w:r>
    </w:p>
    <w:p w14:paraId="2832127B">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Infrastructure Evaluation: The existing infrastructure surrounding the site was evaluated, including transportation networks, utilities (water, electricity, sewage), and telecommunications. This information was crucial for determining project feasibility and integration into the existing infrastructure.</w:t>
      </w:r>
    </w:p>
    <w:p w14:paraId="23FBBBD2">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Risk Assessment: Potential risks such as natural disasters (earthquakes, floods), environmental hazards (pollution, waste disposal), and socio-economic factors (population density, economic trends) were analysed to gauge their impact on the project.</w:t>
      </w:r>
    </w:p>
    <w:p w14:paraId="0B61378A">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Stakeholder Analysis: Identification of stakeholders, including local communities, government agencies, NGOs, and other relevant parties, was done to understand their interests, concerns, and potential contributions or obstacles to the project.</w:t>
      </w:r>
    </w:p>
    <w:p w14:paraId="2B9C7137">
      <w:pPr>
        <w:pStyle w:val="3"/>
      </w:pPr>
      <w:bookmarkStart w:id="94" w:name="_Toc165561267"/>
      <w:bookmarkStart w:id="95" w:name="_Toc163819986"/>
      <w:bookmarkStart w:id="96" w:name="_Toc170722949"/>
      <w:bookmarkStart w:id="97" w:name="_Toc179904033"/>
      <w:r>
        <w:t xml:space="preserve">2.4 </w:t>
      </w:r>
      <w:r>
        <w:tab/>
      </w:r>
      <w:r>
        <w:t>Site Assessment</w:t>
      </w:r>
      <w:bookmarkEnd w:id="94"/>
      <w:bookmarkEnd w:id="95"/>
      <w:bookmarkEnd w:id="96"/>
      <w:bookmarkEnd w:id="97"/>
      <w:r>
        <w:t xml:space="preserve"> </w:t>
      </w:r>
    </w:p>
    <w:p w14:paraId="2BB01AC8">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Field visits were made for physical inspections of the areas around the project site and the environmental status of the surrounding areas to determine the anticipated impacts. Site assessment was undertaken through the following;</w:t>
      </w:r>
    </w:p>
    <w:p w14:paraId="3FC88093">
      <w:pPr>
        <w:pStyle w:val="289"/>
        <w:tabs>
          <w:tab w:val="left" w:pos="709"/>
          <w:tab w:val="left" w:pos="9000"/>
          <w:tab w:val="left" w:pos="9090"/>
        </w:tabs>
        <w:spacing w:before="0"/>
        <w:ind w:left="709" w:right="95" w:firstLine="0"/>
        <w:rPr>
          <w:rFonts w:ascii="Arial Narrow" w:hAnsi="Arial Narrow" w:cs="Times New Roman"/>
          <w:iCs/>
          <w:szCs w:val="22"/>
          <w:lang w:eastAsia="en-US"/>
        </w:rPr>
      </w:pPr>
    </w:p>
    <w:p w14:paraId="1E002F4B">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Physical Inspection: A site visit was conducted to assess the actual conditions on the ground. This included evaluating terrain features, vegetation, existing structures, drainage patterns, and any visible signs of environmental impact or contamination.</w:t>
      </w:r>
    </w:p>
    <w:p w14:paraId="08231269">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Surveying: Precise measurements and surveys were carried out to map the site accurately. This involved using tools like GPS, total stations, and other surveying equipment to create detailed topographical maps and layouts.</w:t>
      </w:r>
    </w:p>
    <w:p w14:paraId="44860888">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Ecological Assessment: This included identifying flora and fauna species, assessing habitat quality, and evaluating potential impacts on ecosystems due to the project’s development.</w:t>
      </w:r>
    </w:p>
    <w:p w14:paraId="1DAD3DF5">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Utility Mapping: Utility lines (such as water pipes, gas lines, electrical cables) were located and mapped to avoid accidental damage during construction and to plan utility relocations if necessary.</w:t>
      </w:r>
    </w:p>
    <w:p w14:paraId="1A2EAC0F">
      <w:pPr>
        <w:pStyle w:val="289"/>
        <w:numPr>
          <w:ilvl w:val="0"/>
          <w:numId w:val="29"/>
        </w:numPr>
        <w:tabs>
          <w:tab w:val="left" w:pos="709"/>
          <w:tab w:val="left" w:pos="9000"/>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Safety and Accessibility: Evaluating safety hazards on-site and ensuring accessibility for workers, equipment, and emergency services are integral parts of the site assessment. This included assessing risks related to construction activities and implementing safety protocols.</w:t>
      </w:r>
    </w:p>
    <w:p w14:paraId="0B8B7CF1">
      <w:pPr>
        <w:pStyle w:val="117"/>
        <w:rPr>
          <w:lang w:val="en-GB"/>
        </w:rPr>
      </w:pPr>
      <w:bookmarkStart w:id="98" w:name="_Toc163819987"/>
      <w:bookmarkStart w:id="99" w:name="_Toc179904034"/>
      <w:bookmarkStart w:id="100" w:name="_Toc165561268"/>
      <w:bookmarkStart w:id="101" w:name="_Toc170722950"/>
      <w:r>
        <w:rPr>
          <w:lang w:val="en-GB"/>
        </w:rPr>
        <w:t>2.5</w:t>
      </w:r>
      <w:r>
        <w:rPr>
          <w:lang w:val="en-GB"/>
        </w:rPr>
        <w:tab/>
      </w:r>
      <w:r>
        <w:rPr>
          <w:lang w:val="en-GB"/>
        </w:rPr>
        <w:t xml:space="preserve"> Public Participation</w:t>
      </w:r>
      <w:bookmarkEnd w:id="98"/>
      <w:bookmarkEnd w:id="99"/>
      <w:bookmarkEnd w:id="100"/>
      <w:bookmarkEnd w:id="101"/>
      <w:r>
        <w:rPr>
          <w:lang w:val="en-GB"/>
        </w:rPr>
        <w:t xml:space="preserve"> </w:t>
      </w:r>
    </w:p>
    <w:p w14:paraId="0144D397">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Public participation meetings were conducted specifically the project area. Key informant interviews, stakeholder engagement meeting and a public engagement meeting were held, which was attended by stakeholders and selected members of the community.  To ensure adequate public participation in the ESIA process, questionnaires were administered to the main stakeholders, and the information gathered was subsequently synthesized and incorporated into the ESIA Comprehensive Project Report (CPR). Additionally, the consultant incorporated the concerns and views of all stakeholders and the affected people.</w:t>
      </w:r>
    </w:p>
    <w:p w14:paraId="69685E34">
      <w:pPr>
        <w:pStyle w:val="134"/>
      </w:pPr>
      <w:bookmarkStart w:id="102" w:name="_Toc170722952"/>
      <w:bookmarkStart w:id="103" w:name="_Toc179904035"/>
      <w:bookmarkStart w:id="104" w:name="_Toc165561270"/>
      <w:bookmarkStart w:id="105" w:name="_Toc163819989"/>
      <w:r>
        <w:t xml:space="preserve">2.5.1 </w:t>
      </w:r>
      <w:r>
        <w:tab/>
      </w:r>
      <w:r>
        <w:t>Stakeholder engagement interviews</w:t>
      </w:r>
      <w:bookmarkEnd w:id="102"/>
      <w:bookmarkEnd w:id="103"/>
      <w:bookmarkEnd w:id="104"/>
      <w:bookmarkEnd w:id="105"/>
    </w:p>
    <w:p w14:paraId="63F2F36A">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 xml:space="preserve">Following this, background information is gathered from the informant, including details about their expertise or experience. The main body of the interview consists of focused questions designed to elicit detailed insights or perspectives on specific aspects of the topic, with the interviewer probing further and seeking clarification where necessary. </w:t>
      </w:r>
    </w:p>
    <w:p w14:paraId="7A711361">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Towards the end of the interview, the interviewer may summarize key points discussed, inviting the informant to reflect on additional insights. The interview concludes with gratitude for participation and a reminder of any follow-up steps. Subsequently, the conversation is transcribed and analysed to extract relevant themes and insights.</w:t>
      </w:r>
    </w:p>
    <w:p w14:paraId="75ED7AA4">
      <w:pPr>
        <w:pStyle w:val="289"/>
        <w:tabs>
          <w:tab w:val="left" w:pos="709"/>
          <w:tab w:val="left" w:pos="9000"/>
          <w:tab w:val="left" w:pos="9090"/>
        </w:tabs>
        <w:spacing w:before="0"/>
        <w:ind w:left="709" w:right="95" w:firstLine="0"/>
        <w:rPr>
          <w:rFonts w:ascii="Arial Narrow" w:hAnsi="Arial Narrow" w:cs="Times New Roman"/>
          <w:iCs/>
          <w:szCs w:val="22"/>
          <w:lang w:eastAsia="en-US"/>
        </w:rPr>
      </w:pPr>
    </w:p>
    <w:p w14:paraId="534C675B">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Stakeholder engagement interviews served as invaluable tools for obtaining rich qualitative data, offering nuanced perspectives that complement quantitative research methods. Some of the key stakeholders came from people with disabilities’ representative, women, public facility institutions and religious leaders.</w:t>
      </w:r>
    </w:p>
    <w:p w14:paraId="3525DFBB">
      <w:pPr>
        <w:pStyle w:val="134"/>
      </w:pPr>
      <w:bookmarkStart w:id="106" w:name="_Toc165561271"/>
      <w:bookmarkStart w:id="107" w:name="_Toc163819990"/>
      <w:bookmarkStart w:id="108" w:name="_Toc179904036"/>
      <w:bookmarkStart w:id="109" w:name="_Toc170722953"/>
      <w:r>
        <w:t xml:space="preserve">2.5.2 </w:t>
      </w:r>
      <w:r>
        <w:tab/>
      </w:r>
      <w:r>
        <w:t>Socio-economic surveys</w:t>
      </w:r>
      <w:bookmarkEnd w:id="106"/>
      <w:bookmarkEnd w:id="107"/>
      <w:bookmarkEnd w:id="108"/>
      <w:bookmarkEnd w:id="109"/>
      <w:r>
        <w:t xml:space="preserve"> </w:t>
      </w:r>
    </w:p>
    <w:p w14:paraId="0904E254">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 xml:space="preserve">Socioeconomic surveys are comprehensive data collection efforts aimed at understanding the social and economic characteristics of a population or specific groups within it. </w:t>
      </w:r>
    </w:p>
    <w:p w14:paraId="1B6B5861">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 xml:space="preserve">These surveys began with the careful selection of a representative sample using various sampling techniques to ensure accuracy and reliability. A structured questionnaire is then developed to gather information on demographics, income, education, employment, housing, health, and access to services. Trained surveyors administered the questionnaire through face-to-face interviews, adhering to standardized protocols to maintain data quality. </w:t>
      </w:r>
    </w:p>
    <w:p w14:paraId="6977CAB7">
      <w:pPr>
        <w:tabs>
          <w:tab w:val="left" w:pos="709"/>
          <w:tab w:val="left" w:pos="9000"/>
          <w:tab w:val="left" w:pos="9090"/>
        </w:tabs>
        <w:spacing w:after="0" w:line="240" w:lineRule="auto"/>
        <w:ind w:left="709" w:right="95"/>
        <w:jc w:val="both"/>
        <w:rPr>
          <w:rFonts w:eastAsia="Times New Roman" w:cs="Times New Roman"/>
          <w:iCs/>
          <w:lang w:val="en-GB"/>
        </w:rPr>
      </w:pPr>
      <w:r>
        <w:rPr>
          <w:rFonts w:eastAsia="Times New Roman" w:cs="Times New Roman"/>
          <w:iCs/>
          <w:lang w:val="en-GB"/>
        </w:rPr>
        <w:t>The target sample representative population for the data collection was done through the following sampling techniques;</w:t>
      </w:r>
    </w:p>
    <w:p w14:paraId="33A8BBBA">
      <w:pPr>
        <w:numPr>
          <w:ilvl w:val="0"/>
          <w:numId w:val="29"/>
        </w:numPr>
        <w:tabs>
          <w:tab w:val="left" w:pos="709"/>
          <w:tab w:val="left" w:pos="9000"/>
          <w:tab w:val="left" w:pos="9090"/>
        </w:tabs>
        <w:spacing w:after="0" w:line="240" w:lineRule="auto"/>
        <w:ind w:left="1440" w:right="95" w:hanging="720"/>
        <w:jc w:val="both"/>
        <w:rPr>
          <w:rFonts w:eastAsia="Times New Roman" w:cs="Times New Roman"/>
          <w:iCs/>
          <w:szCs w:val="20"/>
          <w:lang w:val="en-GB" w:eastAsia="en-GB"/>
        </w:rPr>
      </w:pPr>
      <w:r>
        <w:rPr>
          <w:rFonts w:eastAsia="Times New Roman" w:cs="Times New Roman"/>
          <w:iCs/>
          <w:lang w:val="en-GB"/>
        </w:rPr>
        <w:t xml:space="preserve">Simple Random Sampling: Every member of the population had an equal chance of being selected. </w:t>
      </w:r>
    </w:p>
    <w:p w14:paraId="6B36A1F7">
      <w:pPr>
        <w:numPr>
          <w:ilvl w:val="0"/>
          <w:numId w:val="29"/>
        </w:numPr>
        <w:tabs>
          <w:tab w:val="left" w:pos="709"/>
          <w:tab w:val="left" w:pos="9000"/>
          <w:tab w:val="left" w:pos="9090"/>
        </w:tabs>
        <w:spacing w:after="0" w:line="240" w:lineRule="auto"/>
        <w:ind w:left="1440" w:right="95" w:hanging="720"/>
        <w:jc w:val="both"/>
        <w:rPr>
          <w:rFonts w:eastAsia="Times New Roman" w:cs="Times New Roman"/>
          <w:iCs/>
          <w:szCs w:val="20"/>
          <w:lang w:val="en-GB" w:eastAsia="en-GB"/>
        </w:rPr>
      </w:pPr>
      <w:r>
        <w:rPr>
          <w:rFonts w:eastAsia="Times New Roman" w:cs="Times New Roman"/>
          <w:iCs/>
          <w:lang w:val="en-GB"/>
        </w:rPr>
        <w:t>Cluster Sampling: The population was divided into clusters, based on geographic or political boundaries. A sample of clusters was selected; in this case samples from Ali Maow village, Furaha village and Wajir township, and then a random sample of members within selected clusters was studied.</w:t>
      </w:r>
    </w:p>
    <w:p w14:paraId="29F060F1">
      <w:pPr>
        <w:numPr>
          <w:ilvl w:val="0"/>
          <w:numId w:val="29"/>
        </w:numPr>
        <w:tabs>
          <w:tab w:val="left" w:pos="709"/>
          <w:tab w:val="left" w:pos="9000"/>
          <w:tab w:val="left" w:pos="9090"/>
        </w:tabs>
        <w:spacing w:after="0" w:line="240" w:lineRule="auto"/>
        <w:ind w:left="1440" w:right="95" w:hanging="720"/>
        <w:jc w:val="both"/>
        <w:rPr>
          <w:rFonts w:eastAsia="Times New Roman" w:cs="Times New Roman"/>
          <w:iCs/>
          <w:szCs w:val="20"/>
          <w:lang w:val="en-GB" w:eastAsia="en-GB"/>
        </w:rPr>
      </w:pPr>
      <w:r>
        <w:rPr>
          <w:rFonts w:eastAsia="Times New Roman" w:cs="Times New Roman"/>
          <w:iCs/>
          <w:lang w:val="en-GB"/>
        </w:rPr>
        <w:t>Convenience Sampling: Samples were chosen based on ease of access and availability.</w:t>
      </w:r>
    </w:p>
    <w:p w14:paraId="002A4CFF">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eastAsiaTheme="minorHAnsi"/>
          <w:iCs/>
          <w:szCs w:val="22"/>
          <w:lang w:val="en-US" w:eastAsia="en-US"/>
        </w:rPr>
        <w:t>Expert Sampling: Involved the selecting of experts in the field and individuals with specialized knowledge within the project area</w:t>
      </w:r>
      <w:r>
        <w:rPr>
          <w:rFonts w:ascii="Arial Narrow" w:hAnsi="Arial Narrow" w:cs="Times New Roman"/>
          <w:iCs/>
          <w:szCs w:val="22"/>
          <w:lang w:eastAsia="en-US"/>
        </w:rPr>
        <w:t xml:space="preserve">Once data collection was completed, the collected data underwent rigorous analysis, utilizing both descriptive and inferential statistical methods to summarize trends and draw meaningful conclusions. </w:t>
      </w:r>
    </w:p>
    <w:p w14:paraId="71D8783F">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The findings of the socioeconomic survey were then interpreted and reported, providing valuable insights to inform decisions and program planning.</w:t>
      </w:r>
    </w:p>
    <w:p w14:paraId="188A1023">
      <w:pPr>
        <w:pStyle w:val="117"/>
      </w:pPr>
      <w:bookmarkStart w:id="110" w:name="_Toc163819992"/>
      <w:bookmarkStart w:id="111" w:name="_Toc170722954"/>
      <w:bookmarkStart w:id="112" w:name="_Toc179904037"/>
      <w:bookmarkStart w:id="113" w:name="_Toc165561273"/>
      <w:r>
        <w:t xml:space="preserve">2.6 </w:t>
      </w:r>
      <w:r>
        <w:tab/>
      </w:r>
      <w:r>
        <w:t>Data Analysis, Reporting and Documentation</w:t>
      </w:r>
      <w:bookmarkEnd w:id="110"/>
      <w:bookmarkEnd w:id="111"/>
      <w:bookmarkEnd w:id="112"/>
      <w:bookmarkEnd w:id="113"/>
      <w:r>
        <w:t xml:space="preserve"> </w:t>
      </w:r>
    </w:p>
    <w:p w14:paraId="04B79320">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Data was quantitatively and qualitatively analysed in terms of themes. The Environmental Social Impact Assessment Study Report was compiled from the findings in accordance with the guidelines issued by NEMA for such works and prepared and submitted by the proponent for consideration and approval. The Consultant ensured constant briefing of the client during the exercise.</w:t>
      </w:r>
    </w:p>
    <w:p w14:paraId="29CDEFA1">
      <w:pPr>
        <w:pStyle w:val="289"/>
        <w:tabs>
          <w:tab w:val="left" w:pos="709"/>
          <w:tab w:val="left" w:pos="9000"/>
          <w:tab w:val="left" w:pos="9090"/>
        </w:tabs>
        <w:spacing w:before="0"/>
        <w:ind w:left="709" w:right="95" w:firstLine="0"/>
        <w:rPr>
          <w:rFonts w:ascii="Arial Narrow" w:hAnsi="Arial Narrow" w:cs="Times New Roman"/>
          <w:iCs/>
          <w:szCs w:val="22"/>
          <w:lang w:eastAsia="en-US"/>
        </w:rPr>
      </w:pPr>
    </w:p>
    <w:p w14:paraId="1A2808BA">
      <w:pPr>
        <w:pStyle w:val="289"/>
        <w:tabs>
          <w:tab w:val="left" w:pos="709"/>
          <w:tab w:val="left" w:pos="9000"/>
          <w:tab w:val="left" w:pos="9090"/>
        </w:tabs>
        <w:spacing w:before="0"/>
        <w:ind w:left="709" w:right="95" w:firstLine="0"/>
        <w:rPr>
          <w:rFonts w:ascii="Arial Narrow" w:hAnsi="Arial Narrow" w:cs="Times New Roman"/>
          <w:iCs/>
          <w:szCs w:val="22"/>
          <w:lang w:eastAsia="en-US"/>
        </w:rPr>
        <w:sectPr>
          <w:headerReference r:id="rId22" w:type="default"/>
          <w:pgSz w:w="11906" w:h="16838"/>
          <w:pgMar w:top="1440" w:right="1440" w:bottom="1440" w:left="1440" w:header="708" w:footer="708" w:gutter="0"/>
          <w:cols w:space="708" w:num="1"/>
          <w:docGrid w:linePitch="360" w:charSpace="0"/>
        </w:sectPr>
      </w:pPr>
    </w:p>
    <w:p w14:paraId="3E1A53B2">
      <w:pPr>
        <w:pStyle w:val="2"/>
      </w:pPr>
      <w:bookmarkStart w:id="114" w:name="_Ref173669356"/>
      <w:bookmarkStart w:id="115" w:name="_Toc165561274"/>
      <w:bookmarkStart w:id="116" w:name="_Toc170722955"/>
      <w:bookmarkStart w:id="117" w:name="_Toc179904038"/>
      <w:bookmarkStart w:id="118" w:name="_Ref173669380"/>
      <w:r>
        <w:t xml:space="preserve">3. </w:t>
      </w:r>
      <w:r>
        <w:tab/>
      </w:r>
      <w:r>
        <w:t>PROJECT DESCRIPTION</w:t>
      </w:r>
      <w:bookmarkEnd w:id="114"/>
      <w:bookmarkEnd w:id="115"/>
      <w:bookmarkEnd w:id="116"/>
      <w:bookmarkEnd w:id="117"/>
      <w:bookmarkEnd w:id="118"/>
    </w:p>
    <w:p w14:paraId="1309A903">
      <w:pPr>
        <w:pStyle w:val="3"/>
      </w:pPr>
      <w:bookmarkStart w:id="119" w:name="_Toc162267613"/>
      <w:bookmarkStart w:id="120" w:name="_Toc170722957"/>
      <w:bookmarkStart w:id="121" w:name="_Toc156294663"/>
      <w:bookmarkStart w:id="122" w:name="_Toc165561276"/>
      <w:bookmarkStart w:id="123" w:name="_Ref173668941"/>
      <w:bookmarkStart w:id="124" w:name="_Toc179904039"/>
      <w:r>
        <w:t xml:space="preserve">3.1 </w:t>
      </w:r>
      <w:bookmarkEnd w:id="119"/>
      <w:bookmarkEnd w:id="120"/>
      <w:bookmarkEnd w:id="121"/>
      <w:bookmarkEnd w:id="122"/>
      <w:r>
        <w:tab/>
      </w:r>
      <w:r>
        <w:t>Project</w:t>
      </w:r>
      <w:r>
        <w:rPr>
          <w:spacing w:val="-5"/>
        </w:rPr>
        <w:t xml:space="preserve"> </w:t>
      </w:r>
      <w:r>
        <w:t>Location</w:t>
      </w:r>
      <w:bookmarkEnd w:id="123"/>
      <w:bookmarkEnd w:id="124"/>
    </w:p>
    <w:p w14:paraId="0D4432B9">
      <w:pPr>
        <w:pStyle w:val="289"/>
        <w:tabs>
          <w:tab w:val="left" w:pos="709"/>
          <w:tab w:val="left" w:pos="9000"/>
          <w:tab w:val="left" w:pos="9090"/>
        </w:tabs>
        <w:spacing w:before="0"/>
        <w:ind w:left="709" w:right="95" w:firstLine="0"/>
        <w:rPr>
          <w:rFonts w:ascii="Arial Narrow" w:hAnsi="Arial Narrow" w:cs="Times New Roman"/>
          <w:iCs/>
          <w:szCs w:val="22"/>
          <w:lang w:eastAsia="en-US"/>
        </w:rPr>
      </w:pPr>
      <w:r>
        <w:rPr>
          <w:rFonts w:ascii="Arial Narrow" w:hAnsi="Arial Narrow" w:cs="Times New Roman"/>
          <w:iCs/>
          <w:szCs w:val="22"/>
          <w:lang w:eastAsia="en-US"/>
        </w:rPr>
        <w:t xml:space="preserve">Wajir County is located in the formerly North-eastern Province of Kenya, and borders Somalia to the East and Ethiopia to the North. Within Kenya, it borders the counties of Mandera, Isiolo, Marsabit and Garissa. The County has six sub-counties, namely: Wajir East, Wajir South, Wajir North, Wajir West, Eldas and Tarbaj. </w:t>
      </w:r>
    </w:p>
    <w:p w14:paraId="0C5A9B08">
      <w:pPr>
        <w:pStyle w:val="78"/>
        <w:tabs>
          <w:tab w:val="left" w:pos="8364"/>
          <w:tab w:val="left" w:pos="8820"/>
        </w:tabs>
        <w:spacing w:before="0" w:line="240" w:lineRule="auto"/>
        <w:ind w:left="709" w:right="488"/>
        <w:rPr>
          <w:rFonts w:ascii="Arial Narrow" w:hAnsi="Arial Narrow" w:eastAsia="Times New Roman" w:cs="Times New Roman"/>
          <w:szCs w:val="22"/>
          <w:lang w:eastAsia="en-US"/>
        </w:rPr>
      </w:pPr>
      <w:r>
        <w:rPr>
          <w:rFonts w:ascii="Arial Narrow" w:hAnsi="Arial Narrow" w:eastAsia="Times New Roman" w:cs="Times New Roman"/>
          <w:szCs w:val="22"/>
          <w:lang w:val="en-US" w:eastAsia="en-US"/>
        </w:rPr>
        <w:drawing>
          <wp:inline distT="0" distB="0" distL="0" distR="0">
            <wp:extent cx="5114925" cy="374269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132590" cy="3755616"/>
                    </a:xfrm>
                    <a:prstGeom prst="rect">
                      <a:avLst/>
                    </a:prstGeom>
                    <a:noFill/>
                  </pic:spPr>
                </pic:pic>
              </a:graphicData>
            </a:graphic>
          </wp:inline>
        </w:drawing>
      </w:r>
    </w:p>
    <w:p w14:paraId="0AFA41C0">
      <w:pPr>
        <w:pStyle w:val="78"/>
        <w:tabs>
          <w:tab w:val="left" w:pos="8820"/>
        </w:tabs>
        <w:spacing w:before="0" w:line="240" w:lineRule="auto"/>
        <w:ind w:left="709" w:right="488"/>
        <w:rPr>
          <w:rFonts w:ascii="Arial Narrow" w:hAnsi="Arial Narrow" w:eastAsia="Times New Roman" w:cs="Times New Roman"/>
          <w:szCs w:val="22"/>
          <w:lang w:eastAsia="en-US"/>
        </w:rPr>
      </w:pPr>
      <w:bookmarkStart w:id="125" w:name="_Toc179551686"/>
      <w:bookmarkStart w:id="126" w:name="_Toc87882804"/>
      <w:r>
        <w:rPr>
          <w:rFonts w:ascii="Arial Narrow" w:hAnsi="Arial Narrow" w:eastAsia="Times New Roman" w:cs="Times New Roman"/>
          <w:szCs w:val="22"/>
          <w:lang w:eastAsia="en-US"/>
        </w:rPr>
        <w:t xml:space="preserve">Figure </w:t>
      </w:r>
      <w:r>
        <w:rPr>
          <w:rFonts w:ascii="Arial Narrow" w:hAnsi="Arial Narrow" w:eastAsia="Times New Roman" w:cs="Times New Roman"/>
          <w:szCs w:val="22"/>
          <w:lang w:eastAsia="en-US"/>
        </w:rPr>
        <w:fldChar w:fldCharType="begin"/>
      </w:r>
      <w:r>
        <w:rPr>
          <w:rFonts w:ascii="Arial Narrow" w:hAnsi="Arial Narrow" w:eastAsia="Times New Roman" w:cs="Times New Roman"/>
          <w:szCs w:val="22"/>
          <w:lang w:eastAsia="en-US"/>
        </w:rPr>
        <w:instrText xml:space="preserve"> SEQ Figure \* ARABIC </w:instrText>
      </w:r>
      <w:r>
        <w:rPr>
          <w:rFonts w:ascii="Arial Narrow" w:hAnsi="Arial Narrow" w:eastAsia="Times New Roman" w:cs="Times New Roman"/>
          <w:szCs w:val="22"/>
          <w:lang w:eastAsia="en-US"/>
        </w:rPr>
        <w:fldChar w:fldCharType="separate"/>
      </w:r>
      <w:r>
        <w:rPr>
          <w:rFonts w:ascii="Arial Narrow" w:hAnsi="Arial Narrow" w:eastAsia="Times New Roman" w:cs="Times New Roman"/>
          <w:szCs w:val="22"/>
          <w:lang w:eastAsia="en-US"/>
        </w:rPr>
        <w:t>1</w:t>
      </w:r>
      <w:r>
        <w:rPr>
          <w:rFonts w:ascii="Arial Narrow" w:hAnsi="Arial Narrow" w:eastAsia="Times New Roman" w:cs="Times New Roman"/>
          <w:szCs w:val="22"/>
          <w:lang w:eastAsia="en-US"/>
        </w:rPr>
        <w:fldChar w:fldCharType="end"/>
      </w:r>
      <w:r>
        <w:rPr>
          <w:rFonts w:ascii="Arial Narrow" w:hAnsi="Arial Narrow" w:eastAsia="Times New Roman" w:cs="Times New Roman"/>
          <w:szCs w:val="22"/>
          <w:lang w:eastAsia="en-US"/>
        </w:rPr>
        <w:t>: Location of Wajir town</w:t>
      </w:r>
      <w:bookmarkEnd w:id="125"/>
      <w:bookmarkEnd w:id="126"/>
    </w:p>
    <w:p w14:paraId="75D8ABE8">
      <w:pPr>
        <w:pStyle w:val="78"/>
        <w:tabs>
          <w:tab w:val="left" w:pos="8820"/>
        </w:tabs>
        <w:spacing w:before="0" w:line="240" w:lineRule="auto"/>
        <w:ind w:left="709" w:right="-25"/>
        <w:rPr>
          <w:rFonts w:ascii="Arial Narrow" w:hAnsi="Arial Narrow" w:eastAsia="Times New Roman" w:cs="Times New Roman"/>
          <w:szCs w:val="22"/>
          <w:lang w:eastAsia="en-US"/>
        </w:rPr>
      </w:pPr>
    </w:p>
    <w:p w14:paraId="3DB90CEF">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Wajir town, which is the project area, is in the jurisdiction of Wajir East sub-county. Based on the 2019 Kenya Census, it has a total population of 101,247. Wajir town is divided into ten zones, each with an elected zone chief.</w:t>
      </w:r>
    </w:p>
    <w:p w14:paraId="7F3210C6">
      <w:pPr>
        <w:pStyle w:val="4"/>
      </w:pPr>
      <w:bookmarkStart w:id="127" w:name="_Toc170722958"/>
      <w:bookmarkStart w:id="128" w:name="_Toc179904040"/>
      <w:bookmarkStart w:id="129" w:name="_Toc165561277"/>
      <w:r>
        <w:t xml:space="preserve">3.2.1 </w:t>
      </w:r>
      <w:r>
        <w:tab/>
      </w:r>
      <w:r>
        <w:t>Proposed Scope of Works</w:t>
      </w:r>
      <w:bookmarkEnd w:id="127"/>
      <w:bookmarkEnd w:id="128"/>
      <w:bookmarkEnd w:id="129"/>
    </w:p>
    <w:p w14:paraId="42B2FD4E">
      <w:pPr>
        <w:pStyle w:val="78"/>
        <w:tabs>
          <w:tab w:val="left" w:pos="8820"/>
        </w:tabs>
        <w:spacing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 xml:space="preserve">The treatment plant is anticipated to handle three waste streams; bucket waste, septage and washing station wastewater (construction ongoing). As discussed in the previous chapter, most residents of Wajir use buckets for waste containment, with fewer relying on septic tanks. The proportions of septage and bucket waste are expected to shift over the plant's design life. Additional inflow is expected from the form a bucket washing station at the FSTP. The bucket-washing facility is recommended to clean used buckets before their reuse. Currently, the bucket cleaning station is under construction at the proposed FSTP site. It will feature dedicated areas for cleaning, disinfecting, and drying buckets. </w:t>
      </w:r>
    </w:p>
    <w:p w14:paraId="628C4B5D">
      <w:pPr>
        <w:pStyle w:val="78"/>
        <w:tabs>
          <w:tab w:val="left" w:pos="8820"/>
        </w:tabs>
        <w:spacing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Peak inflows are projected for the medium term (2035), with estimated cumulative flows reaching 49 m³/day.</w:t>
      </w:r>
    </w:p>
    <w:p w14:paraId="06ADAB26">
      <w:pPr>
        <w:pStyle w:val="78"/>
        <w:tabs>
          <w:tab w:val="left" w:pos="8820"/>
        </w:tabs>
        <w:spacing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fldChar w:fldCharType="begin"/>
      </w:r>
      <w:r>
        <w:rPr>
          <w:rFonts w:ascii="Arial Narrow" w:hAnsi="Arial Narrow" w:eastAsia="Times New Roman" w:cs="Times New Roman"/>
          <w:szCs w:val="22"/>
          <w:lang w:eastAsia="en-US"/>
        </w:rPr>
        <w:instrText xml:space="preserve"> REF _Ref179899303 \h </w:instrText>
      </w:r>
      <w:r>
        <w:rPr>
          <w:rFonts w:ascii="Arial Narrow" w:hAnsi="Arial Narrow" w:eastAsia="Times New Roman" w:cs="Times New Roman"/>
          <w:szCs w:val="22"/>
          <w:lang w:eastAsia="en-US"/>
        </w:rPr>
        <w:fldChar w:fldCharType="separate"/>
      </w:r>
      <w:r>
        <w:t>Table 2</w:t>
      </w:r>
      <w:r>
        <w:rPr>
          <w:rFonts w:ascii="Arial Narrow" w:hAnsi="Arial Narrow" w:eastAsia="Times New Roman" w:cs="Times New Roman"/>
          <w:szCs w:val="22"/>
          <w:lang w:eastAsia="en-US"/>
        </w:rPr>
        <w:fldChar w:fldCharType="end"/>
      </w:r>
      <w:r>
        <w:rPr>
          <w:rFonts w:ascii="Arial Narrow" w:hAnsi="Arial Narrow" w:eastAsia="Times New Roman" w:cs="Times New Roman"/>
          <w:szCs w:val="22"/>
          <w:lang w:eastAsia="en-US"/>
        </w:rPr>
        <w:t>below summarizes the expected inflows throughout the plant's design life. The proposed designs are based on these maximum expected inflows for treatment.</w:t>
      </w:r>
      <w:r>
        <w:rPr>
          <w:rFonts w:ascii="Arial Narrow" w:hAnsi="Arial Narrow" w:eastAsia="Times New Roman" w:cs="Times New Roman"/>
          <w:szCs w:val="22"/>
          <w:lang w:eastAsia="en-US"/>
        </w:rPr>
        <w:br w:type="page"/>
      </w:r>
    </w:p>
    <w:p w14:paraId="4F8B9510">
      <w:pPr>
        <w:pStyle w:val="23"/>
        <w:rPr>
          <w:rFonts w:eastAsia="Times New Roman" w:cs="Times New Roman"/>
        </w:rPr>
      </w:pPr>
      <w:bookmarkStart w:id="130" w:name="_Ref179899303"/>
      <w:bookmarkStart w:id="131" w:name="_Toc179556813"/>
      <w:bookmarkStart w:id="132" w:name="_Toc178706239"/>
      <w:r>
        <w:t xml:space="preserve">Table </w:t>
      </w:r>
      <w:r>
        <w:fldChar w:fldCharType="begin"/>
      </w:r>
      <w:r>
        <w:instrText xml:space="preserve"> SEQ Table \* ARABIC </w:instrText>
      </w:r>
      <w:r>
        <w:fldChar w:fldCharType="separate"/>
      </w:r>
      <w:r>
        <w:t>2</w:t>
      </w:r>
      <w:r>
        <w:fldChar w:fldCharType="end"/>
      </w:r>
      <w:bookmarkEnd w:id="130"/>
      <w:r>
        <w:rPr>
          <w:rFonts w:eastAsia="Times New Roman" w:cs="Times New Roman"/>
        </w:rPr>
        <w:t>: Design flows 2025-2045</w:t>
      </w:r>
      <w:bookmarkEnd w:id="131"/>
      <w:bookmarkEnd w:id="132"/>
    </w:p>
    <w:tbl>
      <w:tblPr>
        <w:tblStyle w:val="75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5"/>
        <w:gridCol w:w="1710"/>
        <w:gridCol w:w="1440"/>
        <w:gridCol w:w="1302"/>
      </w:tblGrid>
      <w:tr w14:paraId="0114D6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3235" w:type="dxa"/>
            <w:shd w:val="clear" w:color="auto" w:fill="215E99"/>
          </w:tcPr>
          <w:p w14:paraId="38E272DC">
            <w:pPr>
              <w:pStyle w:val="78"/>
              <w:tabs>
                <w:tab w:val="left" w:pos="8820"/>
              </w:tabs>
              <w:spacing w:line="240" w:lineRule="auto"/>
              <w:ind w:left="709" w:right="-25"/>
              <w:rPr>
                <w:rFonts w:ascii="Arial Narrow" w:hAnsi="Arial Narrow" w:eastAsia="Times New Roman" w:cs="Times New Roman"/>
                <w:b/>
                <w:kern w:val="0"/>
                <w:szCs w:val="22"/>
                <w:lang w:eastAsia="en-US"/>
                <w14:ligatures w14:val="none"/>
              </w:rPr>
            </w:pPr>
            <w:r>
              <w:rPr>
                <w:rFonts w:ascii="Arial Narrow" w:hAnsi="Arial Narrow" w:eastAsia="Times New Roman" w:cs="Times New Roman"/>
                <w:b/>
                <w:kern w:val="0"/>
                <w:szCs w:val="22"/>
                <w:lang w:eastAsia="en-US"/>
                <w14:ligatures w14:val="none"/>
              </w:rPr>
              <w:t>Source</w:t>
            </w:r>
          </w:p>
        </w:tc>
        <w:tc>
          <w:tcPr>
            <w:tcW w:w="1710" w:type="dxa"/>
            <w:shd w:val="clear" w:color="auto" w:fill="215E99"/>
          </w:tcPr>
          <w:p w14:paraId="625D38E9">
            <w:pPr>
              <w:pStyle w:val="78"/>
              <w:tabs>
                <w:tab w:val="left" w:pos="8820"/>
              </w:tabs>
              <w:spacing w:line="240" w:lineRule="auto"/>
              <w:ind w:left="709" w:right="-25"/>
              <w:rPr>
                <w:rFonts w:ascii="Arial Narrow" w:hAnsi="Arial Narrow" w:eastAsia="Times New Roman" w:cs="Times New Roman"/>
                <w:b/>
                <w:kern w:val="0"/>
                <w:szCs w:val="22"/>
                <w:lang w:eastAsia="en-US"/>
                <w14:ligatures w14:val="none"/>
              </w:rPr>
            </w:pPr>
            <w:r>
              <w:rPr>
                <w:rFonts w:ascii="Arial Narrow" w:hAnsi="Arial Narrow" w:eastAsia="Times New Roman" w:cs="Times New Roman"/>
                <w:b/>
                <w:kern w:val="0"/>
                <w:szCs w:val="22"/>
                <w:lang w:eastAsia="en-US"/>
                <w14:ligatures w14:val="none"/>
              </w:rPr>
              <w:t>2025</w:t>
            </w:r>
          </w:p>
        </w:tc>
        <w:tc>
          <w:tcPr>
            <w:tcW w:w="1440" w:type="dxa"/>
            <w:shd w:val="clear" w:color="auto" w:fill="215E99"/>
          </w:tcPr>
          <w:p w14:paraId="2D5D3E6D">
            <w:pPr>
              <w:pStyle w:val="78"/>
              <w:tabs>
                <w:tab w:val="left" w:pos="8820"/>
              </w:tabs>
              <w:spacing w:line="240" w:lineRule="auto"/>
              <w:ind w:left="709" w:right="-25"/>
              <w:rPr>
                <w:rFonts w:ascii="Arial Narrow" w:hAnsi="Arial Narrow" w:eastAsia="Times New Roman" w:cs="Times New Roman"/>
                <w:b/>
                <w:kern w:val="0"/>
                <w:szCs w:val="22"/>
                <w:lang w:eastAsia="en-US"/>
                <w14:ligatures w14:val="none"/>
              </w:rPr>
            </w:pPr>
            <w:r>
              <w:rPr>
                <w:rFonts w:ascii="Arial Narrow" w:hAnsi="Arial Narrow" w:eastAsia="Times New Roman" w:cs="Times New Roman"/>
                <w:b/>
                <w:kern w:val="0"/>
                <w:szCs w:val="22"/>
                <w:lang w:eastAsia="en-US"/>
                <w14:ligatures w14:val="none"/>
              </w:rPr>
              <w:t>2035</w:t>
            </w:r>
          </w:p>
        </w:tc>
        <w:tc>
          <w:tcPr>
            <w:tcW w:w="1080" w:type="dxa"/>
            <w:shd w:val="clear" w:color="auto" w:fill="215E99"/>
          </w:tcPr>
          <w:p w14:paraId="6D30B822">
            <w:pPr>
              <w:pStyle w:val="78"/>
              <w:tabs>
                <w:tab w:val="left" w:pos="8820"/>
              </w:tabs>
              <w:spacing w:line="240" w:lineRule="auto"/>
              <w:ind w:left="709" w:right="-25"/>
              <w:rPr>
                <w:rFonts w:ascii="Arial Narrow" w:hAnsi="Arial Narrow" w:eastAsia="Times New Roman" w:cs="Times New Roman"/>
                <w:b/>
                <w:kern w:val="0"/>
                <w:szCs w:val="22"/>
                <w:lang w:eastAsia="en-US"/>
                <w14:ligatures w14:val="none"/>
              </w:rPr>
            </w:pPr>
            <w:r>
              <w:rPr>
                <w:rFonts w:ascii="Arial Narrow" w:hAnsi="Arial Narrow" w:eastAsia="Times New Roman" w:cs="Times New Roman"/>
                <w:b/>
                <w:kern w:val="0"/>
                <w:szCs w:val="22"/>
                <w:lang w:eastAsia="en-US"/>
                <w14:ligatures w14:val="none"/>
              </w:rPr>
              <w:t>2045</w:t>
            </w:r>
          </w:p>
        </w:tc>
      </w:tr>
      <w:tr w14:paraId="679662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blHeader/>
          <w:jc w:val="center"/>
        </w:trPr>
        <w:tc>
          <w:tcPr>
            <w:tcW w:w="3235" w:type="dxa"/>
          </w:tcPr>
          <w:p w14:paraId="177D9607">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Bucket waste</w:t>
            </w:r>
          </w:p>
        </w:tc>
        <w:tc>
          <w:tcPr>
            <w:tcW w:w="1710" w:type="dxa"/>
          </w:tcPr>
          <w:p w14:paraId="47F14DD4">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20</w:t>
            </w:r>
          </w:p>
        </w:tc>
        <w:tc>
          <w:tcPr>
            <w:tcW w:w="1440" w:type="dxa"/>
          </w:tcPr>
          <w:p w14:paraId="0F43A7B5">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24.4</w:t>
            </w:r>
          </w:p>
        </w:tc>
        <w:tc>
          <w:tcPr>
            <w:tcW w:w="1080" w:type="dxa"/>
          </w:tcPr>
          <w:p w14:paraId="318572EB">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9</w:t>
            </w:r>
          </w:p>
        </w:tc>
      </w:tr>
      <w:tr w14:paraId="77D5F4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blHeader/>
          <w:jc w:val="center"/>
        </w:trPr>
        <w:tc>
          <w:tcPr>
            <w:tcW w:w="3235" w:type="dxa"/>
          </w:tcPr>
          <w:p w14:paraId="0F52C2B6">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Septic tanks</w:t>
            </w:r>
          </w:p>
        </w:tc>
        <w:tc>
          <w:tcPr>
            <w:tcW w:w="1710" w:type="dxa"/>
          </w:tcPr>
          <w:p w14:paraId="75047C22">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9</w:t>
            </w:r>
          </w:p>
        </w:tc>
        <w:tc>
          <w:tcPr>
            <w:tcW w:w="1440" w:type="dxa"/>
          </w:tcPr>
          <w:p w14:paraId="481B1126">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17.4</w:t>
            </w:r>
          </w:p>
        </w:tc>
        <w:tc>
          <w:tcPr>
            <w:tcW w:w="1080" w:type="dxa"/>
          </w:tcPr>
          <w:p w14:paraId="516DAEC1">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21</w:t>
            </w:r>
          </w:p>
        </w:tc>
      </w:tr>
      <w:tr w14:paraId="3BE25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blHeader/>
          <w:jc w:val="center"/>
        </w:trPr>
        <w:tc>
          <w:tcPr>
            <w:tcW w:w="3235" w:type="dxa"/>
          </w:tcPr>
          <w:p w14:paraId="6618BDDB">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Improved toilets</w:t>
            </w:r>
          </w:p>
        </w:tc>
        <w:tc>
          <w:tcPr>
            <w:tcW w:w="1710" w:type="dxa"/>
          </w:tcPr>
          <w:p w14:paraId="5E386422">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1</w:t>
            </w:r>
          </w:p>
        </w:tc>
        <w:tc>
          <w:tcPr>
            <w:tcW w:w="1440" w:type="dxa"/>
          </w:tcPr>
          <w:p w14:paraId="34664392">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5.2</w:t>
            </w:r>
          </w:p>
        </w:tc>
        <w:tc>
          <w:tcPr>
            <w:tcW w:w="1080" w:type="dxa"/>
          </w:tcPr>
          <w:p w14:paraId="523AFC00">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9</w:t>
            </w:r>
          </w:p>
        </w:tc>
      </w:tr>
      <w:tr w14:paraId="64586A1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blHeader/>
          <w:jc w:val="center"/>
        </w:trPr>
        <w:tc>
          <w:tcPr>
            <w:tcW w:w="3235" w:type="dxa"/>
          </w:tcPr>
          <w:p w14:paraId="75F6EB75">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Washing station wastewater</w:t>
            </w:r>
          </w:p>
        </w:tc>
        <w:tc>
          <w:tcPr>
            <w:tcW w:w="1710" w:type="dxa"/>
          </w:tcPr>
          <w:p w14:paraId="1CB3E1CA">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1</w:t>
            </w:r>
          </w:p>
        </w:tc>
        <w:tc>
          <w:tcPr>
            <w:tcW w:w="1440" w:type="dxa"/>
          </w:tcPr>
          <w:p w14:paraId="3BE9C6A5">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2</w:t>
            </w:r>
          </w:p>
        </w:tc>
        <w:tc>
          <w:tcPr>
            <w:tcW w:w="1080" w:type="dxa"/>
          </w:tcPr>
          <w:p w14:paraId="12766DA1">
            <w:pPr>
              <w:pStyle w:val="78"/>
              <w:tabs>
                <w:tab w:val="left" w:pos="8820"/>
              </w:tabs>
              <w:spacing w:line="240" w:lineRule="auto"/>
              <w:ind w:left="709" w:right="-25"/>
              <w:rPr>
                <w:rFonts w:ascii="Arial Narrow" w:hAnsi="Arial Narrow" w:eastAsia="Times New Roman" w:cs="Times New Roman"/>
                <w:kern w:val="0"/>
                <w:szCs w:val="22"/>
                <w:lang w:eastAsia="en-US"/>
                <w14:ligatures w14:val="none"/>
              </w:rPr>
            </w:pPr>
            <w:r>
              <w:rPr>
                <w:rFonts w:ascii="Arial Narrow" w:hAnsi="Arial Narrow" w:eastAsia="Times New Roman" w:cs="Times New Roman"/>
                <w:kern w:val="0"/>
                <w:szCs w:val="22"/>
                <w:lang w:eastAsia="en-US"/>
                <w14:ligatures w14:val="none"/>
              </w:rPr>
              <w:t>1</w:t>
            </w:r>
          </w:p>
        </w:tc>
      </w:tr>
      <w:tr w14:paraId="3AF24B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9" w:hRule="atLeast"/>
          <w:tblHeader/>
          <w:jc w:val="center"/>
        </w:trPr>
        <w:tc>
          <w:tcPr>
            <w:tcW w:w="3235" w:type="dxa"/>
            <w:shd w:val="clear" w:color="auto" w:fill="FAE2D5"/>
          </w:tcPr>
          <w:p w14:paraId="2EEBD651">
            <w:pPr>
              <w:pStyle w:val="78"/>
              <w:tabs>
                <w:tab w:val="left" w:pos="8820"/>
              </w:tabs>
              <w:spacing w:line="240" w:lineRule="auto"/>
              <w:ind w:left="709" w:right="-25"/>
              <w:rPr>
                <w:rFonts w:ascii="Arial Narrow" w:hAnsi="Arial Narrow" w:eastAsia="Times New Roman" w:cs="Times New Roman"/>
                <w:b/>
                <w:kern w:val="0"/>
                <w:szCs w:val="22"/>
                <w:lang w:eastAsia="en-US"/>
                <w14:ligatures w14:val="none"/>
              </w:rPr>
            </w:pPr>
            <w:r>
              <w:rPr>
                <w:rFonts w:ascii="Arial Narrow" w:hAnsi="Arial Narrow" w:eastAsia="Times New Roman" w:cs="Times New Roman"/>
                <w:b/>
                <w:kern w:val="0"/>
                <w:szCs w:val="22"/>
                <w:lang w:eastAsia="en-US"/>
                <w14:ligatures w14:val="none"/>
              </w:rPr>
              <w:t>Total in m3/day</w:t>
            </w:r>
          </w:p>
        </w:tc>
        <w:tc>
          <w:tcPr>
            <w:tcW w:w="1710" w:type="dxa"/>
            <w:shd w:val="clear" w:color="auto" w:fill="FAE2D5"/>
          </w:tcPr>
          <w:p w14:paraId="2889BDF7">
            <w:pPr>
              <w:pStyle w:val="78"/>
              <w:tabs>
                <w:tab w:val="left" w:pos="8820"/>
              </w:tabs>
              <w:spacing w:line="240" w:lineRule="auto"/>
              <w:ind w:left="709" w:right="-25"/>
              <w:rPr>
                <w:rFonts w:ascii="Arial Narrow" w:hAnsi="Arial Narrow" w:eastAsia="Times New Roman" w:cs="Times New Roman"/>
                <w:b/>
                <w:kern w:val="0"/>
                <w:szCs w:val="22"/>
                <w:lang w:eastAsia="en-US"/>
                <w14:ligatures w14:val="none"/>
              </w:rPr>
            </w:pPr>
            <w:r>
              <w:rPr>
                <w:rFonts w:ascii="Arial Narrow" w:hAnsi="Arial Narrow" w:eastAsia="Times New Roman" w:cs="Times New Roman"/>
                <w:b/>
                <w:kern w:val="0"/>
                <w:szCs w:val="22"/>
                <w:lang w:eastAsia="en-US"/>
                <w14:ligatures w14:val="none"/>
              </w:rPr>
              <w:t>31</w:t>
            </w:r>
          </w:p>
        </w:tc>
        <w:tc>
          <w:tcPr>
            <w:tcW w:w="1440" w:type="dxa"/>
            <w:shd w:val="clear" w:color="auto" w:fill="FAE2D5"/>
          </w:tcPr>
          <w:p w14:paraId="47496CB8">
            <w:pPr>
              <w:pStyle w:val="78"/>
              <w:tabs>
                <w:tab w:val="left" w:pos="8820"/>
              </w:tabs>
              <w:spacing w:line="240" w:lineRule="auto"/>
              <w:ind w:left="709" w:right="-25"/>
              <w:rPr>
                <w:rFonts w:ascii="Arial Narrow" w:hAnsi="Arial Narrow" w:eastAsia="Times New Roman" w:cs="Times New Roman"/>
                <w:b/>
                <w:kern w:val="0"/>
                <w:szCs w:val="22"/>
                <w:lang w:eastAsia="en-US"/>
                <w14:ligatures w14:val="none"/>
              </w:rPr>
            </w:pPr>
            <w:r>
              <w:rPr>
                <w:rFonts w:ascii="Arial Narrow" w:hAnsi="Arial Narrow" w:eastAsia="Times New Roman" w:cs="Times New Roman"/>
                <w:b/>
                <w:kern w:val="0"/>
                <w:szCs w:val="22"/>
                <w:lang w:eastAsia="en-US"/>
                <w14:ligatures w14:val="none"/>
              </w:rPr>
              <w:t>49</w:t>
            </w:r>
          </w:p>
        </w:tc>
        <w:tc>
          <w:tcPr>
            <w:tcW w:w="1080" w:type="dxa"/>
            <w:shd w:val="clear" w:color="auto" w:fill="FAE2D5"/>
          </w:tcPr>
          <w:p w14:paraId="66DCAD54">
            <w:pPr>
              <w:pStyle w:val="78"/>
              <w:tabs>
                <w:tab w:val="left" w:pos="8820"/>
              </w:tabs>
              <w:spacing w:line="240" w:lineRule="auto"/>
              <w:ind w:left="709" w:right="-25"/>
              <w:rPr>
                <w:rFonts w:ascii="Arial Narrow" w:hAnsi="Arial Narrow" w:eastAsia="Times New Roman" w:cs="Times New Roman"/>
                <w:b/>
                <w:kern w:val="0"/>
                <w:szCs w:val="22"/>
                <w:lang w:eastAsia="en-US"/>
                <w14:ligatures w14:val="none"/>
              </w:rPr>
            </w:pPr>
            <w:r>
              <w:rPr>
                <w:rFonts w:ascii="Arial Narrow" w:hAnsi="Arial Narrow" w:eastAsia="Times New Roman" w:cs="Times New Roman"/>
                <w:b/>
                <w:kern w:val="0"/>
                <w:szCs w:val="22"/>
                <w:lang w:eastAsia="en-US"/>
                <w14:ligatures w14:val="none"/>
              </w:rPr>
              <w:t>40</w:t>
            </w:r>
          </w:p>
        </w:tc>
      </w:tr>
    </w:tbl>
    <w:p w14:paraId="7C3CD67E">
      <w:pPr>
        <w:rPr>
          <w:rFonts w:eastAsia="Calibri" w:cs="Calibri"/>
          <w:color w:val="000000"/>
          <w:kern w:val="2"/>
          <w:sz w:val="20"/>
          <w:szCs w:val="20"/>
          <w:lang w:val="en-GB"/>
          <w14:ligatures w14:val="standardContextual"/>
        </w:rPr>
      </w:pPr>
    </w:p>
    <w:p w14:paraId="44FDAB97">
      <w:pPr>
        <w:pStyle w:val="78"/>
        <w:tabs>
          <w:tab w:val="left" w:pos="8820"/>
        </w:tabs>
        <w:spacing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The faecal sludge characteristics adopted in the design were determined based on the proportions of inflows from the various sources</w:t>
      </w:r>
      <w:r>
        <w:rPr>
          <w:rFonts w:ascii="Arial Narrow" w:hAnsi="Arial Narrow" w:eastAsia="Times New Roman" w:cs="Times New Roman"/>
          <w:szCs w:val="22"/>
          <w:highlight w:val="yellow"/>
          <w:lang w:eastAsia="en-US"/>
        </w:rPr>
        <w:t xml:space="preserve">. </w:t>
      </w:r>
      <w:r>
        <w:rPr>
          <w:rFonts w:ascii="Arial Narrow" w:hAnsi="Arial Narrow" w:eastAsia="Times New Roman" w:cs="Times New Roman"/>
          <w:szCs w:val="22"/>
          <w:highlight w:val="yellow"/>
          <w:lang w:eastAsia="en-US"/>
        </w:rPr>
        <w:fldChar w:fldCharType="begin"/>
      </w:r>
      <w:r>
        <w:rPr>
          <w:rFonts w:ascii="Arial Narrow" w:hAnsi="Arial Narrow" w:eastAsia="Times New Roman" w:cs="Times New Roman"/>
          <w:szCs w:val="22"/>
          <w:highlight w:val="yellow"/>
          <w:lang w:eastAsia="en-US"/>
        </w:rPr>
        <w:instrText xml:space="preserve"> REF _Ref179899338 \h </w:instrText>
      </w:r>
      <w:r>
        <w:rPr>
          <w:rFonts w:ascii="Arial Narrow" w:hAnsi="Arial Narrow" w:eastAsia="Times New Roman" w:cs="Times New Roman"/>
          <w:szCs w:val="22"/>
          <w:highlight w:val="yellow"/>
          <w:lang w:eastAsia="en-US"/>
        </w:rPr>
        <w:fldChar w:fldCharType="separate"/>
      </w:r>
      <w:r>
        <w:t>Table 3</w:t>
      </w:r>
      <w:r>
        <w:rPr>
          <w:rFonts w:ascii="Arial Narrow" w:hAnsi="Arial Narrow" w:eastAsia="Times New Roman" w:cs="Times New Roman"/>
          <w:szCs w:val="22"/>
          <w:highlight w:val="yellow"/>
          <w:lang w:eastAsia="en-US"/>
        </w:rPr>
        <w:fldChar w:fldCharType="end"/>
      </w:r>
      <w:r>
        <w:rPr>
          <w:rFonts w:ascii="Arial Narrow" w:hAnsi="Arial Narrow" w:eastAsia="Times New Roman" w:cs="Times New Roman"/>
          <w:szCs w:val="22"/>
          <w:lang w:eastAsia="en-US"/>
        </w:rPr>
        <w:t>below summarizes the average characteristics of the faecal sludge streams of the proposed FSTP.</w:t>
      </w:r>
    </w:p>
    <w:p w14:paraId="52AC9798">
      <w:pPr>
        <w:pStyle w:val="23"/>
        <w:rPr>
          <w:rFonts w:eastAsia="Calibri" w:cs="Calibri"/>
          <w:color w:val="0E2841"/>
          <w:kern w:val="2"/>
          <w:sz w:val="20"/>
          <w:szCs w:val="20"/>
          <w14:ligatures w14:val="standardContextual"/>
        </w:rPr>
      </w:pPr>
      <w:bookmarkStart w:id="133" w:name="_Ref179899338"/>
      <w:bookmarkStart w:id="134" w:name="_Toc178706240"/>
      <w:bookmarkStart w:id="135" w:name="_Toc179556814"/>
      <w:r>
        <w:t xml:space="preserve">Table </w:t>
      </w:r>
      <w:r>
        <w:fldChar w:fldCharType="begin"/>
      </w:r>
      <w:r>
        <w:instrText xml:space="preserve"> SEQ Table \* ARABIC </w:instrText>
      </w:r>
      <w:r>
        <w:fldChar w:fldCharType="separate"/>
      </w:r>
      <w:r>
        <w:t>3</w:t>
      </w:r>
      <w:r>
        <w:fldChar w:fldCharType="end"/>
      </w:r>
      <w:bookmarkEnd w:id="133"/>
      <w:r>
        <w:rPr>
          <w:rFonts w:eastAsia="Calibri" w:cs="Calibri"/>
          <w:color w:val="0E2841"/>
          <w:kern w:val="2"/>
          <w:sz w:val="20"/>
          <w:szCs w:val="20"/>
          <w14:ligatures w14:val="standardContextual"/>
        </w:rPr>
        <w:t xml:space="preserve">: </w:t>
      </w:r>
      <w:r>
        <w:t>Weighted average faecal sludge characteristics of proposed FSTP</w:t>
      </w:r>
      <w:bookmarkEnd w:id="134"/>
      <w:bookmarkEnd w:id="135"/>
    </w:p>
    <w:tbl>
      <w:tblPr>
        <w:tblStyle w:val="755"/>
        <w:tblW w:w="5000" w:type="pct"/>
        <w:tblInd w:w="5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0"/>
        <w:gridCol w:w="1776"/>
        <w:gridCol w:w="1265"/>
        <w:gridCol w:w="1050"/>
        <w:gridCol w:w="1140"/>
        <w:gridCol w:w="1412"/>
        <w:gridCol w:w="1639"/>
      </w:tblGrid>
      <w:tr w14:paraId="644ACB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20" w:hRule="atLeast"/>
        </w:trPr>
        <w:tc>
          <w:tcPr>
            <w:tcW w:w="468" w:type="pct"/>
            <w:shd w:val="clear" w:color="auto" w:fill="215E99"/>
          </w:tcPr>
          <w:p w14:paraId="424096F5">
            <w:pPr>
              <w:spacing w:after="0" w:line="240" w:lineRule="auto"/>
              <w:rPr>
                <w:rFonts w:eastAsia="Times New Roman"/>
                <w:b/>
                <w:kern w:val="2"/>
                <w:sz w:val="24"/>
                <w:szCs w:val="24"/>
                <w14:ligatures w14:val="standardContextual"/>
              </w:rPr>
            </w:pPr>
            <w:r>
              <w:rPr>
                <w:rFonts w:eastAsia="Times New Roman"/>
                <w:b/>
                <w:kern w:val="2"/>
                <w:sz w:val="24"/>
                <w:szCs w:val="24"/>
                <w14:ligatures w14:val="standardContextual"/>
              </w:rPr>
              <w:t>No.</w:t>
            </w:r>
          </w:p>
        </w:tc>
        <w:tc>
          <w:tcPr>
            <w:tcW w:w="981" w:type="pct"/>
            <w:shd w:val="clear" w:color="auto" w:fill="215E99"/>
          </w:tcPr>
          <w:p w14:paraId="42EC0EB1">
            <w:pPr>
              <w:spacing w:after="0" w:line="240" w:lineRule="auto"/>
              <w:rPr>
                <w:rFonts w:eastAsia="Times New Roman"/>
                <w:b/>
                <w:kern w:val="2"/>
                <w:sz w:val="24"/>
                <w:szCs w:val="24"/>
                <w14:ligatures w14:val="standardContextual"/>
              </w:rPr>
            </w:pPr>
            <w:r>
              <w:rPr>
                <w:rFonts w:eastAsia="Times New Roman"/>
                <w:b/>
                <w:kern w:val="2"/>
                <w:sz w:val="24"/>
                <w:szCs w:val="24"/>
                <w14:ligatures w14:val="standardContextual"/>
              </w:rPr>
              <w:t>Parameter</w:t>
            </w:r>
          </w:p>
        </w:tc>
        <w:tc>
          <w:tcPr>
            <w:tcW w:w="701" w:type="pct"/>
            <w:shd w:val="clear" w:color="auto" w:fill="215E99"/>
          </w:tcPr>
          <w:p w14:paraId="74FC8665">
            <w:pPr>
              <w:spacing w:after="0" w:line="240" w:lineRule="auto"/>
              <w:rPr>
                <w:rFonts w:eastAsia="Times New Roman"/>
                <w:b/>
                <w:kern w:val="2"/>
                <w:sz w:val="24"/>
                <w:szCs w:val="24"/>
                <w14:ligatures w14:val="standardContextual"/>
              </w:rPr>
            </w:pPr>
            <w:r>
              <w:rPr>
                <w:rFonts w:eastAsia="Times New Roman"/>
                <w:b/>
                <w:kern w:val="2"/>
                <w:sz w:val="24"/>
                <w:szCs w:val="24"/>
                <w14:ligatures w14:val="standardContextual"/>
              </w:rPr>
              <w:t>Unit</w:t>
            </w:r>
          </w:p>
        </w:tc>
        <w:tc>
          <w:tcPr>
            <w:tcW w:w="583" w:type="pct"/>
            <w:shd w:val="clear" w:color="auto" w:fill="215E99"/>
            <w:vAlign w:val="center"/>
          </w:tcPr>
          <w:p w14:paraId="16BCD8B0">
            <w:pPr>
              <w:spacing w:after="0" w:line="240" w:lineRule="auto"/>
              <w:rPr>
                <w:rFonts w:eastAsia="Times New Roman"/>
                <w:b/>
                <w:kern w:val="2"/>
                <w:sz w:val="24"/>
                <w:szCs w:val="24"/>
                <w14:ligatures w14:val="standardContextual"/>
              </w:rPr>
            </w:pPr>
            <w:r>
              <w:rPr>
                <w:rFonts w:eastAsia="Times New Roman"/>
                <w:b/>
                <w:kern w:val="2"/>
                <w:sz w:val="24"/>
                <w:szCs w:val="24"/>
                <w14:ligatures w14:val="standardContextual"/>
              </w:rPr>
              <w:t>Design Influent Bucket Sludge</w:t>
            </w:r>
          </w:p>
        </w:tc>
        <w:tc>
          <w:tcPr>
            <w:tcW w:w="632" w:type="pct"/>
            <w:shd w:val="clear" w:color="auto" w:fill="215E99"/>
            <w:vAlign w:val="center"/>
          </w:tcPr>
          <w:p w14:paraId="65D1A57C">
            <w:pPr>
              <w:spacing w:after="0" w:line="240" w:lineRule="auto"/>
              <w:rPr>
                <w:rFonts w:eastAsia="Times New Roman"/>
                <w:b/>
                <w:kern w:val="2"/>
                <w:sz w:val="24"/>
                <w:szCs w:val="24"/>
                <w14:ligatures w14:val="standardContextual"/>
              </w:rPr>
            </w:pPr>
            <w:r>
              <w:rPr>
                <w:rFonts w:eastAsia="Times New Roman"/>
                <w:b/>
                <w:kern w:val="2"/>
                <w:sz w:val="24"/>
                <w:szCs w:val="24"/>
                <w14:ligatures w14:val="standardContextual"/>
              </w:rPr>
              <w:t>Design Influent Septage</w:t>
            </w:r>
          </w:p>
        </w:tc>
        <w:tc>
          <w:tcPr>
            <w:tcW w:w="781" w:type="pct"/>
            <w:shd w:val="clear" w:color="auto" w:fill="215E99"/>
            <w:vAlign w:val="center"/>
          </w:tcPr>
          <w:p w14:paraId="36C6862D">
            <w:pPr>
              <w:spacing w:after="0" w:line="240" w:lineRule="auto"/>
              <w:rPr>
                <w:rFonts w:eastAsia="Times New Roman"/>
                <w:b/>
                <w:kern w:val="2"/>
                <w:sz w:val="24"/>
                <w:szCs w:val="24"/>
                <w14:ligatures w14:val="standardContextual"/>
              </w:rPr>
            </w:pPr>
            <w:r>
              <w:rPr>
                <w:rFonts w:eastAsia="Times New Roman"/>
                <w:b/>
                <w:kern w:val="2"/>
                <w:sz w:val="24"/>
                <w:szCs w:val="24"/>
                <w14:ligatures w14:val="standardContextual"/>
              </w:rPr>
              <w:t>Design Influent Wash Station Wastewater</w:t>
            </w:r>
          </w:p>
        </w:tc>
        <w:tc>
          <w:tcPr>
            <w:tcW w:w="853" w:type="pct"/>
            <w:shd w:val="clear" w:color="auto" w:fill="215E99"/>
            <w:vAlign w:val="center"/>
          </w:tcPr>
          <w:p w14:paraId="7916370C">
            <w:pPr>
              <w:spacing w:after="0" w:line="240" w:lineRule="auto"/>
              <w:rPr>
                <w:rFonts w:eastAsia="Times New Roman"/>
                <w:b/>
                <w:kern w:val="2"/>
                <w:sz w:val="24"/>
                <w:szCs w:val="24"/>
                <w14:ligatures w14:val="standardContextual"/>
              </w:rPr>
            </w:pPr>
            <w:r>
              <w:rPr>
                <w:rFonts w:eastAsia="Times New Roman"/>
                <w:b/>
                <w:kern w:val="2"/>
                <w:sz w:val="24"/>
                <w:szCs w:val="24"/>
                <w14:ligatures w14:val="standardContextual"/>
              </w:rPr>
              <w:t>Weighted Average Influent Characteristics</w:t>
            </w:r>
          </w:p>
        </w:tc>
      </w:tr>
      <w:tr w14:paraId="144BC2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 w:hRule="atLeast"/>
        </w:trPr>
        <w:tc>
          <w:tcPr>
            <w:tcW w:w="468" w:type="pct"/>
            <w:noWrap/>
          </w:tcPr>
          <w:p w14:paraId="24638AA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w:t>
            </w:r>
          </w:p>
        </w:tc>
        <w:tc>
          <w:tcPr>
            <w:tcW w:w="981" w:type="pct"/>
          </w:tcPr>
          <w:p w14:paraId="19CAD195">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Flow</w:t>
            </w:r>
          </w:p>
        </w:tc>
        <w:tc>
          <w:tcPr>
            <w:tcW w:w="701" w:type="pct"/>
            <w:vAlign w:val="center"/>
          </w:tcPr>
          <w:p w14:paraId="14D6FB5A">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m3/day</w:t>
            </w:r>
          </w:p>
        </w:tc>
        <w:tc>
          <w:tcPr>
            <w:tcW w:w="583" w:type="pct"/>
            <w:vAlign w:val="center"/>
          </w:tcPr>
          <w:p w14:paraId="16756458">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22</w:t>
            </w:r>
          </w:p>
        </w:tc>
        <w:tc>
          <w:tcPr>
            <w:tcW w:w="632" w:type="pct"/>
            <w:vAlign w:val="center"/>
          </w:tcPr>
          <w:p w14:paraId="309743BC">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25</w:t>
            </w:r>
          </w:p>
        </w:tc>
        <w:tc>
          <w:tcPr>
            <w:tcW w:w="781" w:type="pct"/>
            <w:vAlign w:val="center"/>
          </w:tcPr>
          <w:p w14:paraId="360E4CE1">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w:t>
            </w:r>
          </w:p>
        </w:tc>
        <w:tc>
          <w:tcPr>
            <w:tcW w:w="853" w:type="pct"/>
            <w:vAlign w:val="center"/>
          </w:tcPr>
          <w:p w14:paraId="5DA81573">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49</w:t>
            </w:r>
          </w:p>
        </w:tc>
      </w:tr>
      <w:tr w14:paraId="423144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8" w:hRule="atLeast"/>
        </w:trPr>
        <w:tc>
          <w:tcPr>
            <w:tcW w:w="468" w:type="pct"/>
            <w:noWrap/>
          </w:tcPr>
          <w:p w14:paraId="39616949">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w:t>
            </w:r>
          </w:p>
        </w:tc>
        <w:tc>
          <w:tcPr>
            <w:tcW w:w="981" w:type="pct"/>
          </w:tcPr>
          <w:p w14:paraId="6910DE33">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 xml:space="preserve">Biochemical Oxygen Demand (BOD5) </w:t>
            </w:r>
          </w:p>
        </w:tc>
        <w:tc>
          <w:tcPr>
            <w:tcW w:w="701" w:type="pct"/>
            <w:vAlign w:val="center"/>
          </w:tcPr>
          <w:p w14:paraId="47292BB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mg/l</w:t>
            </w:r>
          </w:p>
        </w:tc>
        <w:tc>
          <w:tcPr>
            <w:tcW w:w="583" w:type="pct"/>
            <w:vAlign w:val="center"/>
          </w:tcPr>
          <w:p w14:paraId="117EAF2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189,956</w:t>
            </w:r>
          </w:p>
        </w:tc>
        <w:tc>
          <w:tcPr>
            <w:tcW w:w="632" w:type="pct"/>
            <w:vAlign w:val="center"/>
          </w:tcPr>
          <w:p w14:paraId="441209F7">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305.925</w:t>
            </w:r>
          </w:p>
        </w:tc>
        <w:tc>
          <w:tcPr>
            <w:tcW w:w="781" w:type="pct"/>
            <w:vAlign w:val="center"/>
          </w:tcPr>
          <w:p w14:paraId="03151550">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200</w:t>
            </w:r>
          </w:p>
        </w:tc>
        <w:tc>
          <w:tcPr>
            <w:tcW w:w="853" w:type="pct"/>
            <w:vAlign w:val="center"/>
          </w:tcPr>
          <w:p w14:paraId="5ADF439A">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95,000</w:t>
            </w:r>
          </w:p>
        </w:tc>
      </w:tr>
      <w:tr w14:paraId="468126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468" w:type="pct"/>
            <w:noWrap/>
          </w:tcPr>
          <w:p w14:paraId="772B9B90">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3</w:t>
            </w:r>
          </w:p>
        </w:tc>
        <w:tc>
          <w:tcPr>
            <w:tcW w:w="981" w:type="pct"/>
          </w:tcPr>
          <w:p w14:paraId="5EFBD5E0">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Chemical Oxygen Demand (COD)</w:t>
            </w:r>
          </w:p>
        </w:tc>
        <w:tc>
          <w:tcPr>
            <w:tcW w:w="701" w:type="pct"/>
            <w:vAlign w:val="center"/>
          </w:tcPr>
          <w:p w14:paraId="7E48E83C">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mg/l</w:t>
            </w:r>
          </w:p>
        </w:tc>
        <w:tc>
          <w:tcPr>
            <w:tcW w:w="583" w:type="pct"/>
            <w:vAlign w:val="center"/>
          </w:tcPr>
          <w:p w14:paraId="4E023B49">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298,261</w:t>
            </w:r>
          </w:p>
        </w:tc>
        <w:tc>
          <w:tcPr>
            <w:tcW w:w="632" w:type="pct"/>
            <w:vAlign w:val="center"/>
          </w:tcPr>
          <w:p w14:paraId="46A9322A">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742</w:t>
            </w:r>
          </w:p>
        </w:tc>
        <w:tc>
          <w:tcPr>
            <w:tcW w:w="781" w:type="pct"/>
            <w:vAlign w:val="center"/>
          </w:tcPr>
          <w:p w14:paraId="63F65C82">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300</w:t>
            </w:r>
          </w:p>
        </w:tc>
        <w:tc>
          <w:tcPr>
            <w:tcW w:w="853" w:type="pct"/>
            <w:vAlign w:val="center"/>
          </w:tcPr>
          <w:p w14:paraId="7D47CC9A">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149,000</w:t>
            </w:r>
          </w:p>
        </w:tc>
      </w:tr>
      <w:tr w14:paraId="687DB3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468" w:type="pct"/>
            <w:noWrap/>
          </w:tcPr>
          <w:p w14:paraId="63BF6362">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4</w:t>
            </w:r>
          </w:p>
        </w:tc>
        <w:tc>
          <w:tcPr>
            <w:tcW w:w="981" w:type="pct"/>
          </w:tcPr>
          <w:p w14:paraId="40548829">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Total Suspended Solids (TSS)</w:t>
            </w:r>
          </w:p>
        </w:tc>
        <w:tc>
          <w:tcPr>
            <w:tcW w:w="701" w:type="pct"/>
            <w:vAlign w:val="center"/>
          </w:tcPr>
          <w:p w14:paraId="05F85368">
            <w:pPr>
              <w:spacing w:after="0" w:line="240" w:lineRule="auto"/>
              <w:rPr>
                <w:rFonts w:eastAsia="Times New Roman"/>
                <w:kern w:val="2"/>
                <w:sz w:val="24"/>
                <w:szCs w:val="24"/>
                <w14:ligatures w14:val="standardContextual"/>
              </w:rPr>
            </w:pPr>
          </w:p>
        </w:tc>
        <w:tc>
          <w:tcPr>
            <w:tcW w:w="583" w:type="pct"/>
            <w:vAlign w:val="center"/>
          </w:tcPr>
          <w:p w14:paraId="22A46D5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50,442</w:t>
            </w:r>
          </w:p>
        </w:tc>
        <w:tc>
          <w:tcPr>
            <w:tcW w:w="632" w:type="pct"/>
            <w:vAlign w:val="center"/>
          </w:tcPr>
          <w:p w14:paraId="19034AB2">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327.1675</w:t>
            </w:r>
          </w:p>
        </w:tc>
        <w:tc>
          <w:tcPr>
            <w:tcW w:w="781" w:type="pct"/>
            <w:vAlign w:val="center"/>
          </w:tcPr>
          <w:p w14:paraId="2E5548F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100</w:t>
            </w:r>
          </w:p>
        </w:tc>
        <w:tc>
          <w:tcPr>
            <w:tcW w:w="853" w:type="pct"/>
            <w:vAlign w:val="center"/>
          </w:tcPr>
          <w:p w14:paraId="18DCC4FC">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25,000</w:t>
            </w:r>
          </w:p>
        </w:tc>
      </w:tr>
      <w:tr w14:paraId="3C09FA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468" w:type="pct"/>
            <w:noWrap/>
          </w:tcPr>
          <w:p w14:paraId="395028C1">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5</w:t>
            </w:r>
          </w:p>
        </w:tc>
        <w:tc>
          <w:tcPr>
            <w:tcW w:w="981" w:type="pct"/>
          </w:tcPr>
          <w:p w14:paraId="533858AB">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Electrical Conductivity (EC)</w:t>
            </w:r>
          </w:p>
        </w:tc>
        <w:tc>
          <w:tcPr>
            <w:tcW w:w="701" w:type="pct"/>
            <w:vAlign w:val="center"/>
          </w:tcPr>
          <w:p w14:paraId="33AE68D2">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µS/cm</w:t>
            </w:r>
          </w:p>
        </w:tc>
        <w:tc>
          <w:tcPr>
            <w:tcW w:w="583" w:type="pct"/>
            <w:vAlign w:val="center"/>
          </w:tcPr>
          <w:p w14:paraId="44F80BD1">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2,780</w:t>
            </w:r>
          </w:p>
        </w:tc>
        <w:tc>
          <w:tcPr>
            <w:tcW w:w="632" w:type="pct"/>
            <w:vAlign w:val="center"/>
          </w:tcPr>
          <w:p w14:paraId="7AEA2E5C">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4,960</w:t>
            </w:r>
          </w:p>
        </w:tc>
        <w:tc>
          <w:tcPr>
            <w:tcW w:w="781" w:type="pct"/>
            <w:vAlign w:val="center"/>
          </w:tcPr>
          <w:p w14:paraId="05016CAC">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w:t>
            </w:r>
          </w:p>
        </w:tc>
        <w:tc>
          <w:tcPr>
            <w:tcW w:w="853" w:type="pct"/>
            <w:vAlign w:val="center"/>
          </w:tcPr>
          <w:p w14:paraId="22B2AFAB">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3,691</w:t>
            </w:r>
          </w:p>
        </w:tc>
      </w:tr>
      <w:tr w14:paraId="0DFC86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468" w:type="pct"/>
            <w:noWrap/>
          </w:tcPr>
          <w:p w14:paraId="65EB4A34">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6</w:t>
            </w:r>
          </w:p>
        </w:tc>
        <w:tc>
          <w:tcPr>
            <w:tcW w:w="981" w:type="pct"/>
          </w:tcPr>
          <w:p w14:paraId="0E8AA860">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 xml:space="preserve">pH </w:t>
            </w:r>
          </w:p>
        </w:tc>
        <w:tc>
          <w:tcPr>
            <w:tcW w:w="701" w:type="pct"/>
            <w:vAlign w:val="center"/>
          </w:tcPr>
          <w:p w14:paraId="786A2B89">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w:t>
            </w:r>
          </w:p>
        </w:tc>
        <w:tc>
          <w:tcPr>
            <w:tcW w:w="583" w:type="pct"/>
            <w:vAlign w:val="center"/>
          </w:tcPr>
          <w:p w14:paraId="1C151D9C">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7.0</w:t>
            </w:r>
          </w:p>
        </w:tc>
        <w:tc>
          <w:tcPr>
            <w:tcW w:w="632" w:type="pct"/>
            <w:vAlign w:val="center"/>
          </w:tcPr>
          <w:p w14:paraId="711DA071">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8.3</w:t>
            </w:r>
          </w:p>
        </w:tc>
        <w:tc>
          <w:tcPr>
            <w:tcW w:w="781" w:type="pct"/>
            <w:vAlign w:val="center"/>
          </w:tcPr>
          <w:p w14:paraId="18A106CA">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6.5-8.5</w:t>
            </w:r>
          </w:p>
        </w:tc>
        <w:tc>
          <w:tcPr>
            <w:tcW w:w="853" w:type="pct"/>
            <w:vAlign w:val="center"/>
          </w:tcPr>
          <w:p w14:paraId="748E310C">
            <w:pPr>
              <w:spacing w:after="0" w:line="240" w:lineRule="auto"/>
              <w:rPr>
                <w:rFonts w:eastAsia="Times New Roman"/>
                <w:kern w:val="2"/>
                <w:sz w:val="24"/>
                <w:szCs w:val="24"/>
                <w14:ligatures w14:val="standardContextual"/>
              </w:rPr>
            </w:pPr>
          </w:p>
        </w:tc>
      </w:tr>
      <w:tr w14:paraId="5C3B32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468" w:type="pct"/>
            <w:noWrap/>
          </w:tcPr>
          <w:p w14:paraId="2BADBCE4">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7</w:t>
            </w:r>
          </w:p>
        </w:tc>
        <w:tc>
          <w:tcPr>
            <w:tcW w:w="981" w:type="pct"/>
          </w:tcPr>
          <w:p w14:paraId="43343937">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Total Dissolved Solids (TDS)</w:t>
            </w:r>
          </w:p>
        </w:tc>
        <w:tc>
          <w:tcPr>
            <w:tcW w:w="701" w:type="pct"/>
            <w:vAlign w:val="center"/>
          </w:tcPr>
          <w:p w14:paraId="4583CA4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mg/l</w:t>
            </w:r>
          </w:p>
        </w:tc>
        <w:tc>
          <w:tcPr>
            <w:tcW w:w="583" w:type="pct"/>
            <w:vAlign w:val="center"/>
          </w:tcPr>
          <w:p w14:paraId="6BF3AA5B">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46,646</w:t>
            </w:r>
          </w:p>
        </w:tc>
        <w:tc>
          <w:tcPr>
            <w:tcW w:w="632" w:type="pct"/>
            <w:vAlign w:val="center"/>
          </w:tcPr>
          <w:p w14:paraId="7DDB5778">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1,906</w:t>
            </w:r>
          </w:p>
        </w:tc>
        <w:tc>
          <w:tcPr>
            <w:tcW w:w="781" w:type="pct"/>
            <w:vAlign w:val="center"/>
          </w:tcPr>
          <w:p w14:paraId="62B7A4E1">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200</w:t>
            </w:r>
          </w:p>
        </w:tc>
        <w:tc>
          <w:tcPr>
            <w:tcW w:w="853" w:type="pct"/>
            <w:vAlign w:val="center"/>
          </w:tcPr>
          <w:p w14:paraId="3A3D498B">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24,000</w:t>
            </w:r>
          </w:p>
        </w:tc>
      </w:tr>
      <w:tr w14:paraId="68C4F2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468" w:type="pct"/>
            <w:noWrap/>
          </w:tcPr>
          <w:p w14:paraId="6607DD98">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8</w:t>
            </w:r>
          </w:p>
        </w:tc>
        <w:tc>
          <w:tcPr>
            <w:tcW w:w="981" w:type="pct"/>
          </w:tcPr>
          <w:p w14:paraId="56CCF8D1">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Total Volatile Solids (TVS)</w:t>
            </w:r>
          </w:p>
        </w:tc>
        <w:tc>
          <w:tcPr>
            <w:tcW w:w="701" w:type="pct"/>
            <w:vAlign w:val="center"/>
          </w:tcPr>
          <w:p w14:paraId="107259A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mg/l</w:t>
            </w:r>
          </w:p>
        </w:tc>
        <w:tc>
          <w:tcPr>
            <w:tcW w:w="583" w:type="pct"/>
            <w:vAlign w:val="center"/>
          </w:tcPr>
          <w:p w14:paraId="0DE5E21D">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610.4375</w:t>
            </w:r>
          </w:p>
        </w:tc>
        <w:tc>
          <w:tcPr>
            <w:tcW w:w="632" w:type="pct"/>
            <w:vAlign w:val="center"/>
          </w:tcPr>
          <w:p w14:paraId="47203DD7">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29.715</w:t>
            </w:r>
          </w:p>
        </w:tc>
        <w:tc>
          <w:tcPr>
            <w:tcW w:w="781" w:type="pct"/>
            <w:vAlign w:val="center"/>
          </w:tcPr>
          <w:p w14:paraId="3AF129A3">
            <w:pPr>
              <w:spacing w:after="0" w:line="240" w:lineRule="auto"/>
              <w:rPr>
                <w:rFonts w:eastAsia="Times New Roman"/>
                <w:kern w:val="2"/>
                <w:sz w:val="24"/>
                <w:szCs w:val="24"/>
                <w14:ligatures w14:val="standardContextual"/>
              </w:rPr>
            </w:pPr>
          </w:p>
        </w:tc>
        <w:tc>
          <w:tcPr>
            <w:tcW w:w="853" w:type="pct"/>
            <w:vAlign w:val="center"/>
          </w:tcPr>
          <w:p w14:paraId="50D7257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326</w:t>
            </w:r>
          </w:p>
        </w:tc>
      </w:tr>
      <w:tr w14:paraId="22E2D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468" w:type="pct"/>
            <w:noWrap/>
          </w:tcPr>
          <w:p w14:paraId="668A137C">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9</w:t>
            </w:r>
          </w:p>
        </w:tc>
        <w:tc>
          <w:tcPr>
            <w:tcW w:w="981" w:type="pct"/>
          </w:tcPr>
          <w:p w14:paraId="5A1A7607">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Ammonia Nitrogen (NH4-N)</w:t>
            </w:r>
          </w:p>
        </w:tc>
        <w:tc>
          <w:tcPr>
            <w:tcW w:w="701" w:type="pct"/>
            <w:vAlign w:val="center"/>
          </w:tcPr>
          <w:p w14:paraId="442EDFA8">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mg/l</w:t>
            </w:r>
          </w:p>
        </w:tc>
        <w:tc>
          <w:tcPr>
            <w:tcW w:w="583" w:type="pct"/>
            <w:vAlign w:val="center"/>
          </w:tcPr>
          <w:p w14:paraId="55470633">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2500</w:t>
            </w:r>
          </w:p>
        </w:tc>
        <w:tc>
          <w:tcPr>
            <w:tcW w:w="632" w:type="pct"/>
            <w:vAlign w:val="center"/>
          </w:tcPr>
          <w:p w14:paraId="20C5A80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200</w:t>
            </w:r>
          </w:p>
        </w:tc>
        <w:tc>
          <w:tcPr>
            <w:tcW w:w="781" w:type="pct"/>
            <w:vAlign w:val="center"/>
          </w:tcPr>
          <w:p w14:paraId="59CBAB52">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200</w:t>
            </w:r>
          </w:p>
        </w:tc>
        <w:tc>
          <w:tcPr>
            <w:tcW w:w="853" w:type="pct"/>
            <w:vAlign w:val="center"/>
          </w:tcPr>
          <w:p w14:paraId="75784B04">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1,000</w:t>
            </w:r>
          </w:p>
        </w:tc>
      </w:tr>
      <w:tr w14:paraId="7DC7A1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468" w:type="pct"/>
            <w:noWrap/>
          </w:tcPr>
          <w:p w14:paraId="745F0E2F">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10</w:t>
            </w:r>
          </w:p>
        </w:tc>
        <w:tc>
          <w:tcPr>
            <w:tcW w:w="981" w:type="pct"/>
          </w:tcPr>
          <w:p w14:paraId="7DB02731">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E. coli</w:t>
            </w:r>
          </w:p>
        </w:tc>
        <w:tc>
          <w:tcPr>
            <w:tcW w:w="701" w:type="pct"/>
            <w:vAlign w:val="center"/>
          </w:tcPr>
          <w:p w14:paraId="69DC8865">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CFU/100ml</w:t>
            </w:r>
          </w:p>
        </w:tc>
        <w:tc>
          <w:tcPr>
            <w:tcW w:w="583" w:type="pct"/>
            <w:vAlign w:val="center"/>
          </w:tcPr>
          <w:p w14:paraId="4C6985CC">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w:t>
            </w:r>
          </w:p>
        </w:tc>
        <w:tc>
          <w:tcPr>
            <w:tcW w:w="632" w:type="pct"/>
            <w:vAlign w:val="center"/>
          </w:tcPr>
          <w:p w14:paraId="073ECDA9">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w:t>
            </w:r>
          </w:p>
        </w:tc>
        <w:tc>
          <w:tcPr>
            <w:tcW w:w="781" w:type="pct"/>
            <w:vAlign w:val="center"/>
          </w:tcPr>
          <w:p w14:paraId="0F648B1D">
            <w:pPr>
              <w:spacing w:after="0" w:line="240" w:lineRule="auto"/>
              <w:rPr>
                <w:rFonts w:eastAsia="Times New Roman"/>
                <w:kern w:val="2"/>
                <w:sz w:val="24"/>
                <w:szCs w:val="24"/>
                <w14:ligatures w14:val="standardContextual"/>
              </w:rPr>
            </w:pPr>
          </w:p>
        </w:tc>
        <w:tc>
          <w:tcPr>
            <w:tcW w:w="853" w:type="pct"/>
            <w:vAlign w:val="center"/>
          </w:tcPr>
          <w:p w14:paraId="1F398C49">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1*10^10</w:t>
            </w:r>
          </w:p>
        </w:tc>
      </w:tr>
      <w:tr w14:paraId="0C90B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trPr>
        <w:tc>
          <w:tcPr>
            <w:tcW w:w="468" w:type="pct"/>
            <w:noWrap/>
          </w:tcPr>
          <w:p w14:paraId="6E8DF15E">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11</w:t>
            </w:r>
          </w:p>
        </w:tc>
        <w:tc>
          <w:tcPr>
            <w:tcW w:w="981" w:type="pct"/>
          </w:tcPr>
          <w:p w14:paraId="56719E41">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Total Coliforms (TC)</w:t>
            </w:r>
          </w:p>
        </w:tc>
        <w:tc>
          <w:tcPr>
            <w:tcW w:w="701" w:type="pct"/>
            <w:vAlign w:val="center"/>
          </w:tcPr>
          <w:p w14:paraId="5FD10E3C">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CFU/100ml</w:t>
            </w:r>
          </w:p>
        </w:tc>
        <w:tc>
          <w:tcPr>
            <w:tcW w:w="583" w:type="pct"/>
            <w:vAlign w:val="center"/>
          </w:tcPr>
          <w:p w14:paraId="721BFFD7">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w:t>
            </w:r>
          </w:p>
        </w:tc>
        <w:tc>
          <w:tcPr>
            <w:tcW w:w="632" w:type="pct"/>
            <w:vAlign w:val="center"/>
          </w:tcPr>
          <w:p w14:paraId="3732D876">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w:t>
            </w:r>
          </w:p>
        </w:tc>
        <w:tc>
          <w:tcPr>
            <w:tcW w:w="781" w:type="pct"/>
            <w:vAlign w:val="center"/>
          </w:tcPr>
          <w:p w14:paraId="34A6FC5D">
            <w:pPr>
              <w:spacing w:after="0" w:line="240" w:lineRule="auto"/>
              <w:rPr>
                <w:rFonts w:eastAsia="Times New Roman"/>
                <w:kern w:val="2"/>
                <w:sz w:val="24"/>
                <w:szCs w:val="24"/>
                <w14:ligatures w14:val="standardContextual"/>
              </w:rPr>
            </w:pPr>
          </w:p>
        </w:tc>
        <w:tc>
          <w:tcPr>
            <w:tcW w:w="853" w:type="pct"/>
            <w:vAlign w:val="center"/>
          </w:tcPr>
          <w:p w14:paraId="052C38EE">
            <w:pPr>
              <w:spacing w:after="0" w:line="240" w:lineRule="auto"/>
              <w:rPr>
                <w:rFonts w:eastAsia="Times New Roman"/>
                <w:kern w:val="2"/>
                <w:sz w:val="24"/>
                <w:szCs w:val="24"/>
                <w14:ligatures w14:val="standardContextual"/>
              </w:rPr>
            </w:pPr>
            <w:r>
              <w:rPr>
                <w:rFonts w:eastAsia="Times New Roman"/>
                <w:kern w:val="2"/>
                <w:sz w:val="24"/>
                <w:szCs w:val="24"/>
                <w14:ligatures w14:val="standardContextual"/>
              </w:rPr>
              <w:t>1*10^10</w:t>
            </w:r>
          </w:p>
        </w:tc>
      </w:tr>
    </w:tbl>
    <w:p w14:paraId="64760708">
      <w:pPr>
        <w:pStyle w:val="78"/>
        <w:tabs>
          <w:tab w:val="left" w:pos="8820"/>
        </w:tabs>
        <w:spacing w:line="240" w:lineRule="auto"/>
        <w:ind w:left="709" w:right="-25"/>
        <w:rPr>
          <w:rFonts w:ascii="Arial Narrow" w:hAnsi="Arial Narrow" w:eastAsia="Times New Roman" w:cs="Times New Roman"/>
          <w:szCs w:val="22"/>
          <w:lang w:eastAsia="en-US"/>
        </w:rPr>
      </w:pPr>
    </w:p>
    <w:p w14:paraId="2D0F1CAC">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 xml:space="preserve">The proposed site for the faecal sludge treatment facility is located 6 Km SE of Wajir CBD and about 5 km from the Airport at 188150 Northing and 615300 Eastings. </w:t>
      </w:r>
    </w:p>
    <w:p w14:paraId="76BC12FC">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The Faecal Sludge Treatment Plant (FSTP) includes the following components:</w:t>
      </w:r>
    </w:p>
    <w:p w14:paraId="28313267">
      <w:pPr>
        <w:pStyle w:val="23"/>
        <w:rPr>
          <w:rFonts w:eastAsia="Times New Roman" w:cs="Times New Roman"/>
          <w:lang w:eastAsia="en-US"/>
        </w:rPr>
      </w:pPr>
      <w:bookmarkStart w:id="136" w:name="_Toc179556815"/>
      <w:bookmarkStart w:id="137" w:name="_Toc178706241"/>
      <w:r>
        <w:t xml:space="preserve">Table </w:t>
      </w:r>
      <w:r>
        <w:fldChar w:fldCharType="begin"/>
      </w:r>
      <w:r>
        <w:instrText xml:space="preserve"> SEQ Table \* ARABIC </w:instrText>
      </w:r>
      <w:r>
        <w:fldChar w:fldCharType="separate"/>
      </w:r>
      <w:r>
        <w:t>4</w:t>
      </w:r>
      <w:r>
        <w:fldChar w:fldCharType="end"/>
      </w:r>
      <w:r>
        <w:rPr>
          <w:rFonts w:eastAsia="Times New Roman" w:cs="Times New Roman"/>
          <w:lang w:eastAsia="en-US"/>
        </w:rPr>
        <w:t>: Components of the Wajir FSTP</w:t>
      </w:r>
      <w:bookmarkEnd w:id="136"/>
      <w:bookmarkEnd w:id="137"/>
    </w:p>
    <w:tbl>
      <w:tblPr>
        <w:tblStyle w:val="86"/>
        <w:tblW w:w="7949" w:type="dxa"/>
        <w:tblInd w:w="8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94"/>
        <w:gridCol w:w="3455"/>
      </w:tblGrid>
      <w:tr w14:paraId="61E03A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shd w:val="clear" w:color="auto" w:fill="657C9C" w:themeFill="text2" w:themeFillTint="BF"/>
          </w:tcPr>
          <w:p w14:paraId="02675FC8">
            <w:pPr>
              <w:spacing w:after="0"/>
              <w:rPr>
                <w:rFonts w:cstheme="minorHAnsi"/>
                <w:b/>
              </w:rPr>
            </w:pPr>
            <w:r>
              <w:rPr>
                <w:rFonts w:cstheme="minorHAnsi"/>
                <w:b/>
              </w:rPr>
              <w:t>Component</w:t>
            </w:r>
          </w:p>
        </w:tc>
        <w:tc>
          <w:tcPr>
            <w:tcW w:w="3455" w:type="dxa"/>
            <w:shd w:val="clear" w:color="auto" w:fill="657C9C" w:themeFill="text2" w:themeFillTint="BF"/>
          </w:tcPr>
          <w:p w14:paraId="52D21E46">
            <w:pPr>
              <w:spacing w:after="0"/>
              <w:rPr>
                <w:rFonts w:cstheme="minorHAnsi"/>
                <w:b/>
              </w:rPr>
            </w:pPr>
            <w:r>
              <w:rPr>
                <w:rFonts w:cstheme="minorHAnsi"/>
                <w:b/>
              </w:rPr>
              <w:t>Number of components</w:t>
            </w:r>
          </w:p>
        </w:tc>
      </w:tr>
      <w:tr w14:paraId="5F372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7222AE2C">
            <w:pPr>
              <w:spacing w:after="0"/>
              <w:rPr>
                <w:rFonts w:cstheme="minorHAnsi"/>
              </w:rPr>
            </w:pPr>
            <w:r>
              <w:rPr>
                <w:rFonts w:cstheme="minorHAnsi"/>
              </w:rPr>
              <w:t>Tanker discharge bay and inlet chute</w:t>
            </w:r>
          </w:p>
        </w:tc>
        <w:tc>
          <w:tcPr>
            <w:tcW w:w="3455" w:type="dxa"/>
          </w:tcPr>
          <w:p w14:paraId="3780B1F1">
            <w:pPr>
              <w:spacing w:after="0"/>
              <w:rPr>
                <w:rFonts w:cstheme="minorHAnsi"/>
              </w:rPr>
            </w:pPr>
            <w:r>
              <w:rPr>
                <w:rFonts w:cstheme="minorHAnsi"/>
              </w:rPr>
              <w:t>2</w:t>
            </w:r>
          </w:p>
        </w:tc>
      </w:tr>
      <w:tr w14:paraId="652D6A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6253AF85">
            <w:pPr>
              <w:spacing w:after="0"/>
              <w:rPr>
                <w:rFonts w:cstheme="minorHAnsi"/>
              </w:rPr>
            </w:pPr>
            <w:r>
              <w:rPr>
                <w:rFonts w:cstheme="minorHAnsi"/>
              </w:rPr>
              <w:t>Screening unit</w:t>
            </w:r>
          </w:p>
        </w:tc>
        <w:tc>
          <w:tcPr>
            <w:tcW w:w="3455" w:type="dxa"/>
          </w:tcPr>
          <w:p w14:paraId="3F8179E0">
            <w:pPr>
              <w:spacing w:after="0"/>
              <w:rPr>
                <w:rFonts w:cstheme="minorHAnsi"/>
              </w:rPr>
            </w:pPr>
            <w:r>
              <w:rPr>
                <w:rFonts w:cstheme="minorHAnsi"/>
              </w:rPr>
              <w:t>2</w:t>
            </w:r>
          </w:p>
        </w:tc>
      </w:tr>
      <w:tr w14:paraId="5B35BF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1A4F3E74">
            <w:pPr>
              <w:spacing w:after="0"/>
              <w:rPr>
                <w:rFonts w:cstheme="minorHAnsi"/>
              </w:rPr>
            </w:pPr>
            <w:r>
              <w:rPr>
                <w:rFonts w:cstheme="minorHAnsi"/>
              </w:rPr>
              <w:t>Holding Basins</w:t>
            </w:r>
          </w:p>
        </w:tc>
        <w:tc>
          <w:tcPr>
            <w:tcW w:w="3455" w:type="dxa"/>
          </w:tcPr>
          <w:p w14:paraId="6D1BB683">
            <w:pPr>
              <w:spacing w:after="0"/>
              <w:rPr>
                <w:rFonts w:cstheme="minorHAnsi"/>
              </w:rPr>
            </w:pPr>
            <w:r>
              <w:rPr>
                <w:rFonts w:cstheme="minorHAnsi"/>
              </w:rPr>
              <w:t>6</w:t>
            </w:r>
          </w:p>
        </w:tc>
      </w:tr>
      <w:tr w14:paraId="1C0F5C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3805E0C1">
            <w:pPr>
              <w:spacing w:after="0"/>
              <w:rPr>
                <w:rFonts w:cstheme="minorHAnsi"/>
              </w:rPr>
            </w:pPr>
            <w:r>
              <w:rPr>
                <w:rFonts w:cstheme="minorHAnsi"/>
              </w:rPr>
              <w:t>Sludge pumping stations</w:t>
            </w:r>
          </w:p>
        </w:tc>
        <w:tc>
          <w:tcPr>
            <w:tcW w:w="3455" w:type="dxa"/>
          </w:tcPr>
          <w:p w14:paraId="548C0E59">
            <w:pPr>
              <w:spacing w:after="0"/>
              <w:rPr>
                <w:rFonts w:cstheme="minorHAnsi"/>
              </w:rPr>
            </w:pPr>
            <w:r>
              <w:rPr>
                <w:rFonts w:cstheme="minorHAnsi"/>
              </w:rPr>
              <w:t>2</w:t>
            </w:r>
          </w:p>
        </w:tc>
      </w:tr>
      <w:tr w14:paraId="7A9B75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144B31E5">
            <w:pPr>
              <w:spacing w:after="0"/>
              <w:rPr>
                <w:rFonts w:cstheme="minorHAnsi"/>
              </w:rPr>
            </w:pPr>
            <w:r>
              <w:rPr>
                <w:rFonts w:cstheme="minorHAnsi"/>
              </w:rPr>
              <w:t>Sludge drying beds</w:t>
            </w:r>
          </w:p>
        </w:tc>
        <w:tc>
          <w:tcPr>
            <w:tcW w:w="3455" w:type="dxa"/>
          </w:tcPr>
          <w:p w14:paraId="23C5E97F">
            <w:pPr>
              <w:spacing w:after="0"/>
              <w:rPr>
                <w:rFonts w:cstheme="minorHAnsi"/>
              </w:rPr>
            </w:pPr>
            <w:r>
              <w:rPr>
                <w:rFonts w:cstheme="minorHAnsi"/>
              </w:rPr>
              <w:t>13</w:t>
            </w:r>
          </w:p>
        </w:tc>
      </w:tr>
      <w:tr w14:paraId="3ADEAF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38FDF45E">
            <w:pPr>
              <w:spacing w:after="0"/>
              <w:rPr>
                <w:rFonts w:cstheme="minorHAnsi"/>
              </w:rPr>
            </w:pPr>
            <w:r>
              <w:rPr>
                <w:rFonts w:cstheme="minorHAnsi"/>
              </w:rPr>
              <w:t xml:space="preserve">Two primary anaerobic ponds </w:t>
            </w:r>
          </w:p>
        </w:tc>
        <w:tc>
          <w:tcPr>
            <w:tcW w:w="3455" w:type="dxa"/>
          </w:tcPr>
          <w:p w14:paraId="01948C80">
            <w:pPr>
              <w:spacing w:after="0"/>
              <w:rPr>
                <w:rFonts w:cstheme="minorHAnsi"/>
              </w:rPr>
            </w:pPr>
            <w:r>
              <w:rPr>
                <w:rFonts w:cstheme="minorHAnsi"/>
              </w:rPr>
              <w:t>2</w:t>
            </w:r>
          </w:p>
        </w:tc>
      </w:tr>
      <w:tr w14:paraId="532F96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blHeader/>
        </w:trPr>
        <w:tc>
          <w:tcPr>
            <w:tcW w:w="4494" w:type="dxa"/>
          </w:tcPr>
          <w:p w14:paraId="0C002A75">
            <w:pPr>
              <w:spacing w:after="0"/>
              <w:rPr>
                <w:rFonts w:cstheme="minorHAnsi"/>
              </w:rPr>
            </w:pPr>
            <w:r>
              <w:rPr>
                <w:rFonts w:cstheme="minorHAnsi"/>
              </w:rPr>
              <w:t xml:space="preserve">Two secondary anaerobic ponds </w:t>
            </w:r>
          </w:p>
        </w:tc>
        <w:tc>
          <w:tcPr>
            <w:tcW w:w="3455" w:type="dxa"/>
          </w:tcPr>
          <w:p w14:paraId="7D697EBA">
            <w:pPr>
              <w:spacing w:after="0"/>
              <w:rPr>
                <w:rFonts w:cstheme="minorHAnsi"/>
              </w:rPr>
            </w:pPr>
            <w:r>
              <w:rPr>
                <w:rFonts w:cstheme="minorHAnsi"/>
              </w:rPr>
              <w:t>2</w:t>
            </w:r>
          </w:p>
        </w:tc>
      </w:tr>
      <w:tr w14:paraId="7C4C8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63AFE8DA">
            <w:pPr>
              <w:spacing w:after="0"/>
              <w:rPr>
                <w:rFonts w:cstheme="minorHAnsi"/>
              </w:rPr>
            </w:pPr>
            <w:r>
              <w:rPr>
                <w:rFonts w:cstheme="minorHAnsi"/>
              </w:rPr>
              <w:t>Two facultative ponds</w:t>
            </w:r>
          </w:p>
        </w:tc>
        <w:tc>
          <w:tcPr>
            <w:tcW w:w="3455" w:type="dxa"/>
          </w:tcPr>
          <w:p w14:paraId="6E84EB87">
            <w:pPr>
              <w:spacing w:after="0"/>
              <w:rPr>
                <w:rFonts w:cstheme="minorHAnsi"/>
              </w:rPr>
            </w:pPr>
            <w:r>
              <w:rPr>
                <w:rFonts w:cstheme="minorHAnsi"/>
              </w:rPr>
              <w:t>2</w:t>
            </w:r>
          </w:p>
        </w:tc>
      </w:tr>
      <w:tr w14:paraId="3EDE0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20228784">
            <w:pPr>
              <w:spacing w:after="0"/>
              <w:rPr>
                <w:rFonts w:cstheme="minorHAnsi"/>
              </w:rPr>
            </w:pPr>
            <w:r>
              <w:rPr>
                <w:rFonts w:cstheme="minorHAnsi"/>
              </w:rPr>
              <w:t>Two maturation ponds</w:t>
            </w:r>
          </w:p>
        </w:tc>
        <w:tc>
          <w:tcPr>
            <w:tcW w:w="3455" w:type="dxa"/>
          </w:tcPr>
          <w:p w14:paraId="67B5A73F">
            <w:pPr>
              <w:spacing w:after="0"/>
              <w:rPr>
                <w:rFonts w:cstheme="minorHAnsi"/>
              </w:rPr>
            </w:pPr>
            <w:r>
              <w:rPr>
                <w:rFonts w:cstheme="minorHAnsi"/>
              </w:rPr>
              <w:t>2</w:t>
            </w:r>
          </w:p>
        </w:tc>
      </w:tr>
      <w:tr w14:paraId="008DCC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66257B59">
            <w:pPr>
              <w:spacing w:after="0"/>
              <w:rPr>
                <w:rFonts w:cstheme="minorHAnsi"/>
              </w:rPr>
            </w:pPr>
            <w:r>
              <w:rPr>
                <w:rFonts w:cstheme="minorHAnsi"/>
              </w:rPr>
              <w:t>Constructed wetlands</w:t>
            </w:r>
          </w:p>
        </w:tc>
        <w:tc>
          <w:tcPr>
            <w:tcW w:w="3455" w:type="dxa"/>
          </w:tcPr>
          <w:p w14:paraId="46FA048F">
            <w:pPr>
              <w:spacing w:after="0"/>
              <w:rPr>
                <w:rFonts w:cstheme="minorHAnsi"/>
              </w:rPr>
            </w:pPr>
            <w:r>
              <w:rPr>
                <w:rFonts w:cstheme="minorHAnsi"/>
              </w:rPr>
              <w:t>4</w:t>
            </w:r>
          </w:p>
        </w:tc>
      </w:tr>
      <w:tr w14:paraId="22220E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5ADCA9DC">
            <w:pPr>
              <w:spacing w:after="0"/>
              <w:rPr>
                <w:rFonts w:cstheme="minorHAnsi"/>
              </w:rPr>
            </w:pPr>
            <w:r>
              <w:rPr>
                <w:rFonts w:cstheme="minorHAnsi"/>
              </w:rPr>
              <w:t>Biosolids drying slabs</w:t>
            </w:r>
          </w:p>
        </w:tc>
        <w:tc>
          <w:tcPr>
            <w:tcW w:w="3455" w:type="dxa"/>
            <w:shd w:val="clear" w:color="auto" w:fill="auto"/>
          </w:tcPr>
          <w:p w14:paraId="5E6D4CA4">
            <w:pPr>
              <w:spacing w:after="0"/>
              <w:rPr>
                <w:rFonts w:cstheme="minorHAnsi"/>
              </w:rPr>
            </w:pPr>
            <w:r>
              <w:rPr>
                <w:rFonts w:cstheme="minorHAnsi"/>
              </w:rPr>
              <w:t>80No. in 2 phases</w:t>
            </w:r>
          </w:p>
        </w:tc>
      </w:tr>
      <w:tr w14:paraId="32780F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0F881745">
            <w:pPr>
              <w:spacing w:after="0"/>
              <w:rPr>
                <w:rFonts w:cstheme="minorHAnsi"/>
              </w:rPr>
            </w:pPr>
            <w:r>
              <w:rPr>
                <w:rFonts w:cstheme="minorHAnsi"/>
              </w:rPr>
              <w:t>Generator house</w:t>
            </w:r>
          </w:p>
        </w:tc>
        <w:tc>
          <w:tcPr>
            <w:tcW w:w="3455" w:type="dxa"/>
            <w:shd w:val="clear" w:color="auto" w:fill="auto"/>
          </w:tcPr>
          <w:p w14:paraId="72F169E3">
            <w:pPr>
              <w:spacing w:after="0"/>
              <w:rPr>
                <w:rFonts w:cstheme="minorHAnsi"/>
              </w:rPr>
            </w:pPr>
            <w:r>
              <w:rPr>
                <w:rFonts w:cstheme="minorHAnsi"/>
              </w:rPr>
              <w:t>1</w:t>
            </w:r>
          </w:p>
        </w:tc>
      </w:tr>
      <w:tr w14:paraId="1693ED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42FDE3AB">
            <w:pPr>
              <w:spacing w:after="0"/>
              <w:rPr>
                <w:rFonts w:cstheme="minorHAnsi"/>
              </w:rPr>
            </w:pPr>
            <w:r>
              <w:rPr>
                <w:rFonts w:cstheme="minorHAnsi"/>
              </w:rPr>
              <w:t>Operations Building</w:t>
            </w:r>
          </w:p>
        </w:tc>
        <w:tc>
          <w:tcPr>
            <w:tcW w:w="3455" w:type="dxa"/>
          </w:tcPr>
          <w:p w14:paraId="2113FB14">
            <w:pPr>
              <w:spacing w:after="0"/>
              <w:rPr>
                <w:rFonts w:cstheme="minorHAnsi"/>
              </w:rPr>
            </w:pPr>
            <w:r>
              <w:rPr>
                <w:rFonts w:cstheme="minorHAnsi"/>
              </w:rPr>
              <w:t>1</w:t>
            </w:r>
          </w:p>
        </w:tc>
      </w:tr>
      <w:tr w14:paraId="502094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4" w:hRule="atLeast"/>
          <w:tblHeader/>
        </w:trPr>
        <w:tc>
          <w:tcPr>
            <w:tcW w:w="4494" w:type="dxa"/>
          </w:tcPr>
          <w:p w14:paraId="440E3343">
            <w:pPr>
              <w:spacing w:after="0"/>
              <w:rPr>
                <w:rFonts w:cstheme="minorHAnsi"/>
              </w:rPr>
            </w:pPr>
            <w:r>
              <w:rPr>
                <w:rFonts w:cstheme="minorHAnsi"/>
              </w:rPr>
              <w:t>Elevated water storage tank</w:t>
            </w:r>
          </w:p>
        </w:tc>
        <w:tc>
          <w:tcPr>
            <w:tcW w:w="3455" w:type="dxa"/>
          </w:tcPr>
          <w:p w14:paraId="6FD16BC7">
            <w:pPr>
              <w:spacing w:after="0"/>
              <w:rPr>
                <w:rFonts w:cstheme="minorHAnsi"/>
              </w:rPr>
            </w:pPr>
            <w:r>
              <w:rPr>
                <w:rFonts w:cstheme="minorHAnsi"/>
              </w:rPr>
              <w:t>1</w:t>
            </w:r>
          </w:p>
        </w:tc>
      </w:tr>
      <w:tr w14:paraId="0ABFDF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blHeader/>
        </w:trPr>
        <w:tc>
          <w:tcPr>
            <w:tcW w:w="4494" w:type="dxa"/>
          </w:tcPr>
          <w:p w14:paraId="0CE7F945">
            <w:pPr>
              <w:spacing w:after="0"/>
              <w:rPr>
                <w:rFonts w:cstheme="minorHAnsi"/>
              </w:rPr>
            </w:pPr>
            <w:r>
              <w:rPr>
                <w:rFonts w:cstheme="minorHAnsi"/>
              </w:rPr>
              <w:t>Guard house</w:t>
            </w:r>
          </w:p>
        </w:tc>
        <w:tc>
          <w:tcPr>
            <w:tcW w:w="3455" w:type="dxa"/>
          </w:tcPr>
          <w:p w14:paraId="3A5284DD">
            <w:pPr>
              <w:spacing w:after="0"/>
              <w:rPr>
                <w:rFonts w:cstheme="minorHAnsi"/>
              </w:rPr>
            </w:pPr>
            <w:r>
              <w:rPr>
                <w:rFonts w:cstheme="minorHAnsi"/>
              </w:rPr>
              <w:t>1</w:t>
            </w:r>
          </w:p>
        </w:tc>
      </w:tr>
      <w:tr w14:paraId="047B1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blHeader/>
        </w:trPr>
        <w:tc>
          <w:tcPr>
            <w:tcW w:w="4494" w:type="dxa"/>
          </w:tcPr>
          <w:p w14:paraId="7E00AE3F">
            <w:pPr>
              <w:spacing w:after="0"/>
              <w:rPr>
                <w:rFonts w:cstheme="minorHAnsi"/>
              </w:rPr>
            </w:pPr>
            <w:r>
              <w:rPr>
                <w:rFonts w:cstheme="minorHAnsi"/>
              </w:rPr>
              <w:t>Incinerator</w:t>
            </w:r>
          </w:p>
        </w:tc>
        <w:tc>
          <w:tcPr>
            <w:tcW w:w="3455" w:type="dxa"/>
          </w:tcPr>
          <w:p w14:paraId="7B298FB5">
            <w:pPr>
              <w:spacing w:after="0"/>
              <w:rPr>
                <w:rFonts w:cstheme="minorHAnsi"/>
              </w:rPr>
            </w:pPr>
            <w:r>
              <w:rPr>
                <w:rFonts w:cstheme="minorHAnsi"/>
              </w:rPr>
              <w:t>1</w:t>
            </w:r>
          </w:p>
        </w:tc>
      </w:tr>
      <w:tr w14:paraId="637C38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blHeader/>
        </w:trPr>
        <w:tc>
          <w:tcPr>
            <w:tcW w:w="4494" w:type="dxa"/>
          </w:tcPr>
          <w:p w14:paraId="013F8AFF">
            <w:pPr>
              <w:spacing w:after="0"/>
              <w:rPr>
                <w:rFonts w:cstheme="minorHAnsi"/>
              </w:rPr>
            </w:pPr>
            <w:r>
              <w:rPr>
                <w:rFonts w:cstheme="minorHAnsi"/>
              </w:rPr>
              <w:t>Waste to Value facility</w:t>
            </w:r>
          </w:p>
        </w:tc>
        <w:tc>
          <w:tcPr>
            <w:tcW w:w="3455" w:type="dxa"/>
          </w:tcPr>
          <w:p w14:paraId="7DC4018B">
            <w:pPr>
              <w:spacing w:after="0"/>
              <w:rPr>
                <w:rFonts w:cstheme="minorHAnsi"/>
              </w:rPr>
            </w:pPr>
            <w:r>
              <w:rPr>
                <w:rFonts w:cstheme="minorHAnsi"/>
              </w:rPr>
              <w:t>To be developed in future</w:t>
            </w:r>
          </w:p>
        </w:tc>
      </w:tr>
    </w:tbl>
    <w:p w14:paraId="43DC3A31">
      <w:pPr>
        <w:pStyle w:val="78"/>
        <w:tabs>
          <w:tab w:val="left" w:pos="8820"/>
        </w:tabs>
        <w:spacing w:before="0" w:line="240" w:lineRule="auto"/>
        <w:ind w:left="709" w:right="-25"/>
        <w:rPr>
          <w:rFonts w:ascii="Arial Narrow" w:hAnsi="Arial Narrow" w:eastAsia="Times New Roman" w:cs="Times New Roman"/>
          <w:szCs w:val="22"/>
          <w:lang w:eastAsia="en-US"/>
        </w:rPr>
      </w:pPr>
    </w:p>
    <w:p w14:paraId="72B1363A">
      <w:pPr>
        <w:pStyle w:val="4"/>
      </w:pPr>
      <w:bookmarkStart w:id="138" w:name="_Toc179904041"/>
      <w:bookmarkStart w:id="139" w:name="_Toc165561280"/>
      <w:bookmarkStart w:id="140" w:name="_Toc162267619"/>
      <w:bookmarkStart w:id="141" w:name="_Toc156294674"/>
      <w:bookmarkStart w:id="142" w:name="_Toc152601023"/>
      <w:bookmarkStart w:id="143" w:name="_Toc170722959"/>
      <w:r>
        <w:t>3.2.2</w:t>
      </w:r>
      <w:r>
        <w:tab/>
      </w:r>
      <w:r>
        <w:t>Project Activities and Processes</w:t>
      </w:r>
      <w:bookmarkEnd w:id="138"/>
      <w:bookmarkEnd w:id="139"/>
      <w:bookmarkEnd w:id="140"/>
      <w:bookmarkEnd w:id="141"/>
      <w:bookmarkEnd w:id="142"/>
      <w:bookmarkEnd w:id="143"/>
    </w:p>
    <w:p w14:paraId="137A3367">
      <w:pPr>
        <w:pStyle w:val="78"/>
        <w:tabs>
          <w:tab w:val="left" w:pos="8820"/>
        </w:tabs>
        <w:spacing w:before="0" w:line="240" w:lineRule="auto"/>
        <w:ind w:left="709" w:right="-25"/>
        <w:rPr>
          <w:rFonts w:ascii="Arial Narrow" w:hAnsi="Arial Narrow" w:eastAsia="Times New Roman" w:cs="Times New Roman"/>
        </w:rPr>
      </w:pPr>
      <w:r>
        <w:rPr>
          <w:rFonts w:ascii="Arial Narrow" w:hAnsi="Arial Narrow" w:eastAsia="Times New Roman" w:cs="Times New Roman"/>
          <w:szCs w:val="22"/>
          <w:lang w:eastAsia="en-US"/>
        </w:rPr>
        <w:t>The proposed construction of FSTP within the area of interest is anticipated to consist of various activities such as; clearance of vegetation, earthworks and excavation of ponds, transportation of materials, construction of treatment works, construction of the ponds, operation of site management camp and associated facilities, storage of materials, accommodation for project crew, operation of the project and decommissioning of the facilities.</w:t>
      </w:r>
    </w:p>
    <w:p w14:paraId="5212B249">
      <w:pPr>
        <w:pStyle w:val="78"/>
        <w:tabs>
          <w:tab w:val="left" w:pos="8820"/>
        </w:tabs>
        <w:spacing w:before="0" w:line="240" w:lineRule="auto"/>
        <w:ind w:left="709" w:right="-25"/>
        <w:rPr>
          <w:rFonts w:ascii="Arial Narrow" w:hAnsi="Arial Narrow" w:eastAsia="Times New Roman" w:cs="Times New Roman"/>
          <w:b/>
          <w:szCs w:val="22"/>
          <w:lang w:eastAsia="en-US"/>
        </w:rPr>
      </w:pPr>
      <w:r>
        <w:rPr>
          <w:rFonts w:ascii="Arial Narrow" w:hAnsi="Arial Narrow" w:eastAsia="Times New Roman" w:cs="Times New Roman"/>
          <w:b/>
          <w:szCs w:val="22"/>
          <w:lang w:eastAsia="en-US"/>
        </w:rPr>
        <w:t>Building Works</w:t>
      </w:r>
    </w:p>
    <w:p w14:paraId="324E7961">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These include the following: -</w:t>
      </w:r>
    </w:p>
    <w:p w14:paraId="0793566F">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Structural Construction:</w:t>
      </w:r>
      <w:r>
        <w:rPr>
          <w:rFonts w:ascii="Arial Narrow" w:hAnsi="Arial Narrow" w:eastAsia="Times New Roman" w:cs="Times New Roman"/>
          <w:szCs w:val="22"/>
          <w:lang w:eastAsia="en-US"/>
        </w:rPr>
        <w:t xml:space="preserve"> Erecting buildings and structures required for administrative, operational, and maintenance purposes.</w:t>
      </w:r>
    </w:p>
    <w:p w14:paraId="3A678BC9">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Utilities Installation:</w:t>
      </w:r>
      <w:r>
        <w:rPr>
          <w:rFonts w:ascii="Arial Narrow" w:hAnsi="Arial Narrow" w:eastAsia="Times New Roman" w:cs="Times New Roman"/>
          <w:szCs w:val="22"/>
          <w:lang w:eastAsia="en-US"/>
        </w:rPr>
        <w:t xml:space="preserve"> Installing water supply, electrical systems, and sewage infrastructure within the treatment plant.</w:t>
      </w:r>
    </w:p>
    <w:p w14:paraId="316A5EFC">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Landscaping and Final Site Preparation:</w:t>
      </w:r>
      <w:r>
        <w:rPr>
          <w:rFonts w:ascii="Arial Narrow" w:hAnsi="Arial Narrow" w:eastAsia="Times New Roman" w:cs="Times New Roman"/>
          <w:szCs w:val="22"/>
          <w:lang w:eastAsia="en-US"/>
        </w:rPr>
        <w:t xml:space="preserve"> Finalizing landscaping to ensure site integration with the surrounding environment.</w:t>
      </w:r>
    </w:p>
    <w:p w14:paraId="58CAAF87">
      <w:pPr>
        <w:pStyle w:val="78"/>
        <w:tabs>
          <w:tab w:val="left" w:pos="8820"/>
        </w:tabs>
        <w:spacing w:before="0" w:line="240" w:lineRule="auto"/>
        <w:ind w:left="709" w:right="-25"/>
        <w:rPr>
          <w:rFonts w:ascii="Arial Narrow" w:hAnsi="Arial Narrow" w:eastAsia="Times New Roman" w:cs="Times New Roman"/>
          <w:b/>
          <w:szCs w:val="22"/>
          <w:lang w:eastAsia="en-US"/>
        </w:rPr>
      </w:pPr>
      <w:r>
        <w:rPr>
          <w:rFonts w:ascii="Arial Narrow" w:hAnsi="Arial Narrow" w:eastAsia="Times New Roman" w:cs="Times New Roman"/>
          <w:b/>
          <w:szCs w:val="22"/>
          <w:lang w:eastAsia="en-US"/>
        </w:rPr>
        <w:t>Site Works</w:t>
      </w:r>
    </w:p>
    <w:p w14:paraId="72BCC0E8">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Clearance of Vegetation:</w:t>
      </w:r>
      <w:r>
        <w:rPr>
          <w:rFonts w:ascii="Arial Narrow" w:hAnsi="Arial Narrow" w:eastAsia="Times New Roman" w:cs="Times New Roman"/>
          <w:szCs w:val="22"/>
          <w:lang w:eastAsia="en-US"/>
        </w:rPr>
        <w:t xml:space="preserve"> Clearing the site of vegetation to prepare for construction activities.</w:t>
      </w:r>
    </w:p>
    <w:p w14:paraId="4E416F94">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Earthworks and Excavation of ponds</w:t>
      </w:r>
      <w:r>
        <w:rPr>
          <w:rFonts w:ascii="Arial Narrow" w:hAnsi="Arial Narrow" w:eastAsia="Times New Roman" w:cs="Times New Roman"/>
          <w:szCs w:val="22"/>
          <w:lang w:eastAsia="en-US"/>
        </w:rPr>
        <w:t>: Excavating ponds and preparing the ground for laying foundations and infrastructure.</w:t>
      </w:r>
    </w:p>
    <w:p w14:paraId="3F625ECD">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Transportation of Materials:</w:t>
      </w:r>
      <w:r>
        <w:rPr>
          <w:rFonts w:ascii="Arial Narrow" w:hAnsi="Arial Narrow" w:eastAsia="Times New Roman" w:cs="Times New Roman"/>
          <w:szCs w:val="22"/>
          <w:lang w:eastAsia="en-US"/>
        </w:rPr>
        <w:t xml:space="preserve"> Transporting construction materials to the site, including pipes, concrete, and equipment.</w:t>
      </w:r>
    </w:p>
    <w:p w14:paraId="3BDBB6BD">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Construction of Treatment Works:</w:t>
      </w:r>
      <w:r>
        <w:rPr>
          <w:rFonts w:ascii="Arial Narrow" w:hAnsi="Arial Narrow" w:eastAsia="Times New Roman" w:cs="Times New Roman"/>
          <w:szCs w:val="22"/>
          <w:lang w:eastAsia="en-US"/>
        </w:rPr>
        <w:t xml:space="preserve"> Building the main treatment structures and facilities for processing faecal sludge and septage.</w:t>
      </w:r>
    </w:p>
    <w:p w14:paraId="76FE4972">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Construction of Ponds:</w:t>
      </w:r>
      <w:r>
        <w:rPr>
          <w:rFonts w:ascii="Arial Narrow" w:hAnsi="Arial Narrow" w:eastAsia="Times New Roman" w:cs="Times New Roman"/>
          <w:szCs w:val="22"/>
          <w:lang w:eastAsia="en-US"/>
        </w:rPr>
        <w:t xml:space="preserve"> Constructing settling ponds or treatment lagoons for the treatment process.</w:t>
      </w:r>
    </w:p>
    <w:p w14:paraId="1454A3FC">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Operation of Site Management Camp and Associated Facilities:</w:t>
      </w:r>
      <w:r>
        <w:rPr>
          <w:rFonts w:ascii="Arial Narrow" w:hAnsi="Arial Narrow" w:eastAsia="Times New Roman" w:cs="Times New Roman"/>
          <w:szCs w:val="22"/>
          <w:lang w:eastAsia="en-US"/>
        </w:rPr>
        <w:t xml:space="preserve"> Setting up temporary camps for project management and providing associated facilities like offices and amenities.</w:t>
      </w:r>
    </w:p>
    <w:p w14:paraId="0E23C0E8">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Storage of Materials:</w:t>
      </w:r>
      <w:r>
        <w:rPr>
          <w:rFonts w:ascii="Arial Narrow" w:hAnsi="Arial Narrow" w:eastAsia="Times New Roman" w:cs="Times New Roman"/>
          <w:szCs w:val="22"/>
          <w:lang w:eastAsia="en-US"/>
        </w:rPr>
        <w:t xml:space="preserve"> Establishing storage areas for materials and equipment needed during construction.</w:t>
      </w:r>
    </w:p>
    <w:p w14:paraId="0CAC4D44">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Accommodation for Project Crew:</w:t>
      </w:r>
      <w:r>
        <w:rPr>
          <w:rFonts w:ascii="Arial Narrow" w:hAnsi="Arial Narrow" w:eastAsia="Times New Roman" w:cs="Times New Roman"/>
          <w:szCs w:val="22"/>
          <w:lang w:eastAsia="en-US"/>
        </w:rPr>
        <w:t xml:space="preserve"> Providing housing and facilities for the project workforce during construction phases.</w:t>
      </w:r>
    </w:p>
    <w:p w14:paraId="491CDA08">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Operation of the Project:</w:t>
      </w:r>
      <w:r>
        <w:rPr>
          <w:rFonts w:ascii="Arial Narrow" w:hAnsi="Arial Narrow" w:eastAsia="Times New Roman" w:cs="Times New Roman"/>
          <w:szCs w:val="22"/>
          <w:lang w:eastAsia="en-US"/>
        </w:rPr>
        <w:t xml:space="preserve"> Managing the operational phase of the treatment plant once construction is complete.</w:t>
      </w:r>
    </w:p>
    <w:p w14:paraId="72E544D0">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i/>
          <w:szCs w:val="22"/>
          <w:lang w:eastAsia="en-US"/>
        </w:rPr>
        <w:t>Decommissioning of Facilities:</w:t>
      </w:r>
      <w:r>
        <w:rPr>
          <w:rFonts w:ascii="Arial Narrow" w:hAnsi="Arial Narrow" w:eastAsia="Times New Roman" w:cs="Times New Roman"/>
          <w:szCs w:val="22"/>
          <w:lang w:eastAsia="en-US"/>
        </w:rPr>
        <w:t xml:space="preserve"> Planning for the eventual closure and decommissioning of facilities at the end of their useful life.</w:t>
      </w:r>
    </w:p>
    <w:p w14:paraId="608DCC95">
      <w:pPr>
        <w:pStyle w:val="117"/>
      </w:pPr>
      <w:bookmarkStart w:id="144" w:name="_Toc170722960"/>
      <w:bookmarkStart w:id="145" w:name="_Toc179904042"/>
      <w:r>
        <w:rPr>
          <w:rFonts w:eastAsiaTheme="minorHAnsi" w:cstheme="minorBidi"/>
        </w:rPr>
        <w:t xml:space="preserve">3.3 </w:t>
      </w:r>
      <w:r>
        <w:rPr>
          <w:rFonts w:eastAsiaTheme="minorHAnsi" w:cstheme="minorBidi"/>
        </w:rPr>
        <w:tab/>
      </w:r>
      <w:r>
        <w:t>Safety and public health requirements</w:t>
      </w:r>
      <w:bookmarkEnd w:id="144"/>
      <w:bookmarkEnd w:id="145"/>
      <w:r>
        <w:t xml:space="preserve"> </w:t>
      </w:r>
    </w:p>
    <w:p w14:paraId="3AEE550F">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 xml:space="preserve">This is an integral part of the project especially during the construction phase. Warning and advisory notices, drugs and condoms would be provided for throughout the project duration. The contractor shall allow for qualified professionals to conduct lectures to the workers regarding the spread of HIV/AIDS. </w:t>
      </w:r>
    </w:p>
    <w:p w14:paraId="6441EDA0">
      <w:pPr>
        <w:pStyle w:val="117"/>
      </w:pPr>
      <w:bookmarkStart w:id="146" w:name="_Toc152601026"/>
      <w:bookmarkStart w:id="147" w:name="_Toc179904043"/>
      <w:bookmarkStart w:id="148" w:name="_Toc156294680"/>
      <w:bookmarkStart w:id="149" w:name="_Toc162267622"/>
      <w:bookmarkStart w:id="150" w:name="_Toc170722961"/>
      <w:bookmarkStart w:id="151" w:name="_Toc165561283"/>
      <w:r>
        <w:t xml:space="preserve">3.4 </w:t>
      </w:r>
      <w:r>
        <w:tab/>
      </w:r>
      <w:r>
        <w:t>Environmental Protection</w:t>
      </w:r>
      <w:bookmarkEnd w:id="146"/>
      <w:bookmarkEnd w:id="147"/>
      <w:bookmarkEnd w:id="148"/>
      <w:bookmarkEnd w:id="149"/>
      <w:bookmarkEnd w:id="150"/>
      <w:bookmarkEnd w:id="151"/>
    </w:p>
    <w:p w14:paraId="5045F069">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The Contractor is supposed to ensure so far as is reasonably practicable and to the satisfaction of the responsible proponent agent; that the impact of the construction on the environment shall be kept to a minimum and that appropriate measures as brought out in the ESMP are taken to mitigate any adverse effects during the construction. These measures shall include:</w:t>
      </w:r>
    </w:p>
    <w:p w14:paraId="12A3F30B">
      <w:pPr>
        <w:pStyle w:val="78"/>
        <w:tabs>
          <w:tab w:val="left" w:pos="8820"/>
        </w:tabs>
        <w:spacing w:before="0" w:line="240" w:lineRule="auto"/>
        <w:ind w:left="709" w:right="-25"/>
        <w:rPr>
          <w:rFonts w:ascii="Arial Narrow" w:hAnsi="Arial Narrow" w:eastAsia="Times New Roman" w:cs="Times New Roman"/>
          <w:szCs w:val="22"/>
          <w:lang w:eastAsia="en-US"/>
        </w:rPr>
      </w:pPr>
    </w:p>
    <w:p w14:paraId="2624CB75">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After extraction of construction materials, all quarries and borrow pits shall be backfilled and landscaped to their original state to the satisfaction of the Engineer. Those near the project road shall be backfilled in such a way that no water collects in them.</w:t>
      </w:r>
    </w:p>
    <w:p w14:paraId="6C9DFCC7">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The spilling of bitumen, fuels, oils, lubricants and other pollutants shall be avoided and if spilt, shall be collected and disposed of in such a way as not to adversely affect the environment.</w:t>
      </w:r>
    </w:p>
    <w:p w14:paraId="03F73DC1">
      <w:pPr>
        <w:pStyle w:val="289"/>
        <w:numPr>
          <w:ilvl w:val="0"/>
          <w:numId w:val="29"/>
        </w:numPr>
        <w:tabs>
          <w:tab w:val="left" w:pos="709"/>
          <w:tab w:val="left" w:pos="8931"/>
          <w:tab w:val="left" w:pos="9090"/>
        </w:tabs>
        <w:spacing w:before="0"/>
        <w:ind w:left="1440" w:right="95" w:hanging="720"/>
        <w:rPr>
          <w:rFonts w:ascii="Arial Narrow" w:hAnsi="Arial Narrow" w:cs="Times New Roman"/>
          <w:iCs/>
          <w:szCs w:val="22"/>
          <w:lang w:eastAsia="en-US"/>
        </w:rPr>
      </w:pPr>
      <w:r>
        <w:rPr>
          <w:rFonts w:ascii="Arial Narrow" w:hAnsi="Arial Narrow" w:cs="Times New Roman"/>
          <w:iCs/>
          <w:szCs w:val="22"/>
          <w:lang w:eastAsia="en-US"/>
        </w:rPr>
        <w:t>Long traffic diversion roads shall be avoided to minimize the effect of dust on the surrounding environment. In any case all diversions shall be kept damp and dust free.</w:t>
      </w:r>
      <w:bookmarkStart w:id="152" w:name="_Toc165561284"/>
    </w:p>
    <w:p w14:paraId="3F08D879">
      <w:pPr>
        <w:pStyle w:val="3"/>
      </w:pPr>
      <w:bookmarkStart w:id="153" w:name="_Toc179904044"/>
      <w:bookmarkStart w:id="154" w:name="_Toc170722962"/>
      <w:r>
        <w:t xml:space="preserve">3.5 </w:t>
      </w:r>
      <w:r>
        <w:tab/>
      </w:r>
      <w:r>
        <w:t>Estimated Project Budget</w:t>
      </w:r>
      <w:bookmarkEnd w:id="152"/>
      <w:bookmarkEnd w:id="153"/>
      <w:bookmarkEnd w:id="154"/>
      <w:r>
        <w:t xml:space="preserve"> </w:t>
      </w:r>
    </w:p>
    <w:p w14:paraId="6E4B6FBC">
      <w:pPr>
        <w:pStyle w:val="78"/>
        <w:tabs>
          <w:tab w:val="left" w:pos="8820"/>
        </w:tabs>
        <w:spacing w:before="0" w:line="240" w:lineRule="auto"/>
        <w:ind w:left="709" w:right="-25"/>
        <w:rPr>
          <w:rFonts w:ascii="Arial Narrow" w:hAnsi="Arial Narrow" w:eastAsia="Times New Roman" w:cs="Times New Roman"/>
          <w:szCs w:val="22"/>
          <w:lang w:eastAsia="en-US"/>
        </w:rPr>
      </w:pPr>
      <w:bookmarkStart w:id="155" w:name="_Toc152601096"/>
      <w:bookmarkStart w:id="156" w:name="_Toc165561285"/>
      <w:bookmarkStart w:id="157" w:name="_Toc170722963"/>
      <w:bookmarkStart w:id="158" w:name="_Toc162267680"/>
      <w:bookmarkStart w:id="159" w:name="_Toc156294744"/>
      <w:r>
        <w:rPr>
          <w:rFonts w:ascii="Arial Narrow" w:hAnsi="Arial Narrow" w:eastAsia="Times New Roman" w:cs="Times New Roman"/>
          <w:szCs w:val="22"/>
          <w:lang w:eastAsia="en-US"/>
        </w:rPr>
        <w:t>The estimated construction cost for the Wajir FSTP has been calculated using recent tender rates from contracts in Kenya, as well as rates provided by manufacturers, equipment suppliers, and local service providers. These costs include all applicable government duties, taxes, and a 16% VAT. A summary of the estimated costs for the various project components is presented below;</w:t>
      </w:r>
    </w:p>
    <w:p w14:paraId="077D5C8C">
      <w:pPr>
        <w:pStyle w:val="23"/>
        <w:rPr>
          <w:sz w:val="20"/>
          <w:szCs w:val="20"/>
        </w:rPr>
      </w:pPr>
      <w:bookmarkStart w:id="160" w:name="_Toc179556816"/>
      <w:r>
        <w:t xml:space="preserve">Table </w:t>
      </w:r>
      <w:r>
        <w:fldChar w:fldCharType="begin"/>
      </w:r>
      <w:r>
        <w:instrText xml:space="preserve"> SEQ Table \* ARABIC </w:instrText>
      </w:r>
      <w:r>
        <w:fldChar w:fldCharType="separate"/>
      </w:r>
      <w:r>
        <w:t>5</w:t>
      </w:r>
      <w:r>
        <w:fldChar w:fldCharType="end"/>
      </w:r>
      <w:r>
        <w:t xml:space="preserve">: </w:t>
      </w:r>
      <w:r>
        <w:rPr>
          <w:sz w:val="20"/>
          <w:szCs w:val="20"/>
        </w:rPr>
        <w:t>Estimated Project Costs</w:t>
      </w:r>
      <w:bookmarkEnd w:id="160"/>
    </w:p>
    <w:tbl>
      <w:tblPr>
        <w:tblStyle w:val="86"/>
        <w:tblW w:w="7938" w:type="dxa"/>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26"/>
        <w:gridCol w:w="4586"/>
        <w:gridCol w:w="2126"/>
      </w:tblGrid>
      <w:tr w14:paraId="73A997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blHeader/>
        </w:trPr>
        <w:tc>
          <w:tcPr>
            <w:tcW w:w="1226" w:type="dxa"/>
            <w:shd w:val="clear" w:color="auto" w:fill="0070C0"/>
          </w:tcPr>
          <w:p w14:paraId="6F541769">
            <w:pPr>
              <w:spacing w:after="0"/>
              <w:rPr>
                <w:rFonts w:cstheme="minorHAnsi"/>
                <w:b/>
              </w:rPr>
            </w:pPr>
            <w:bookmarkStart w:id="161" w:name="RANGE!A1:C47"/>
            <w:bookmarkEnd w:id="161"/>
            <w:r>
              <w:rPr>
                <w:rFonts w:cstheme="minorHAnsi"/>
                <w:b/>
              </w:rPr>
              <w:t xml:space="preserve">BILL NO. </w:t>
            </w:r>
          </w:p>
        </w:tc>
        <w:tc>
          <w:tcPr>
            <w:tcW w:w="4586" w:type="dxa"/>
            <w:shd w:val="clear" w:color="auto" w:fill="0070C0"/>
          </w:tcPr>
          <w:p w14:paraId="08130BF6">
            <w:pPr>
              <w:spacing w:after="0"/>
              <w:rPr>
                <w:rFonts w:cstheme="minorHAnsi"/>
                <w:b/>
              </w:rPr>
            </w:pPr>
            <w:r>
              <w:rPr>
                <w:rFonts w:cstheme="minorHAnsi"/>
                <w:b/>
              </w:rPr>
              <w:t>ITEM DESCRIPTION</w:t>
            </w:r>
          </w:p>
        </w:tc>
        <w:tc>
          <w:tcPr>
            <w:tcW w:w="2126" w:type="dxa"/>
            <w:shd w:val="clear" w:color="auto" w:fill="0070C0"/>
          </w:tcPr>
          <w:p w14:paraId="5DBE96BC">
            <w:pPr>
              <w:spacing w:after="0"/>
              <w:rPr>
                <w:rFonts w:cstheme="minorHAnsi"/>
                <w:b/>
                <w:bCs/>
              </w:rPr>
            </w:pPr>
            <w:r>
              <w:rPr>
                <w:rFonts w:cstheme="minorHAnsi"/>
                <w:b/>
                <w:bCs/>
              </w:rPr>
              <w:t xml:space="preserve"> AMOUNT (KES) </w:t>
            </w:r>
          </w:p>
        </w:tc>
      </w:tr>
      <w:tr w14:paraId="28403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4C1C0368">
            <w:pPr>
              <w:spacing w:after="0"/>
              <w:rPr>
                <w:rFonts w:cstheme="minorHAnsi"/>
              </w:rPr>
            </w:pPr>
            <w:r>
              <w:rPr>
                <w:rFonts w:cstheme="minorHAnsi"/>
              </w:rPr>
              <w:t xml:space="preserve">BILL No. 1: </w:t>
            </w:r>
          </w:p>
        </w:tc>
        <w:tc>
          <w:tcPr>
            <w:tcW w:w="4586" w:type="dxa"/>
          </w:tcPr>
          <w:p w14:paraId="69BB9D8C">
            <w:pPr>
              <w:spacing w:after="0"/>
              <w:rPr>
                <w:rFonts w:cstheme="minorHAnsi"/>
              </w:rPr>
            </w:pPr>
            <w:r>
              <w:rPr>
                <w:rFonts w:cstheme="minorHAnsi"/>
              </w:rPr>
              <w:t>Preliminary And General</w:t>
            </w:r>
          </w:p>
        </w:tc>
        <w:tc>
          <w:tcPr>
            <w:tcW w:w="2126" w:type="dxa"/>
            <w:vAlign w:val="center"/>
          </w:tcPr>
          <w:p w14:paraId="5D97EBDC">
            <w:pPr>
              <w:spacing w:after="0"/>
              <w:jc w:val="right"/>
              <w:rPr>
                <w:rFonts w:cstheme="minorHAnsi"/>
              </w:rPr>
            </w:pPr>
            <w:r>
              <w:rPr>
                <w:rFonts w:ascii="Arial" w:hAnsi="Arial" w:cs="Arial"/>
                <w:color w:val="000000"/>
                <w:sz w:val="20"/>
                <w:szCs w:val="20"/>
              </w:rPr>
              <w:t xml:space="preserve">69,909,116 </w:t>
            </w:r>
          </w:p>
        </w:tc>
      </w:tr>
      <w:tr w14:paraId="1FED0D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4247F2C1">
            <w:pPr>
              <w:spacing w:after="0"/>
              <w:rPr>
                <w:rFonts w:cstheme="minorHAnsi"/>
              </w:rPr>
            </w:pPr>
            <w:r>
              <w:rPr>
                <w:rFonts w:cstheme="minorHAnsi"/>
              </w:rPr>
              <w:t xml:space="preserve">BILL No. 2: </w:t>
            </w:r>
          </w:p>
        </w:tc>
        <w:tc>
          <w:tcPr>
            <w:tcW w:w="4586" w:type="dxa"/>
          </w:tcPr>
          <w:p w14:paraId="5D389E6B">
            <w:pPr>
              <w:spacing w:after="0"/>
              <w:rPr>
                <w:rFonts w:cstheme="minorHAnsi"/>
              </w:rPr>
            </w:pPr>
            <w:r>
              <w:rPr>
                <w:rFonts w:cstheme="minorHAnsi"/>
              </w:rPr>
              <w:t>Inlet Works</w:t>
            </w:r>
          </w:p>
        </w:tc>
        <w:tc>
          <w:tcPr>
            <w:tcW w:w="2126" w:type="dxa"/>
          </w:tcPr>
          <w:p w14:paraId="60225393">
            <w:pPr>
              <w:spacing w:after="0"/>
              <w:jc w:val="right"/>
              <w:rPr>
                <w:rFonts w:cstheme="minorHAnsi"/>
              </w:rPr>
            </w:pPr>
            <w:r>
              <w:rPr>
                <w:rFonts w:ascii="Arial" w:hAnsi="Arial" w:cs="Arial"/>
                <w:color w:val="000000"/>
                <w:sz w:val="20"/>
                <w:szCs w:val="20"/>
              </w:rPr>
              <w:t xml:space="preserve"> 6,442,786 </w:t>
            </w:r>
          </w:p>
        </w:tc>
      </w:tr>
      <w:tr w14:paraId="2E1ED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6419FBEB">
            <w:pPr>
              <w:spacing w:after="0"/>
              <w:rPr>
                <w:rFonts w:cstheme="minorHAnsi"/>
              </w:rPr>
            </w:pPr>
            <w:r>
              <w:rPr>
                <w:rFonts w:cstheme="minorHAnsi"/>
              </w:rPr>
              <w:t>BILL No. 3:</w:t>
            </w:r>
          </w:p>
        </w:tc>
        <w:tc>
          <w:tcPr>
            <w:tcW w:w="4586" w:type="dxa"/>
          </w:tcPr>
          <w:p w14:paraId="53E2448E">
            <w:pPr>
              <w:spacing w:after="0"/>
              <w:rPr>
                <w:rFonts w:cstheme="minorHAnsi"/>
              </w:rPr>
            </w:pPr>
            <w:r>
              <w:rPr>
                <w:rFonts w:cstheme="minorHAnsi"/>
              </w:rPr>
              <w:t>Holding Basins - 6no</w:t>
            </w:r>
          </w:p>
        </w:tc>
        <w:tc>
          <w:tcPr>
            <w:tcW w:w="2126" w:type="dxa"/>
            <w:vAlign w:val="center"/>
          </w:tcPr>
          <w:p w14:paraId="2A6CE1CA">
            <w:pPr>
              <w:spacing w:after="0"/>
              <w:jc w:val="right"/>
              <w:rPr>
                <w:rFonts w:cstheme="minorHAnsi"/>
              </w:rPr>
            </w:pPr>
            <w:r>
              <w:rPr>
                <w:rFonts w:ascii="Arial" w:hAnsi="Arial" w:cs="Arial"/>
                <w:color w:val="000000"/>
                <w:sz w:val="20"/>
                <w:szCs w:val="20"/>
              </w:rPr>
              <w:t xml:space="preserve"> 73,545,727 </w:t>
            </w:r>
          </w:p>
        </w:tc>
      </w:tr>
      <w:tr w14:paraId="77DB96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6F8ED86A">
            <w:pPr>
              <w:spacing w:after="0"/>
              <w:rPr>
                <w:rFonts w:cstheme="minorHAnsi"/>
              </w:rPr>
            </w:pPr>
            <w:r>
              <w:rPr>
                <w:rFonts w:cstheme="minorHAnsi"/>
              </w:rPr>
              <w:t>BILL No. 4:</w:t>
            </w:r>
          </w:p>
        </w:tc>
        <w:tc>
          <w:tcPr>
            <w:tcW w:w="4586" w:type="dxa"/>
          </w:tcPr>
          <w:p w14:paraId="5611402F">
            <w:pPr>
              <w:spacing w:after="0"/>
              <w:rPr>
                <w:rFonts w:cstheme="minorHAnsi"/>
              </w:rPr>
            </w:pPr>
            <w:r>
              <w:rPr>
                <w:rFonts w:cstheme="minorHAnsi"/>
              </w:rPr>
              <w:t>Sludge Pump Station - 2no</w:t>
            </w:r>
          </w:p>
        </w:tc>
        <w:tc>
          <w:tcPr>
            <w:tcW w:w="2126" w:type="dxa"/>
            <w:vAlign w:val="center"/>
          </w:tcPr>
          <w:p w14:paraId="6ED837A5">
            <w:pPr>
              <w:spacing w:after="0"/>
              <w:jc w:val="right"/>
              <w:rPr>
                <w:rFonts w:cstheme="minorHAnsi"/>
              </w:rPr>
            </w:pPr>
            <w:r>
              <w:rPr>
                <w:rFonts w:ascii="Arial" w:hAnsi="Arial" w:cs="Arial"/>
                <w:color w:val="000000"/>
                <w:sz w:val="20"/>
                <w:szCs w:val="20"/>
              </w:rPr>
              <w:t xml:space="preserve"> 31,767,658 </w:t>
            </w:r>
          </w:p>
        </w:tc>
      </w:tr>
      <w:tr w14:paraId="59C1BA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3E23B344">
            <w:pPr>
              <w:spacing w:after="0"/>
              <w:rPr>
                <w:rFonts w:cstheme="minorHAnsi"/>
              </w:rPr>
            </w:pPr>
            <w:r>
              <w:rPr>
                <w:rFonts w:cstheme="minorHAnsi"/>
              </w:rPr>
              <w:t>BILL No. 5:</w:t>
            </w:r>
          </w:p>
        </w:tc>
        <w:tc>
          <w:tcPr>
            <w:tcW w:w="4586" w:type="dxa"/>
          </w:tcPr>
          <w:p w14:paraId="7AA116EF">
            <w:pPr>
              <w:spacing w:after="0"/>
              <w:rPr>
                <w:rFonts w:cstheme="minorHAnsi"/>
              </w:rPr>
            </w:pPr>
            <w:r>
              <w:rPr>
                <w:rFonts w:cstheme="minorHAnsi"/>
              </w:rPr>
              <w:t>Sludge Drying Beds -13no</w:t>
            </w:r>
          </w:p>
        </w:tc>
        <w:tc>
          <w:tcPr>
            <w:tcW w:w="2126" w:type="dxa"/>
            <w:vAlign w:val="center"/>
          </w:tcPr>
          <w:p w14:paraId="10F9C9DC">
            <w:pPr>
              <w:spacing w:after="0"/>
              <w:jc w:val="right"/>
              <w:rPr>
                <w:rFonts w:cstheme="minorHAnsi"/>
              </w:rPr>
            </w:pPr>
            <w:r>
              <w:rPr>
                <w:rFonts w:ascii="Arial" w:hAnsi="Arial" w:cs="Arial"/>
                <w:color w:val="000000"/>
                <w:sz w:val="20"/>
                <w:szCs w:val="20"/>
              </w:rPr>
              <w:t xml:space="preserve"> 131,293,384 </w:t>
            </w:r>
          </w:p>
        </w:tc>
      </w:tr>
      <w:tr w14:paraId="102048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781479A7">
            <w:pPr>
              <w:spacing w:after="0"/>
              <w:rPr>
                <w:rFonts w:cstheme="minorHAnsi"/>
              </w:rPr>
            </w:pPr>
            <w:r>
              <w:rPr>
                <w:rFonts w:cstheme="minorHAnsi"/>
              </w:rPr>
              <w:t>BILL No. 6:</w:t>
            </w:r>
          </w:p>
        </w:tc>
        <w:tc>
          <w:tcPr>
            <w:tcW w:w="4586" w:type="dxa"/>
          </w:tcPr>
          <w:p w14:paraId="448BF487">
            <w:pPr>
              <w:spacing w:after="0"/>
              <w:rPr>
                <w:rFonts w:cstheme="minorHAnsi"/>
              </w:rPr>
            </w:pPr>
            <w:r>
              <w:rPr>
                <w:rFonts w:cstheme="minorHAnsi"/>
              </w:rPr>
              <w:t>Flow Distribution Chambers - 4no</w:t>
            </w:r>
          </w:p>
        </w:tc>
        <w:tc>
          <w:tcPr>
            <w:tcW w:w="2126" w:type="dxa"/>
            <w:vAlign w:val="center"/>
          </w:tcPr>
          <w:p w14:paraId="4830B86F">
            <w:pPr>
              <w:spacing w:after="0"/>
              <w:jc w:val="right"/>
              <w:rPr>
                <w:rFonts w:cstheme="minorHAnsi"/>
              </w:rPr>
            </w:pPr>
            <w:r>
              <w:rPr>
                <w:rFonts w:ascii="Arial" w:hAnsi="Arial" w:cs="Arial"/>
                <w:color w:val="000000"/>
                <w:sz w:val="20"/>
                <w:szCs w:val="20"/>
              </w:rPr>
              <w:t xml:space="preserve"> 6,114,006 </w:t>
            </w:r>
          </w:p>
        </w:tc>
      </w:tr>
      <w:tr w14:paraId="537384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418C14FA">
            <w:pPr>
              <w:spacing w:after="0"/>
              <w:rPr>
                <w:rFonts w:cstheme="minorHAnsi"/>
              </w:rPr>
            </w:pPr>
            <w:r>
              <w:rPr>
                <w:rFonts w:cstheme="minorHAnsi"/>
              </w:rPr>
              <w:t>BILL No. 7:</w:t>
            </w:r>
          </w:p>
        </w:tc>
        <w:tc>
          <w:tcPr>
            <w:tcW w:w="4586" w:type="dxa"/>
          </w:tcPr>
          <w:p w14:paraId="360D86CC">
            <w:pPr>
              <w:spacing w:after="0"/>
              <w:rPr>
                <w:rFonts w:cstheme="minorHAnsi"/>
              </w:rPr>
            </w:pPr>
            <w:r>
              <w:rPr>
                <w:rFonts w:cstheme="minorHAnsi"/>
              </w:rPr>
              <w:t>Primary Anaerobic Ponds- 2no</w:t>
            </w:r>
          </w:p>
        </w:tc>
        <w:tc>
          <w:tcPr>
            <w:tcW w:w="2126" w:type="dxa"/>
            <w:vAlign w:val="center"/>
          </w:tcPr>
          <w:p w14:paraId="3FF920FE">
            <w:pPr>
              <w:spacing w:after="0"/>
              <w:jc w:val="right"/>
              <w:rPr>
                <w:rFonts w:cstheme="minorHAnsi"/>
              </w:rPr>
            </w:pPr>
            <w:r>
              <w:rPr>
                <w:rFonts w:ascii="Arial" w:hAnsi="Arial" w:cs="Arial"/>
                <w:color w:val="000000"/>
                <w:sz w:val="20"/>
                <w:szCs w:val="20"/>
              </w:rPr>
              <w:t xml:space="preserve"> 9,717,695 </w:t>
            </w:r>
          </w:p>
        </w:tc>
      </w:tr>
      <w:tr w14:paraId="71BE00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11BA3564">
            <w:pPr>
              <w:spacing w:after="0"/>
              <w:rPr>
                <w:rFonts w:cstheme="minorHAnsi"/>
              </w:rPr>
            </w:pPr>
            <w:r>
              <w:rPr>
                <w:rFonts w:cstheme="minorHAnsi"/>
              </w:rPr>
              <w:t>BILL No. 8:</w:t>
            </w:r>
          </w:p>
        </w:tc>
        <w:tc>
          <w:tcPr>
            <w:tcW w:w="4586" w:type="dxa"/>
          </w:tcPr>
          <w:p w14:paraId="2F9F0868">
            <w:pPr>
              <w:spacing w:after="0"/>
              <w:rPr>
                <w:rFonts w:cstheme="minorHAnsi"/>
              </w:rPr>
            </w:pPr>
            <w:r>
              <w:rPr>
                <w:rFonts w:cstheme="minorHAnsi"/>
              </w:rPr>
              <w:t>Secondary Anaerobic Ponds- 2no</w:t>
            </w:r>
          </w:p>
        </w:tc>
        <w:tc>
          <w:tcPr>
            <w:tcW w:w="2126" w:type="dxa"/>
            <w:vAlign w:val="center"/>
          </w:tcPr>
          <w:p w14:paraId="031257C6">
            <w:pPr>
              <w:spacing w:after="0"/>
              <w:jc w:val="right"/>
              <w:rPr>
                <w:rFonts w:cstheme="minorHAnsi"/>
              </w:rPr>
            </w:pPr>
            <w:r>
              <w:rPr>
                <w:rFonts w:ascii="Arial" w:hAnsi="Arial" w:cs="Arial"/>
                <w:color w:val="000000"/>
                <w:sz w:val="20"/>
                <w:szCs w:val="20"/>
              </w:rPr>
              <w:t xml:space="preserve"> 11,087,759 </w:t>
            </w:r>
          </w:p>
        </w:tc>
      </w:tr>
      <w:tr w14:paraId="69FF59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21198F80">
            <w:pPr>
              <w:spacing w:after="0"/>
              <w:rPr>
                <w:rFonts w:cstheme="minorHAnsi"/>
              </w:rPr>
            </w:pPr>
            <w:r>
              <w:rPr>
                <w:rFonts w:cstheme="minorHAnsi"/>
              </w:rPr>
              <w:t>BILL No. 9:</w:t>
            </w:r>
          </w:p>
        </w:tc>
        <w:tc>
          <w:tcPr>
            <w:tcW w:w="4586" w:type="dxa"/>
          </w:tcPr>
          <w:p w14:paraId="6CA2E11D">
            <w:pPr>
              <w:spacing w:after="0"/>
              <w:rPr>
                <w:rFonts w:cstheme="minorHAnsi"/>
              </w:rPr>
            </w:pPr>
            <w:r>
              <w:rPr>
                <w:rFonts w:cstheme="minorHAnsi"/>
              </w:rPr>
              <w:t>Facultative Ponds- 2no</w:t>
            </w:r>
          </w:p>
        </w:tc>
        <w:tc>
          <w:tcPr>
            <w:tcW w:w="2126" w:type="dxa"/>
            <w:vAlign w:val="center"/>
          </w:tcPr>
          <w:p w14:paraId="3FA2F78B">
            <w:pPr>
              <w:spacing w:after="0"/>
              <w:jc w:val="right"/>
              <w:rPr>
                <w:rFonts w:cstheme="minorHAnsi"/>
              </w:rPr>
            </w:pPr>
            <w:r>
              <w:rPr>
                <w:rFonts w:ascii="Arial" w:hAnsi="Arial" w:cs="Arial"/>
                <w:color w:val="000000"/>
                <w:sz w:val="20"/>
                <w:szCs w:val="20"/>
              </w:rPr>
              <w:t xml:space="preserve"> 15,279,522 </w:t>
            </w:r>
          </w:p>
        </w:tc>
      </w:tr>
      <w:tr w14:paraId="55C88D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04177556">
            <w:pPr>
              <w:spacing w:after="0"/>
              <w:rPr>
                <w:rFonts w:cstheme="minorHAnsi"/>
              </w:rPr>
            </w:pPr>
            <w:r>
              <w:rPr>
                <w:rFonts w:cstheme="minorHAnsi"/>
              </w:rPr>
              <w:t>BILL No.10:</w:t>
            </w:r>
          </w:p>
        </w:tc>
        <w:tc>
          <w:tcPr>
            <w:tcW w:w="4586" w:type="dxa"/>
          </w:tcPr>
          <w:p w14:paraId="12FD0E94">
            <w:pPr>
              <w:spacing w:after="0"/>
              <w:rPr>
                <w:rFonts w:cstheme="minorHAnsi"/>
              </w:rPr>
            </w:pPr>
            <w:r>
              <w:rPr>
                <w:rFonts w:cstheme="minorHAnsi"/>
              </w:rPr>
              <w:t>Maturation Ponds - 2no</w:t>
            </w:r>
          </w:p>
        </w:tc>
        <w:tc>
          <w:tcPr>
            <w:tcW w:w="2126" w:type="dxa"/>
            <w:vAlign w:val="center"/>
          </w:tcPr>
          <w:p w14:paraId="11250F4C">
            <w:pPr>
              <w:spacing w:after="0"/>
              <w:jc w:val="right"/>
              <w:rPr>
                <w:rFonts w:cstheme="minorHAnsi"/>
              </w:rPr>
            </w:pPr>
            <w:r>
              <w:rPr>
                <w:rFonts w:ascii="Arial" w:hAnsi="Arial" w:cs="Arial"/>
                <w:color w:val="000000"/>
                <w:sz w:val="20"/>
                <w:szCs w:val="20"/>
              </w:rPr>
              <w:t xml:space="preserve"> 11,597,737 </w:t>
            </w:r>
          </w:p>
        </w:tc>
      </w:tr>
      <w:tr w14:paraId="748446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09F03976">
            <w:pPr>
              <w:spacing w:after="0"/>
              <w:rPr>
                <w:rFonts w:cstheme="minorHAnsi"/>
              </w:rPr>
            </w:pPr>
            <w:r>
              <w:rPr>
                <w:rFonts w:cstheme="minorHAnsi"/>
              </w:rPr>
              <w:t>BILL No. 11:</w:t>
            </w:r>
          </w:p>
        </w:tc>
        <w:tc>
          <w:tcPr>
            <w:tcW w:w="4586" w:type="dxa"/>
          </w:tcPr>
          <w:p w14:paraId="5FD910E6">
            <w:pPr>
              <w:spacing w:after="0"/>
              <w:rPr>
                <w:rFonts w:cstheme="minorHAnsi"/>
              </w:rPr>
            </w:pPr>
            <w:r>
              <w:rPr>
                <w:rFonts w:cstheme="minorHAnsi"/>
              </w:rPr>
              <w:t>Constructed Wetlands - 4no</w:t>
            </w:r>
          </w:p>
        </w:tc>
        <w:tc>
          <w:tcPr>
            <w:tcW w:w="2126" w:type="dxa"/>
            <w:vAlign w:val="center"/>
          </w:tcPr>
          <w:p w14:paraId="256A27C4">
            <w:pPr>
              <w:spacing w:after="0"/>
              <w:jc w:val="right"/>
              <w:rPr>
                <w:rFonts w:cstheme="minorHAnsi"/>
              </w:rPr>
            </w:pPr>
            <w:r>
              <w:rPr>
                <w:rFonts w:ascii="Arial" w:hAnsi="Arial" w:cs="Arial"/>
                <w:color w:val="000000"/>
                <w:sz w:val="20"/>
                <w:szCs w:val="20"/>
              </w:rPr>
              <w:t xml:space="preserve"> 5,585,129 </w:t>
            </w:r>
          </w:p>
        </w:tc>
      </w:tr>
      <w:tr w14:paraId="2F4A1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118C7EE2">
            <w:pPr>
              <w:spacing w:after="0"/>
              <w:rPr>
                <w:rFonts w:cstheme="minorHAnsi"/>
              </w:rPr>
            </w:pPr>
            <w:r>
              <w:rPr>
                <w:rFonts w:cstheme="minorHAnsi"/>
              </w:rPr>
              <w:t>BILL No. 12:</w:t>
            </w:r>
          </w:p>
        </w:tc>
        <w:tc>
          <w:tcPr>
            <w:tcW w:w="4586" w:type="dxa"/>
          </w:tcPr>
          <w:p w14:paraId="55EC6BF5">
            <w:pPr>
              <w:spacing w:after="0"/>
              <w:rPr>
                <w:rFonts w:cstheme="minorHAnsi"/>
              </w:rPr>
            </w:pPr>
            <w:r>
              <w:rPr>
                <w:rFonts w:cstheme="minorHAnsi"/>
              </w:rPr>
              <w:t>Biosolids Slabs</w:t>
            </w:r>
          </w:p>
        </w:tc>
        <w:tc>
          <w:tcPr>
            <w:tcW w:w="2126" w:type="dxa"/>
            <w:vAlign w:val="center"/>
          </w:tcPr>
          <w:p w14:paraId="69F67742">
            <w:pPr>
              <w:spacing w:after="0"/>
              <w:jc w:val="right"/>
              <w:rPr>
                <w:rFonts w:cstheme="minorHAnsi"/>
              </w:rPr>
            </w:pPr>
            <w:r>
              <w:rPr>
                <w:rFonts w:ascii="Arial" w:hAnsi="Arial" w:cs="Arial"/>
                <w:color w:val="000000"/>
                <w:sz w:val="20"/>
                <w:szCs w:val="20"/>
              </w:rPr>
              <w:t xml:space="preserve"> 18,494,501 </w:t>
            </w:r>
          </w:p>
        </w:tc>
      </w:tr>
      <w:tr w14:paraId="4CFFFF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4847C8A5">
            <w:pPr>
              <w:spacing w:after="0"/>
              <w:rPr>
                <w:rFonts w:cstheme="minorHAnsi"/>
              </w:rPr>
            </w:pPr>
            <w:r>
              <w:rPr>
                <w:rFonts w:cstheme="minorHAnsi"/>
              </w:rPr>
              <w:t>BILL No. 13:</w:t>
            </w:r>
          </w:p>
        </w:tc>
        <w:tc>
          <w:tcPr>
            <w:tcW w:w="4586" w:type="dxa"/>
          </w:tcPr>
          <w:p w14:paraId="04E92EE6">
            <w:pPr>
              <w:spacing w:after="0"/>
              <w:rPr>
                <w:rFonts w:cstheme="minorHAnsi"/>
              </w:rPr>
            </w:pPr>
            <w:r>
              <w:rPr>
                <w:rFonts w:cstheme="minorHAnsi"/>
              </w:rPr>
              <w:t>Operations Building</w:t>
            </w:r>
          </w:p>
        </w:tc>
        <w:tc>
          <w:tcPr>
            <w:tcW w:w="2126" w:type="dxa"/>
            <w:vAlign w:val="center"/>
          </w:tcPr>
          <w:p w14:paraId="00B8CF94">
            <w:pPr>
              <w:spacing w:after="0"/>
              <w:jc w:val="right"/>
              <w:rPr>
                <w:rFonts w:cstheme="minorHAnsi"/>
              </w:rPr>
            </w:pPr>
            <w:r>
              <w:rPr>
                <w:rFonts w:ascii="Arial" w:hAnsi="Arial" w:cs="Arial"/>
                <w:color w:val="000000"/>
                <w:sz w:val="20"/>
                <w:szCs w:val="20"/>
              </w:rPr>
              <w:t xml:space="preserve"> 4,122,142 </w:t>
            </w:r>
          </w:p>
        </w:tc>
      </w:tr>
      <w:tr w14:paraId="4C388D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1401C3A2">
            <w:pPr>
              <w:spacing w:after="0"/>
              <w:rPr>
                <w:rFonts w:cstheme="minorHAnsi"/>
              </w:rPr>
            </w:pPr>
            <w:r>
              <w:rPr>
                <w:rFonts w:cstheme="minorHAnsi"/>
              </w:rPr>
              <w:t>BILL No. 14:</w:t>
            </w:r>
          </w:p>
        </w:tc>
        <w:tc>
          <w:tcPr>
            <w:tcW w:w="4586" w:type="dxa"/>
          </w:tcPr>
          <w:p w14:paraId="22BAECFA">
            <w:pPr>
              <w:spacing w:after="0"/>
              <w:rPr>
                <w:rFonts w:cstheme="minorHAnsi"/>
              </w:rPr>
            </w:pPr>
            <w:r>
              <w:rPr>
                <w:rFonts w:cstheme="minorHAnsi"/>
              </w:rPr>
              <w:t>Guard House</w:t>
            </w:r>
          </w:p>
        </w:tc>
        <w:tc>
          <w:tcPr>
            <w:tcW w:w="2126" w:type="dxa"/>
            <w:vAlign w:val="center"/>
          </w:tcPr>
          <w:p w14:paraId="78220577">
            <w:pPr>
              <w:spacing w:after="0"/>
              <w:jc w:val="right"/>
              <w:rPr>
                <w:rFonts w:cstheme="minorHAnsi"/>
              </w:rPr>
            </w:pPr>
            <w:r>
              <w:rPr>
                <w:rFonts w:ascii="Arial" w:hAnsi="Arial" w:cs="Arial"/>
                <w:color w:val="000000"/>
                <w:sz w:val="20"/>
                <w:szCs w:val="20"/>
              </w:rPr>
              <w:t xml:space="preserve"> 1,011,239 </w:t>
            </w:r>
          </w:p>
        </w:tc>
      </w:tr>
      <w:tr w14:paraId="7A4B52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30988D36">
            <w:pPr>
              <w:spacing w:after="0"/>
              <w:rPr>
                <w:rFonts w:cstheme="minorHAnsi"/>
              </w:rPr>
            </w:pPr>
            <w:r>
              <w:rPr>
                <w:rFonts w:cstheme="minorHAnsi"/>
              </w:rPr>
              <w:t>BILL No. 15:</w:t>
            </w:r>
          </w:p>
        </w:tc>
        <w:tc>
          <w:tcPr>
            <w:tcW w:w="4586" w:type="dxa"/>
          </w:tcPr>
          <w:p w14:paraId="676E2F2D">
            <w:pPr>
              <w:spacing w:after="0"/>
              <w:rPr>
                <w:rFonts w:cstheme="minorHAnsi"/>
              </w:rPr>
            </w:pPr>
            <w:r>
              <w:rPr>
                <w:rFonts w:cstheme="minorHAnsi"/>
              </w:rPr>
              <w:t>Solar Power System</w:t>
            </w:r>
          </w:p>
        </w:tc>
        <w:tc>
          <w:tcPr>
            <w:tcW w:w="2126" w:type="dxa"/>
            <w:vAlign w:val="center"/>
          </w:tcPr>
          <w:p w14:paraId="0914B408">
            <w:pPr>
              <w:spacing w:after="0"/>
              <w:jc w:val="right"/>
              <w:rPr>
                <w:rFonts w:cstheme="minorHAnsi"/>
              </w:rPr>
            </w:pPr>
            <w:r>
              <w:rPr>
                <w:rFonts w:ascii="Arial" w:hAnsi="Arial" w:cs="Arial"/>
                <w:color w:val="000000"/>
                <w:sz w:val="20"/>
                <w:szCs w:val="20"/>
              </w:rPr>
              <w:t xml:space="preserve"> 4,533,762 </w:t>
            </w:r>
          </w:p>
        </w:tc>
      </w:tr>
      <w:tr w14:paraId="4B3EF14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36B634A9">
            <w:pPr>
              <w:spacing w:after="0"/>
              <w:rPr>
                <w:rFonts w:cstheme="minorHAnsi"/>
              </w:rPr>
            </w:pPr>
            <w:r>
              <w:rPr>
                <w:rFonts w:cstheme="minorHAnsi"/>
              </w:rPr>
              <w:t>BILL No. 16:</w:t>
            </w:r>
          </w:p>
        </w:tc>
        <w:tc>
          <w:tcPr>
            <w:tcW w:w="4586" w:type="dxa"/>
          </w:tcPr>
          <w:p w14:paraId="070F0B8B">
            <w:pPr>
              <w:spacing w:after="0"/>
              <w:rPr>
                <w:rFonts w:cstheme="minorHAnsi"/>
              </w:rPr>
            </w:pPr>
            <w:r>
              <w:rPr>
                <w:rFonts w:cstheme="minorHAnsi"/>
              </w:rPr>
              <w:t>Generator House And Genset</w:t>
            </w:r>
          </w:p>
        </w:tc>
        <w:tc>
          <w:tcPr>
            <w:tcW w:w="2126" w:type="dxa"/>
            <w:vAlign w:val="center"/>
          </w:tcPr>
          <w:p w14:paraId="673A864C">
            <w:pPr>
              <w:spacing w:after="0"/>
              <w:jc w:val="right"/>
              <w:rPr>
                <w:rFonts w:cstheme="minorHAnsi"/>
              </w:rPr>
            </w:pPr>
            <w:r>
              <w:rPr>
                <w:rFonts w:ascii="Arial" w:hAnsi="Arial" w:cs="Arial"/>
                <w:color w:val="000000"/>
                <w:sz w:val="20"/>
                <w:szCs w:val="20"/>
              </w:rPr>
              <w:t xml:space="preserve"> 5,781,283 </w:t>
            </w:r>
          </w:p>
        </w:tc>
      </w:tr>
      <w:tr w14:paraId="544F6B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48BBA25D">
            <w:pPr>
              <w:spacing w:after="0"/>
              <w:rPr>
                <w:rFonts w:cstheme="minorHAnsi"/>
              </w:rPr>
            </w:pPr>
            <w:r>
              <w:rPr>
                <w:rFonts w:cstheme="minorHAnsi"/>
              </w:rPr>
              <w:t>BILL No. 17:</w:t>
            </w:r>
          </w:p>
        </w:tc>
        <w:tc>
          <w:tcPr>
            <w:tcW w:w="4586" w:type="dxa"/>
          </w:tcPr>
          <w:p w14:paraId="615094A3">
            <w:pPr>
              <w:spacing w:after="0"/>
              <w:rPr>
                <w:rFonts w:cstheme="minorHAnsi"/>
              </w:rPr>
            </w:pPr>
            <w:r>
              <w:rPr>
                <w:rFonts w:cstheme="minorHAnsi"/>
              </w:rPr>
              <w:t>Incinerator Shed</w:t>
            </w:r>
          </w:p>
        </w:tc>
        <w:tc>
          <w:tcPr>
            <w:tcW w:w="2126" w:type="dxa"/>
            <w:vAlign w:val="center"/>
          </w:tcPr>
          <w:p w14:paraId="6B631CA9">
            <w:pPr>
              <w:spacing w:after="0"/>
              <w:jc w:val="right"/>
              <w:rPr>
                <w:rFonts w:cstheme="minorHAnsi"/>
              </w:rPr>
            </w:pPr>
            <w:r>
              <w:rPr>
                <w:rFonts w:ascii="Arial" w:hAnsi="Arial" w:cs="Arial"/>
                <w:color w:val="000000"/>
                <w:sz w:val="20"/>
                <w:szCs w:val="20"/>
              </w:rPr>
              <w:t xml:space="preserve"> 5,198,567 </w:t>
            </w:r>
          </w:p>
        </w:tc>
      </w:tr>
      <w:tr w14:paraId="0EDB34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05D6C540">
            <w:pPr>
              <w:spacing w:after="0"/>
              <w:rPr>
                <w:rFonts w:cstheme="minorHAnsi"/>
              </w:rPr>
            </w:pPr>
            <w:r>
              <w:rPr>
                <w:rFonts w:cstheme="minorHAnsi"/>
              </w:rPr>
              <w:t>BILL No. 18:</w:t>
            </w:r>
          </w:p>
        </w:tc>
        <w:tc>
          <w:tcPr>
            <w:tcW w:w="4586" w:type="dxa"/>
          </w:tcPr>
          <w:p w14:paraId="1B59E266">
            <w:pPr>
              <w:spacing w:after="0"/>
              <w:rPr>
                <w:rFonts w:cstheme="minorHAnsi"/>
              </w:rPr>
            </w:pPr>
            <w:r>
              <w:rPr>
                <w:rFonts w:cstheme="minorHAnsi"/>
              </w:rPr>
              <w:t xml:space="preserve"> Fencing And Gates</w:t>
            </w:r>
          </w:p>
        </w:tc>
        <w:tc>
          <w:tcPr>
            <w:tcW w:w="2126" w:type="dxa"/>
            <w:vAlign w:val="center"/>
          </w:tcPr>
          <w:p w14:paraId="624F14BB">
            <w:pPr>
              <w:spacing w:after="0"/>
              <w:jc w:val="right"/>
              <w:rPr>
                <w:rFonts w:cstheme="minorHAnsi"/>
              </w:rPr>
            </w:pPr>
            <w:r>
              <w:rPr>
                <w:rFonts w:ascii="Arial" w:hAnsi="Arial" w:cs="Arial"/>
                <w:color w:val="000000"/>
                <w:sz w:val="20"/>
                <w:szCs w:val="20"/>
              </w:rPr>
              <w:t xml:space="preserve"> 3,933,165 </w:t>
            </w:r>
          </w:p>
        </w:tc>
      </w:tr>
      <w:tr w14:paraId="03F96B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0A6DB848">
            <w:pPr>
              <w:spacing w:after="0"/>
              <w:rPr>
                <w:rFonts w:cstheme="minorHAnsi"/>
              </w:rPr>
            </w:pPr>
            <w:r>
              <w:rPr>
                <w:rFonts w:cstheme="minorHAnsi"/>
              </w:rPr>
              <w:t>BILL No. 19:</w:t>
            </w:r>
          </w:p>
        </w:tc>
        <w:tc>
          <w:tcPr>
            <w:tcW w:w="4586" w:type="dxa"/>
          </w:tcPr>
          <w:p w14:paraId="2E436764">
            <w:pPr>
              <w:spacing w:after="0"/>
              <w:rPr>
                <w:rFonts w:cstheme="minorHAnsi"/>
              </w:rPr>
            </w:pPr>
            <w:r>
              <w:rPr>
                <w:rFonts w:cstheme="minorHAnsi"/>
              </w:rPr>
              <w:t>External Works</w:t>
            </w:r>
          </w:p>
        </w:tc>
        <w:tc>
          <w:tcPr>
            <w:tcW w:w="2126" w:type="dxa"/>
            <w:vAlign w:val="center"/>
          </w:tcPr>
          <w:p w14:paraId="6AE23ADF">
            <w:pPr>
              <w:spacing w:after="0"/>
              <w:jc w:val="right"/>
              <w:rPr>
                <w:rFonts w:cstheme="minorHAnsi"/>
              </w:rPr>
            </w:pPr>
            <w:r>
              <w:rPr>
                <w:rFonts w:ascii="Arial" w:hAnsi="Arial" w:cs="Arial"/>
                <w:color w:val="000000"/>
                <w:sz w:val="20"/>
                <w:szCs w:val="20"/>
              </w:rPr>
              <w:t xml:space="preserve"> 4,772,207 </w:t>
            </w:r>
          </w:p>
        </w:tc>
      </w:tr>
      <w:tr w14:paraId="73F28A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1290B7F9">
            <w:pPr>
              <w:spacing w:after="0"/>
              <w:rPr>
                <w:rFonts w:cstheme="minorHAnsi"/>
              </w:rPr>
            </w:pPr>
            <w:r>
              <w:rPr>
                <w:rFonts w:cstheme="minorHAnsi"/>
              </w:rPr>
              <w:t>BILL No. 20:</w:t>
            </w:r>
          </w:p>
        </w:tc>
        <w:tc>
          <w:tcPr>
            <w:tcW w:w="4586" w:type="dxa"/>
          </w:tcPr>
          <w:p w14:paraId="54EE8826">
            <w:pPr>
              <w:spacing w:after="0"/>
              <w:rPr>
                <w:rFonts w:cstheme="minorHAnsi"/>
              </w:rPr>
            </w:pPr>
            <w:r>
              <w:rPr>
                <w:rFonts w:cstheme="minorHAnsi"/>
              </w:rPr>
              <w:t>Civil Works</w:t>
            </w:r>
          </w:p>
        </w:tc>
        <w:tc>
          <w:tcPr>
            <w:tcW w:w="2126" w:type="dxa"/>
            <w:vAlign w:val="center"/>
          </w:tcPr>
          <w:p w14:paraId="5DE9F896">
            <w:pPr>
              <w:spacing w:after="0"/>
              <w:jc w:val="right"/>
              <w:rPr>
                <w:rFonts w:cstheme="minorHAnsi"/>
              </w:rPr>
            </w:pPr>
            <w:r>
              <w:rPr>
                <w:rFonts w:ascii="Arial" w:hAnsi="Arial" w:cs="Arial"/>
                <w:color w:val="000000"/>
                <w:sz w:val="20"/>
                <w:szCs w:val="20"/>
              </w:rPr>
              <w:t xml:space="preserve"> 22,207,260 </w:t>
            </w:r>
          </w:p>
        </w:tc>
      </w:tr>
      <w:tr w14:paraId="35A95A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tcPr>
          <w:p w14:paraId="3AA7F736">
            <w:pPr>
              <w:spacing w:after="0"/>
              <w:rPr>
                <w:rFonts w:cstheme="minorHAnsi"/>
              </w:rPr>
            </w:pPr>
            <w:r>
              <w:rPr>
                <w:rFonts w:cstheme="minorHAnsi"/>
              </w:rPr>
              <w:t>BILL No. 21:</w:t>
            </w:r>
          </w:p>
        </w:tc>
        <w:tc>
          <w:tcPr>
            <w:tcW w:w="4586" w:type="dxa"/>
          </w:tcPr>
          <w:p w14:paraId="58C39347">
            <w:pPr>
              <w:spacing w:after="0"/>
              <w:rPr>
                <w:rFonts w:cstheme="minorHAnsi"/>
              </w:rPr>
            </w:pPr>
            <w:r>
              <w:rPr>
                <w:rFonts w:cstheme="minorHAnsi"/>
              </w:rPr>
              <w:t>Schedule Of Day works (Rates Only)</w:t>
            </w:r>
          </w:p>
        </w:tc>
        <w:tc>
          <w:tcPr>
            <w:tcW w:w="2126" w:type="dxa"/>
            <w:vAlign w:val="center"/>
          </w:tcPr>
          <w:p w14:paraId="61F601A1">
            <w:pPr>
              <w:spacing w:after="0"/>
              <w:jc w:val="right"/>
              <w:rPr>
                <w:rFonts w:cstheme="minorHAnsi"/>
              </w:rPr>
            </w:pPr>
            <w:r>
              <w:rPr>
                <w:rFonts w:ascii="Arial" w:hAnsi="Arial" w:cs="Arial"/>
                <w:color w:val="000000"/>
                <w:sz w:val="20"/>
                <w:szCs w:val="20"/>
              </w:rPr>
              <w:t xml:space="preserve"> 4,942,380 </w:t>
            </w:r>
          </w:p>
        </w:tc>
      </w:tr>
      <w:tr w14:paraId="1C9ABB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vMerge w:val="restart"/>
          </w:tcPr>
          <w:p w14:paraId="3D00BDC2">
            <w:pPr>
              <w:spacing w:after="0"/>
              <w:rPr>
                <w:rFonts w:cstheme="minorHAnsi"/>
              </w:rPr>
            </w:pPr>
          </w:p>
        </w:tc>
        <w:tc>
          <w:tcPr>
            <w:tcW w:w="4586" w:type="dxa"/>
          </w:tcPr>
          <w:p w14:paraId="607C813C">
            <w:pPr>
              <w:spacing w:after="0"/>
              <w:rPr>
                <w:rFonts w:cstheme="minorHAnsi"/>
              </w:rPr>
            </w:pPr>
            <w:r>
              <w:rPr>
                <w:rFonts w:cstheme="minorHAnsi"/>
              </w:rPr>
              <w:t> </w:t>
            </w:r>
          </w:p>
        </w:tc>
        <w:tc>
          <w:tcPr>
            <w:tcW w:w="2126" w:type="dxa"/>
            <w:vAlign w:val="center"/>
          </w:tcPr>
          <w:p w14:paraId="2376B8C2">
            <w:pPr>
              <w:spacing w:after="0"/>
              <w:jc w:val="right"/>
              <w:rPr>
                <w:rFonts w:cstheme="minorHAnsi"/>
              </w:rPr>
            </w:pPr>
          </w:p>
        </w:tc>
      </w:tr>
      <w:tr w14:paraId="16AE2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vMerge w:val="continue"/>
          </w:tcPr>
          <w:p w14:paraId="772277D6">
            <w:pPr>
              <w:spacing w:after="0"/>
              <w:rPr>
                <w:rFonts w:cstheme="minorHAnsi"/>
              </w:rPr>
            </w:pPr>
          </w:p>
        </w:tc>
        <w:tc>
          <w:tcPr>
            <w:tcW w:w="4586" w:type="dxa"/>
          </w:tcPr>
          <w:p w14:paraId="005C55F1">
            <w:pPr>
              <w:spacing w:after="0"/>
              <w:rPr>
                <w:rFonts w:cstheme="minorHAnsi"/>
              </w:rPr>
            </w:pPr>
            <w:r>
              <w:rPr>
                <w:rFonts w:cstheme="minorHAnsi"/>
              </w:rPr>
              <w:t>Sub-Total (A)</w:t>
            </w:r>
          </w:p>
        </w:tc>
        <w:tc>
          <w:tcPr>
            <w:tcW w:w="2126" w:type="dxa"/>
            <w:vAlign w:val="center"/>
          </w:tcPr>
          <w:p w14:paraId="7159A224">
            <w:pPr>
              <w:spacing w:after="0"/>
              <w:jc w:val="right"/>
              <w:rPr>
                <w:rFonts w:cstheme="minorHAnsi"/>
              </w:rPr>
            </w:pPr>
            <w:r>
              <w:rPr>
                <w:rFonts w:ascii="Arial" w:hAnsi="Arial" w:cs="Arial"/>
                <w:color w:val="000000"/>
                <w:sz w:val="20"/>
                <w:szCs w:val="20"/>
              </w:rPr>
              <w:t xml:space="preserve"> 447,337,023 </w:t>
            </w:r>
          </w:p>
        </w:tc>
      </w:tr>
      <w:tr w14:paraId="7871A8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vMerge w:val="continue"/>
          </w:tcPr>
          <w:p w14:paraId="3199DCF0">
            <w:pPr>
              <w:spacing w:after="0"/>
              <w:rPr>
                <w:rFonts w:cstheme="minorHAnsi"/>
              </w:rPr>
            </w:pPr>
          </w:p>
        </w:tc>
        <w:tc>
          <w:tcPr>
            <w:tcW w:w="4586" w:type="dxa"/>
          </w:tcPr>
          <w:p w14:paraId="76BDA9EB">
            <w:pPr>
              <w:spacing w:after="0"/>
              <w:rPr>
                <w:rFonts w:cstheme="minorHAnsi"/>
              </w:rPr>
            </w:pPr>
            <w:r>
              <w:rPr>
                <w:rFonts w:cstheme="minorHAnsi"/>
              </w:rPr>
              <w:t> </w:t>
            </w:r>
          </w:p>
        </w:tc>
        <w:tc>
          <w:tcPr>
            <w:tcW w:w="2126" w:type="dxa"/>
            <w:vAlign w:val="center"/>
          </w:tcPr>
          <w:p w14:paraId="652C8831">
            <w:pPr>
              <w:spacing w:after="0"/>
              <w:jc w:val="right"/>
              <w:rPr>
                <w:rFonts w:cstheme="minorHAnsi"/>
              </w:rPr>
            </w:pPr>
          </w:p>
        </w:tc>
      </w:tr>
      <w:tr w14:paraId="001571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vMerge w:val="continue"/>
          </w:tcPr>
          <w:p w14:paraId="3B5360E7">
            <w:pPr>
              <w:spacing w:after="0"/>
              <w:rPr>
                <w:rFonts w:cstheme="minorHAnsi"/>
              </w:rPr>
            </w:pPr>
          </w:p>
        </w:tc>
        <w:tc>
          <w:tcPr>
            <w:tcW w:w="4586" w:type="dxa"/>
          </w:tcPr>
          <w:p w14:paraId="08B9555D">
            <w:pPr>
              <w:spacing w:after="0"/>
              <w:rPr>
                <w:rFonts w:cstheme="minorHAnsi"/>
              </w:rPr>
            </w:pPr>
            <w:r>
              <w:rPr>
                <w:rFonts w:cstheme="minorHAnsi"/>
              </w:rPr>
              <w:t>Contingencies 10% Of Sub-Total (A)</w:t>
            </w:r>
          </w:p>
        </w:tc>
        <w:tc>
          <w:tcPr>
            <w:tcW w:w="2126" w:type="dxa"/>
            <w:vAlign w:val="center"/>
          </w:tcPr>
          <w:p w14:paraId="490C8349">
            <w:pPr>
              <w:spacing w:after="0"/>
              <w:jc w:val="right"/>
              <w:rPr>
                <w:rFonts w:cstheme="minorHAnsi"/>
              </w:rPr>
            </w:pPr>
            <w:r>
              <w:rPr>
                <w:rFonts w:ascii="Arial" w:hAnsi="Arial" w:cs="Arial"/>
                <w:color w:val="000000"/>
                <w:sz w:val="20"/>
                <w:szCs w:val="20"/>
              </w:rPr>
              <w:t xml:space="preserve"> 44,733,702 </w:t>
            </w:r>
          </w:p>
        </w:tc>
      </w:tr>
      <w:tr w14:paraId="6C775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vMerge w:val="continue"/>
          </w:tcPr>
          <w:p w14:paraId="51B77BE6">
            <w:pPr>
              <w:spacing w:after="0"/>
              <w:rPr>
                <w:rFonts w:cstheme="minorHAnsi"/>
              </w:rPr>
            </w:pPr>
          </w:p>
        </w:tc>
        <w:tc>
          <w:tcPr>
            <w:tcW w:w="4586" w:type="dxa"/>
          </w:tcPr>
          <w:p w14:paraId="07191647">
            <w:pPr>
              <w:spacing w:after="0"/>
              <w:rPr>
                <w:rFonts w:cstheme="minorHAnsi"/>
              </w:rPr>
            </w:pPr>
            <w:r>
              <w:rPr>
                <w:rFonts w:cstheme="minorHAnsi"/>
              </w:rPr>
              <w:t> </w:t>
            </w:r>
          </w:p>
        </w:tc>
        <w:tc>
          <w:tcPr>
            <w:tcW w:w="2126" w:type="dxa"/>
            <w:vAlign w:val="center"/>
          </w:tcPr>
          <w:p w14:paraId="68785C3C">
            <w:pPr>
              <w:spacing w:after="0"/>
              <w:jc w:val="right"/>
              <w:rPr>
                <w:rFonts w:cstheme="minorHAnsi"/>
              </w:rPr>
            </w:pPr>
          </w:p>
        </w:tc>
      </w:tr>
      <w:tr w14:paraId="16FAB3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vMerge w:val="continue"/>
          </w:tcPr>
          <w:p w14:paraId="3A52E8E2">
            <w:pPr>
              <w:spacing w:after="0"/>
              <w:rPr>
                <w:rFonts w:cstheme="minorHAnsi"/>
              </w:rPr>
            </w:pPr>
          </w:p>
        </w:tc>
        <w:tc>
          <w:tcPr>
            <w:tcW w:w="4586" w:type="dxa"/>
          </w:tcPr>
          <w:p w14:paraId="19BCF0F5">
            <w:pPr>
              <w:spacing w:after="0"/>
              <w:rPr>
                <w:rFonts w:cstheme="minorHAnsi"/>
              </w:rPr>
            </w:pPr>
            <w:r>
              <w:rPr>
                <w:rFonts w:cstheme="minorHAnsi"/>
              </w:rPr>
              <w:t>Sub-Total (B)</w:t>
            </w:r>
          </w:p>
        </w:tc>
        <w:tc>
          <w:tcPr>
            <w:tcW w:w="2126" w:type="dxa"/>
            <w:vAlign w:val="center"/>
          </w:tcPr>
          <w:p w14:paraId="0074AC18">
            <w:pPr>
              <w:spacing w:after="0"/>
              <w:jc w:val="right"/>
              <w:rPr>
                <w:rFonts w:cstheme="minorHAnsi"/>
              </w:rPr>
            </w:pPr>
            <w:r>
              <w:rPr>
                <w:rFonts w:ascii="Arial" w:hAnsi="Arial" w:cs="Arial"/>
                <w:color w:val="000000"/>
                <w:sz w:val="20"/>
                <w:szCs w:val="20"/>
              </w:rPr>
              <w:t xml:space="preserve"> 492,070,725 </w:t>
            </w:r>
          </w:p>
        </w:tc>
      </w:tr>
      <w:tr w14:paraId="3A7336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vMerge w:val="continue"/>
          </w:tcPr>
          <w:p w14:paraId="2AD6DAC2">
            <w:pPr>
              <w:spacing w:after="0"/>
              <w:rPr>
                <w:rFonts w:cstheme="minorHAnsi"/>
              </w:rPr>
            </w:pPr>
          </w:p>
        </w:tc>
        <w:tc>
          <w:tcPr>
            <w:tcW w:w="4586" w:type="dxa"/>
          </w:tcPr>
          <w:p w14:paraId="0F930328">
            <w:pPr>
              <w:spacing w:after="0"/>
              <w:rPr>
                <w:rFonts w:cstheme="minorHAnsi"/>
              </w:rPr>
            </w:pPr>
            <w:r>
              <w:rPr>
                <w:rFonts w:cstheme="minorHAnsi"/>
              </w:rPr>
              <w:t> </w:t>
            </w:r>
          </w:p>
        </w:tc>
        <w:tc>
          <w:tcPr>
            <w:tcW w:w="2126" w:type="dxa"/>
          </w:tcPr>
          <w:p w14:paraId="15ECD9FB">
            <w:pPr>
              <w:spacing w:after="0"/>
              <w:jc w:val="right"/>
              <w:rPr>
                <w:rFonts w:cstheme="minorHAnsi"/>
              </w:rPr>
            </w:pPr>
            <w:r>
              <w:rPr>
                <w:rFonts w:cstheme="minorHAnsi"/>
              </w:rPr>
              <w:t> </w:t>
            </w:r>
          </w:p>
        </w:tc>
      </w:tr>
      <w:tr w14:paraId="05E281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vMerge w:val="continue"/>
          </w:tcPr>
          <w:p w14:paraId="70EF89AD">
            <w:pPr>
              <w:spacing w:after="0"/>
              <w:rPr>
                <w:rFonts w:cstheme="minorHAnsi"/>
              </w:rPr>
            </w:pPr>
          </w:p>
        </w:tc>
        <w:tc>
          <w:tcPr>
            <w:tcW w:w="4586" w:type="dxa"/>
          </w:tcPr>
          <w:p w14:paraId="3081AE88">
            <w:pPr>
              <w:spacing w:after="0"/>
              <w:rPr>
                <w:rFonts w:cstheme="minorHAnsi"/>
              </w:rPr>
            </w:pPr>
            <w:r>
              <w:rPr>
                <w:rFonts w:cstheme="minorHAnsi"/>
              </w:rPr>
              <w:t>Add 16% Vat Sub-Total (C)</w:t>
            </w:r>
          </w:p>
        </w:tc>
        <w:tc>
          <w:tcPr>
            <w:tcW w:w="2126" w:type="dxa"/>
          </w:tcPr>
          <w:p w14:paraId="7A115478">
            <w:pPr>
              <w:spacing w:after="0" w:line="240" w:lineRule="auto"/>
              <w:jc w:val="right"/>
              <w:rPr>
                <w:rFonts w:ascii="Arial" w:hAnsi="Arial" w:cs="Arial"/>
                <w:color w:val="000000"/>
                <w:sz w:val="20"/>
                <w:szCs w:val="20"/>
              </w:rPr>
            </w:pPr>
            <w:r>
              <w:rPr>
                <w:rFonts w:ascii="Arial" w:hAnsi="Arial" w:cs="Arial"/>
                <w:color w:val="000000"/>
                <w:sz w:val="20"/>
                <w:szCs w:val="20"/>
              </w:rPr>
              <w:t xml:space="preserve">78,731,316 </w:t>
            </w:r>
          </w:p>
        </w:tc>
      </w:tr>
      <w:tr w14:paraId="13B254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8" w:hRule="atLeast"/>
        </w:trPr>
        <w:tc>
          <w:tcPr>
            <w:tcW w:w="1226" w:type="dxa"/>
            <w:vMerge w:val="continue"/>
          </w:tcPr>
          <w:p w14:paraId="5D842479">
            <w:pPr>
              <w:spacing w:after="0"/>
              <w:rPr>
                <w:rFonts w:cstheme="minorHAnsi"/>
              </w:rPr>
            </w:pPr>
          </w:p>
        </w:tc>
        <w:tc>
          <w:tcPr>
            <w:tcW w:w="4586" w:type="dxa"/>
          </w:tcPr>
          <w:p w14:paraId="31781BB6">
            <w:pPr>
              <w:spacing w:after="0"/>
              <w:rPr>
                <w:rFonts w:cstheme="minorHAnsi"/>
                <w:b/>
                <w:bCs/>
              </w:rPr>
            </w:pPr>
            <w:r>
              <w:rPr>
                <w:rFonts w:cstheme="minorHAnsi"/>
                <w:b/>
                <w:bCs/>
              </w:rPr>
              <w:t>Grand Total Sub-Total (B) + Sub-Total (C)</w:t>
            </w:r>
          </w:p>
        </w:tc>
        <w:tc>
          <w:tcPr>
            <w:tcW w:w="2126" w:type="dxa"/>
          </w:tcPr>
          <w:p w14:paraId="67CBE237">
            <w:pPr>
              <w:spacing w:after="0"/>
              <w:jc w:val="right"/>
              <w:rPr>
                <w:rFonts w:cstheme="minorHAnsi"/>
                <w:b/>
                <w:bCs/>
              </w:rPr>
            </w:pPr>
            <w:r>
              <w:rPr>
                <w:rFonts w:cstheme="minorHAnsi"/>
                <w:b/>
                <w:bCs/>
              </w:rPr>
              <w:t>570,802,041</w:t>
            </w:r>
          </w:p>
        </w:tc>
      </w:tr>
    </w:tbl>
    <w:p w14:paraId="5F0A6E7D"/>
    <w:p w14:paraId="763D26C0">
      <w:pPr>
        <w:sectPr>
          <w:headerReference r:id="rId23" w:type="default"/>
          <w:pgSz w:w="11906" w:h="16838"/>
          <w:pgMar w:top="1440" w:right="1440" w:bottom="1440" w:left="1560" w:header="708" w:footer="708" w:gutter="0"/>
          <w:cols w:space="708" w:num="1"/>
          <w:docGrid w:linePitch="360" w:charSpace="0"/>
        </w:sectPr>
      </w:pPr>
    </w:p>
    <w:p w14:paraId="2E3DA088">
      <w:pPr>
        <w:pStyle w:val="2"/>
      </w:pPr>
      <w:bookmarkStart w:id="162" w:name="_Toc179904045"/>
      <w:r>
        <w:t>4.</w:t>
      </w:r>
      <w:r>
        <w:tab/>
      </w:r>
      <w:r>
        <w:t>PROJECT ALTERNATIVES</w:t>
      </w:r>
      <w:bookmarkEnd w:id="155"/>
      <w:bookmarkEnd w:id="156"/>
      <w:bookmarkEnd w:id="157"/>
      <w:bookmarkEnd w:id="158"/>
      <w:bookmarkEnd w:id="159"/>
      <w:bookmarkEnd w:id="162"/>
    </w:p>
    <w:p w14:paraId="0D444332">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Analysis of project alternatives for the proposed project considered three possible alternatives / options namely:</w:t>
      </w:r>
    </w:p>
    <w:p w14:paraId="0ED29B13">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Alternative 1: NO Project” Option</w:t>
      </w:r>
    </w:p>
    <w:p w14:paraId="4093ED70">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Alternative 2: the “YES” alternatives</w:t>
      </w:r>
    </w:p>
    <w:p w14:paraId="0608AABF">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Alternative 3: The alternative Water sources.</w:t>
      </w:r>
    </w:p>
    <w:p w14:paraId="158B18B0">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Alternative 4: Alternative power sources for the intakes</w:t>
      </w:r>
    </w:p>
    <w:p w14:paraId="143ECD5D">
      <w:pPr>
        <w:pStyle w:val="117"/>
      </w:pPr>
      <w:bookmarkStart w:id="163" w:name="_Toc121232350"/>
      <w:bookmarkStart w:id="164" w:name="_Toc170722964"/>
      <w:bookmarkStart w:id="165" w:name="_Toc179904046"/>
      <w:r>
        <w:t xml:space="preserve">4.1 </w:t>
      </w:r>
      <w:r>
        <w:tab/>
      </w:r>
      <w:r>
        <w:t>The “no project” alternative</w:t>
      </w:r>
      <w:bookmarkEnd w:id="163"/>
      <w:bookmarkEnd w:id="164"/>
      <w:bookmarkEnd w:id="165"/>
    </w:p>
    <w:p w14:paraId="48592FD1">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Under the No-Nothing Alternative, no FSTP will be built and operated, and the insanitary conditions associated with the dispersal of raw untreated faecal sludge on lands surround the town will continue. The do-nothing alternative would mean that land and water and ultimately Wajir will continue to be polluted and loaded with untreated faecal matter and potential disease vectors.</w:t>
      </w:r>
    </w:p>
    <w:p w14:paraId="208C4643">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This option implies that;</w:t>
      </w:r>
    </w:p>
    <w:p w14:paraId="0882E1AA">
      <w:pPr>
        <w:pStyle w:val="78"/>
        <w:tabs>
          <w:tab w:val="left" w:pos="8820"/>
        </w:tabs>
        <w:spacing w:before="0" w:line="240" w:lineRule="auto"/>
        <w:ind w:left="709" w:right="-25"/>
        <w:rPr>
          <w:rFonts w:ascii="Arial Narrow" w:hAnsi="Arial Narrow" w:eastAsia="Times New Roman" w:cs="Times New Roman"/>
          <w:szCs w:val="22"/>
          <w:lang w:eastAsia="en-US"/>
        </w:rPr>
      </w:pPr>
    </w:p>
    <w:p w14:paraId="407029F1">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There will be no improved modern human waste management activities;</w:t>
      </w:r>
    </w:p>
    <w:p w14:paraId="2A05E5D5">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Unavailability of sufficient sanitation services;</w:t>
      </w:r>
    </w:p>
    <w:p w14:paraId="3F4EE9B5">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No Improved surrounding of the project area attracting more settlements within the area;</w:t>
      </w:r>
    </w:p>
    <w:p w14:paraId="5168899D">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No Improved infrastructure within the area that will include road upgrading, electricity connection, water connection among others;</w:t>
      </w:r>
    </w:p>
    <w:p w14:paraId="3274231A">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No Increased capacity of the sanitation service chain to accommodate future increased population.</w:t>
      </w:r>
    </w:p>
    <w:p w14:paraId="2C7378D5">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No employment creation at the local level</w:t>
      </w:r>
    </w:p>
    <w:p w14:paraId="64EF5BCB">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No Boost on investor confidence in the sanitation sector due to un-operational project that has already been invested in.</w:t>
      </w:r>
    </w:p>
    <w:p w14:paraId="7A9DF78C">
      <w:pPr>
        <w:pStyle w:val="78"/>
        <w:tabs>
          <w:tab w:val="left" w:pos="8820"/>
        </w:tabs>
        <w:spacing w:before="0" w:line="240" w:lineRule="auto"/>
        <w:ind w:left="709" w:right="-25"/>
        <w:rPr>
          <w:rFonts w:ascii="Arial Narrow" w:hAnsi="Arial Narrow" w:eastAsia="Times New Roman" w:cs="Times New Roman"/>
          <w:szCs w:val="22"/>
          <w:lang w:eastAsia="en-US"/>
        </w:rPr>
      </w:pPr>
    </w:p>
    <w:p w14:paraId="4DA16179">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Therefore, if the no option will be pursued it is likely that we may lose more than what is to be gained if the proposed project is to be implemented.</w:t>
      </w:r>
    </w:p>
    <w:p w14:paraId="432539EC">
      <w:pPr>
        <w:pStyle w:val="117"/>
      </w:pPr>
      <w:bookmarkStart w:id="166" w:name="_Toc170722965"/>
      <w:bookmarkStart w:id="167" w:name="_Toc121232351"/>
      <w:bookmarkStart w:id="168" w:name="_Toc179904047"/>
      <w:r>
        <w:t xml:space="preserve">4.2 </w:t>
      </w:r>
      <w:r>
        <w:tab/>
      </w:r>
      <w:r>
        <w:t>The ‘yes’ project alternative</w:t>
      </w:r>
      <w:bookmarkEnd w:id="166"/>
      <w:bookmarkEnd w:id="167"/>
      <w:bookmarkEnd w:id="168"/>
    </w:p>
    <w:p w14:paraId="062BD9D8">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This was considered a viable option. This option was considered viable as opposed to the ‘no option’ because the yes project alternative implies that the project be implemented and once implemented there will be a number of gains that will be realized including the following;</w:t>
      </w:r>
    </w:p>
    <w:p w14:paraId="03DA9EBF">
      <w:pPr>
        <w:pStyle w:val="78"/>
        <w:tabs>
          <w:tab w:val="left" w:pos="8820"/>
        </w:tabs>
        <w:spacing w:before="0" w:line="240" w:lineRule="auto"/>
        <w:ind w:left="709" w:right="-25"/>
        <w:rPr>
          <w:rFonts w:ascii="Arial Narrow" w:hAnsi="Arial Narrow" w:eastAsia="Times New Roman" w:cs="Times New Roman"/>
          <w:szCs w:val="22"/>
          <w:lang w:eastAsia="en-US"/>
        </w:rPr>
      </w:pPr>
    </w:p>
    <w:p w14:paraId="5B50F568">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Improved modern sanitation and operation from the proposed project;</w:t>
      </w:r>
    </w:p>
    <w:p w14:paraId="4BE36AA0">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Availability of sufficient sanitation services to the community;</w:t>
      </w:r>
    </w:p>
    <w:p w14:paraId="6E7E5FC7">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Improved surrounding of the project area attracting more settlements within the area;</w:t>
      </w:r>
    </w:p>
    <w:p w14:paraId="012D4577">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Improved infrastructure within the area that will include road upgrading, electricity connection, water connection among others;</w:t>
      </w:r>
    </w:p>
    <w:p w14:paraId="40CE968F">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Increased capacity of the sanitation service chain to accommodate future increased population.</w:t>
      </w:r>
    </w:p>
    <w:p w14:paraId="5072CBDC">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Employment creation at the local level</w:t>
      </w:r>
    </w:p>
    <w:p w14:paraId="5F03890B">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Boost on investor confidence in the sanitation sector.</w:t>
      </w:r>
    </w:p>
    <w:p w14:paraId="25AD47D6">
      <w:pPr>
        <w:pStyle w:val="289"/>
        <w:numPr>
          <w:ilvl w:val="0"/>
          <w:numId w:val="29"/>
        </w:numPr>
        <w:tabs>
          <w:tab w:val="left" w:pos="709"/>
          <w:tab w:val="left" w:pos="8931"/>
          <w:tab w:val="left" w:pos="9090"/>
        </w:tabs>
        <w:spacing w:before="0"/>
        <w:ind w:left="1440" w:right="-25" w:hanging="720"/>
        <w:rPr>
          <w:rFonts w:ascii="Arial Narrow" w:hAnsi="Arial Narrow" w:cs="Times New Roman"/>
          <w:iCs/>
          <w:szCs w:val="22"/>
          <w:lang w:eastAsia="en-US"/>
        </w:rPr>
      </w:pPr>
      <w:r>
        <w:rPr>
          <w:rFonts w:ascii="Arial Narrow" w:hAnsi="Arial Narrow" w:cs="Times New Roman"/>
          <w:iCs/>
          <w:szCs w:val="22"/>
          <w:lang w:eastAsia="en-US"/>
        </w:rPr>
        <w:t>Development and improvement of local infrastructure.</w:t>
      </w:r>
    </w:p>
    <w:p w14:paraId="03A9923F">
      <w:pPr>
        <w:pStyle w:val="117"/>
        <w:rPr>
          <w:lang w:val="en-GB"/>
        </w:rPr>
      </w:pPr>
      <w:bookmarkStart w:id="169" w:name="_Toc179904048"/>
      <w:r>
        <w:t xml:space="preserve">4.3 </w:t>
      </w:r>
      <w:r>
        <w:tab/>
      </w:r>
      <w:r>
        <w:t>Alternative FSTP Location</w:t>
      </w:r>
      <w:bookmarkEnd w:id="169"/>
      <w:r>
        <w:t xml:space="preserve"> </w:t>
      </w:r>
    </w:p>
    <w:p w14:paraId="38A54BE4">
      <w:pPr>
        <w:pStyle w:val="78"/>
        <w:keepNext/>
        <w:keepLines/>
        <w:tabs>
          <w:tab w:val="left" w:pos="8820"/>
        </w:tabs>
        <w:spacing w:before="0" w:line="240" w:lineRule="auto"/>
        <w:ind w:left="709" w:right="-23"/>
        <w:rPr>
          <w:rFonts w:ascii="Arial Narrow" w:hAnsi="Arial Narrow" w:eastAsia="Times New Roman" w:cs="Times New Roman"/>
          <w:szCs w:val="22"/>
          <w:lang w:eastAsia="en-US"/>
        </w:rPr>
      </w:pPr>
      <w:r>
        <w:rPr>
          <w:rFonts w:ascii="Arial Narrow" w:hAnsi="Arial Narrow" w:eastAsia="Times New Roman" w:cs="Times New Roman"/>
          <w:szCs w:val="22"/>
          <w:lang w:eastAsia="en-US"/>
        </w:rPr>
        <w:t xml:space="preserve">Selection of the FSTP location has been done by applying the criteria listed above. There were no options to be considered. The fact that the selected location is located on land that did not require acquisition because it was already Public Land as attached in </w:t>
      </w:r>
      <w:r>
        <w:rPr>
          <w:rFonts w:ascii="Arial Narrow" w:hAnsi="Arial Narrow" w:eastAsia="Times New Roman" w:cs="Times New Roman"/>
          <w:b/>
          <w:szCs w:val="22"/>
          <w:lang w:eastAsia="en-US"/>
        </w:rPr>
        <w:fldChar w:fldCharType="begin"/>
      </w:r>
      <w:r>
        <w:rPr>
          <w:rFonts w:ascii="Arial Narrow" w:hAnsi="Arial Narrow" w:eastAsia="Times New Roman" w:cs="Times New Roman"/>
          <w:b/>
          <w:szCs w:val="22"/>
          <w:lang w:eastAsia="en-US"/>
        </w:rPr>
        <w:instrText xml:space="preserve"> REF _Ref179552175 \h  \* MERGEFORMAT </w:instrText>
      </w:r>
      <w:r>
        <w:rPr>
          <w:rFonts w:ascii="Arial Narrow" w:hAnsi="Arial Narrow" w:eastAsia="Times New Roman" w:cs="Times New Roman"/>
          <w:b/>
          <w:szCs w:val="22"/>
          <w:lang w:eastAsia="en-US"/>
        </w:rPr>
        <w:fldChar w:fldCharType="separate"/>
      </w:r>
      <w:r>
        <w:rPr>
          <w:rFonts w:ascii="Arial Narrow" w:hAnsi="Arial Narrow"/>
          <w:b/>
        </w:rPr>
        <w:t>Appendix 7</w:t>
      </w:r>
      <w:r>
        <w:rPr>
          <w:rFonts w:ascii="Arial Narrow" w:hAnsi="Arial Narrow" w:eastAsia="Times New Roman" w:cs="Times New Roman"/>
          <w:b/>
          <w:szCs w:val="22"/>
          <w:lang w:eastAsia="en-US"/>
        </w:rPr>
        <w:fldChar w:fldCharType="end"/>
      </w:r>
      <w:r>
        <w:rPr>
          <w:rFonts w:ascii="Arial Narrow" w:hAnsi="Arial Narrow" w:eastAsia="Times New Roman" w:cs="Times New Roman"/>
          <w:szCs w:val="22"/>
          <w:lang w:eastAsia="en-US"/>
        </w:rPr>
        <w:t xml:space="preserve"> and the fact that it is located downwind from the town for most of the year, and still is easily accessible, indicates that few other options would offer a better choice. By the time that the ESIA study started the site had been selected already, and there were no reasons to propose or select another site.</w:t>
      </w:r>
    </w:p>
    <w:p w14:paraId="385D422B">
      <w:pPr>
        <w:pStyle w:val="117"/>
      </w:pPr>
      <w:bookmarkStart w:id="170" w:name="_Toc179904049"/>
      <w:r>
        <w:t xml:space="preserve">4.4 </w:t>
      </w:r>
      <w:r>
        <w:tab/>
      </w:r>
      <w:r>
        <w:t>Alternative Sources for Construction Materials</w:t>
      </w:r>
      <w:bookmarkEnd w:id="170"/>
      <w:r>
        <w:t xml:space="preserve"> </w:t>
      </w:r>
    </w:p>
    <w:p w14:paraId="6CC04B61">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 xml:space="preserve">Gravel, hard core stones, aggregates and sand for construction activities will be extracted from existing sites currently used as borrow sites. No other borrow areas will be opened unless the existing ones are depleted and there is an agreement with the regional and the responsible district authorities. Water for the works mainly for preparation of concrete may be drawn from groundwater or nearby streams unless it is determined that this is unsuitable for construction works. </w:t>
      </w:r>
    </w:p>
    <w:p w14:paraId="2818A753">
      <w:pPr>
        <w:pStyle w:val="117"/>
      </w:pPr>
      <w:bookmarkStart w:id="171" w:name="_Toc179904050"/>
      <w:r>
        <w:t xml:space="preserve">4.5 </w:t>
      </w:r>
      <w:r>
        <w:tab/>
      </w:r>
      <w:r>
        <w:t>Technology Alternatives</w:t>
      </w:r>
      <w:bookmarkEnd w:id="171"/>
      <w:r>
        <w:t xml:space="preserve"> </w:t>
      </w:r>
    </w:p>
    <w:p w14:paraId="4D3DA524">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As outlined in Chapter 3 above, the concept design was guided by the requirement to select a low-cost option for faecal sludge treatment.</w:t>
      </w:r>
    </w:p>
    <w:p w14:paraId="081371D7">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The Wajir FSTP design phase presents a unique opportunity to incorporate a waste-to-value plant that can address the region's waste management challenges while generating tangible benefits for the local community. By turning waste into valuable resources, the facility can also generate revenue streams that will support its ongoing operations, ensuring that it remains functional and sustainable for years to come. Building on the pre-feasibility study conducted in early 2021, Sanivation is conducting a detailed waste to value feasibility work aimed to validate pre-identified waste-to-value (W2V) options for Wajir. Sanivation is collaborating closely with WAJWASCO to select the most suitable W2V concept for the Wajir FSTP. Sanivation's approach includes the following key activities;</w:t>
      </w:r>
    </w:p>
    <w:p w14:paraId="13B28812">
      <w:pPr>
        <w:pStyle w:val="78"/>
        <w:tabs>
          <w:tab w:val="left" w:pos="8820"/>
        </w:tabs>
        <w:spacing w:before="0" w:line="240" w:lineRule="auto"/>
        <w:ind w:left="709" w:right="-25"/>
        <w:rPr>
          <w:rFonts w:ascii="Arial Narrow" w:hAnsi="Arial Narrow" w:eastAsia="Times New Roman" w:cs="Times New Roman"/>
          <w:szCs w:val="22"/>
          <w:lang w:eastAsia="en-US"/>
        </w:rPr>
      </w:pPr>
    </w:p>
    <w:p w14:paraId="6D030192">
      <w:pPr>
        <w:pStyle w:val="78"/>
        <w:numPr>
          <w:ilvl w:val="0"/>
          <w:numId w:val="33"/>
        </w:numPr>
        <w:tabs>
          <w:tab w:val="left" w:pos="8820"/>
        </w:tabs>
        <w:spacing w:before="0" w:line="240" w:lineRule="auto"/>
        <w:ind w:left="1418" w:right="-25" w:hanging="709"/>
        <w:rPr>
          <w:rFonts w:ascii="Arial Narrow" w:hAnsi="Arial Narrow" w:eastAsia="Times New Roman" w:cs="Times New Roman"/>
          <w:szCs w:val="22"/>
          <w:lang w:eastAsia="en-US"/>
        </w:rPr>
      </w:pPr>
      <w:r>
        <w:rPr>
          <w:rFonts w:ascii="Arial Narrow" w:hAnsi="Arial Narrow" w:eastAsia="Times New Roman" w:cs="Times New Roman"/>
          <w:b/>
          <w:szCs w:val="22"/>
          <w:lang w:eastAsia="en-US"/>
        </w:rPr>
        <w:t>Market Analysis:</w:t>
      </w:r>
      <w:r>
        <w:rPr>
          <w:rFonts w:ascii="Arial Narrow" w:hAnsi="Arial Narrow" w:eastAsia="Times New Roman" w:cs="Times New Roman"/>
          <w:szCs w:val="22"/>
          <w:lang w:eastAsia="en-US"/>
        </w:rPr>
        <w:t xml:space="preserve"> Conduct a detailed market analysis to understand the potential demand and value of different reuse options.</w:t>
      </w:r>
    </w:p>
    <w:p w14:paraId="27602E49">
      <w:pPr>
        <w:pStyle w:val="78"/>
        <w:numPr>
          <w:ilvl w:val="0"/>
          <w:numId w:val="33"/>
        </w:numPr>
        <w:tabs>
          <w:tab w:val="left" w:pos="8820"/>
        </w:tabs>
        <w:spacing w:before="0" w:line="240" w:lineRule="auto"/>
        <w:ind w:left="1418" w:right="-25" w:hanging="709"/>
        <w:rPr>
          <w:rFonts w:ascii="Arial Narrow" w:hAnsi="Arial Narrow" w:eastAsia="Times New Roman" w:cs="Times New Roman"/>
          <w:szCs w:val="22"/>
          <w:lang w:eastAsia="en-US"/>
        </w:rPr>
      </w:pPr>
      <w:r>
        <w:rPr>
          <w:rFonts w:ascii="Arial Narrow" w:hAnsi="Arial Narrow" w:eastAsia="Times New Roman" w:cs="Times New Roman"/>
          <w:b/>
          <w:szCs w:val="22"/>
          <w:lang w:eastAsia="en-US"/>
        </w:rPr>
        <w:t>Business Model Development</w:t>
      </w:r>
      <w:r>
        <w:rPr>
          <w:rFonts w:ascii="Arial Narrow" w:hAnsi="Arial Narrow" w:eastAsia="Times New Roman" w:cs="Times New Roman"/>
          <w:szCs w:val="22"/>
          <w:lang w:eastAsia="en-US"/>
        </w:rPr>
        <w:t xml:space="preserve">: Build out potential business models for validated W2V options </w:t>
      </w:r>
    </w:p>
    <w:p w14:paraId="69B6A1AC">
      <w:pPr>
        <w:pStyle w:val="78"/>
        <w:numPr>
          <w:ilvl w:val="0"/>
          <w:numId w:val="33"/>
        </w:numPr>
        <w:tabs>
          <w:tab w:val="left" w:pos="8820"/>
        </w:tabs>
        <w:spacing w:before="0" w:line="240" w:lineRule="auto"/>
        <w:ind w:left="1418" w:right="-25" w:hanging="709"/>
        <w:rPr>
          <w:rFonts w:ascii="Arial Narrow" w:hAnsi="Arial Narrow" w:eastAsia="Times New Roman" w:cs="Times New Roman"/>
          <w:szCs w:val="22"/>
          <w:lang w:eastAsia="en-US"/>
        </w:rPr>
      </w:pPr>
      <w:r>
        <w:rPr>
          <w:rFonts w:ascii="Arial Narrow" w:hAnsi="Arial Narrow" w:eastAsia="Times New Roman" w:cs="Times New Roman"/>
          <w:b/>
          <w:szCs w:val="22"/>
          <w:lang w:eastAsia="en-US"/>
        </w:rPr>
        <w:t>Finalization of W2V Concept:</w:t>
      </w:r>
      <w:r>
        <w:rPr>
          <w:rFonts w:ascii="Arial Narrow" w:hAnsi="Arial Narrow" w:eastAsia="Times New Roman" w:cs="Times New Roman"/>
          <w:szCs w:val="22"/>
          <w:lang w:eastAsia="en-US"/>
        </w:rPr>
        <w:t xml:space="preserve"> Finalize the process flow, technology, and concept for the chosen W2V option, completing the feasibility work for the project.</w:t>
      </w:r>
    </w:p>
    <w:p w14:paraId="340AD696">
      <w:pPr>
        <w:pStyle w:val="78"/>
        <w:tabs>
          <w:tab w:val="left" w:pos="8820"/>
        </w:tabs>
        <w:spacing w:before="0" w:line="240" w:lineRule="auto"/>
        <w:ind w:left="709" w:right="-25"/>
        <w:rPr>
          <w:rFonts w:ascii="Arial Narrow" w:hAnsi="Arial Narrow" w:eastAsia="Times New Roman" w:cs="Times New Roman"/>
          <w:szCs w:val="22"/>
          <w:lang w:eastAsia="en-US"/>
        </w:rPr>
      </w:pPr>
      <w:r>
        <w:rPr>
          <w:rFonts w:ascii="Arial Narrow" w:hAnsi="Arial Narrow" w:eastAsia="Times New Roman" w:cs="Times New Roman"/>
          <w:szCs w:val="22"/>
          <w:lang w:eastAsia="en-US"/>
        </w:rPr>
        <w:t>Space has been reserved in the current layout to allow for future incorporation if the study determines waste to value to be feasible.</w:t>
      </w:r>
    </w:p>
    <w:p w14:paraId="557E7589">
      <w:pPr>
        <w:pStyle w:val="78"/>
        <w:tabs>
          <w:tab w:val="left" w:pos="8820"/>
        </w:tabs>
        <w:spacing w:before="0" w:line="240" w:lineRule="auto"/>
        <w:ind w:left="709" w:right="-25"/>
        <w:rPr>
          <w:rFonts w:ascii="Arial Narrow" w:hAnsi="Arial Narrow" w:eastAsia="Times New Roman" w:cs="Times New Roman"/>
          <w:szCs w:val="22"/>
          <w:lang w:eastAsia="en-US"/>
        </w:rPr>
      </w:pPr>
    </w:p>
    <w:p w14:paraId="1F168C04">
      <w:pPr>
        <w:pStyle w:val="78"/>
        <w:tabs>
          <w:tab w:val="left" w:pos="8820"/>
        </w:tabs>
        <w:spacing w:before="0" w:line="240" w:lineRule="auto"/>
        <w:ind w:left="709" w:right="-25"/>
        <w:rPr>
          <w:rFonts w:ascii="Arial Narrow" w:hAnsi="Arial Narrow"/>
        </w:rPr>
        <w:sectPr>
          <w:headerReference r:id="rId24" w:type="default"/>
          <w:pgSz w:w="11906" w:h="16838"/>
          <w:pgMar w:top="1440" w:right="1440" w:bottom="1440" w:left="1440" w:header="708" w:footer="708" w:gutter="0"/>
          <w:cols w:space="708" w:num="1"/>
          <w:docGrid w:linePitch="360" w:charSpace="0"/>
        </w:sectPr>
      </w:pPr>
      <w:r>
        <w:rPr>
          <w:rFonts w:ascii="Arial Narrow" w:hAnsi="Arial Narrow" w:eastAsia="Times New Roman" w:cs="Times New Roman"/>
          <w:szCs w:val="22"/>
          <w:lang w:eastAsia="en-US"/>
        </w:rPr>
        <w:t>The ESIA study team has considered no other technical alternatives.</w:t>
      </w:r>
    </w:p>
    <w:p w14:paraId="790466CA">
      <w:pPr>
        <w:pStyle w:val="2"/>
      </w:pPr>
      <w:bookmarkStart w:id="172" w:name="_Toc170722968"/>
      <w:bookmarkStart w:id="173" w:name="_Toc165561301"/>
      <w:bookmarkStart w:id="174" w:name="_Toc179904051"/>
      <w:r>
        <w:t xml:space="preserve">5. </w:t>
      </w:r>
      <w:r>
        <w:tab/>
      </w:r>
      <w:r>
        <w:t>SOCIO-ECONOMIC AND ENVIRONMENTAL BASELINE INFORMATION</w:t>
      </w:r>
      <w:bookmarkEnd w:id="172"/>
      <w:bookmarkEnd w:id="173"/>
      <w:bookmarkEnd w:id="174"/>
    </w:p>
    <w:p w14:paraId="38E85E13">
      <w:pPr>
        <w:pStyle w:val="117"/>
      </w:pPr>
      <w:bookmarkStart w:id="175" w:name="_Toc162267636"/>
      <w:bookmarkStart w:id="176" w:name="_Toc170722969"/>
      <w:bookmarkStart w:id="177" w:name="_Toc179904052"/>
      <w:bookmarkStart w:id="178" w:name="_Toc165561302"/>
      <w:bookmarkStart w:id="179" w:name="_Toc156294695"/>
      <w:r>
        <w:t xml:space="preserve">5.1  </w:t>
      </w:r>
      <w:r>
        <w:tab/>
      </w:r>
      <w:r>
        <w:t>Biophysical Environmental Baseline</w:t>
      </w:r>
      <w:bookmarkEnd w:id="175"/>
      <w:bookmarkEnd w:id="176"/>
      <w:bookmarkEnd w:id="177"/>
      <w:bookmarkEnd w:id="178"/>
      <w:bookmarkEnd w:id="179"/>
    </w:p>
    <w:p w14:paraId="456DE122">
      <w:pPr>
        <w:pStyle w:val="4"/>
        <w:rPr>
          <w:lang w:eastAsia="ja-JP"/>
        </w:rPr>
      </w:pPr>
      <w:bookmarkStart w:id="180" w:name="_Toc170722970"/>
      <w:bookmarkStart w:id="181" w:name="_Toc179904053"/>
      <w:r>
        <w:rPr>
          <w:lang w:eastAsia="ja-JP"/>
        </w:rPr>
        <w:t xml:space="preserve">5.1.1 </w:t>
      </w:r>
      <w:r>
        <w:rPr>
          <w:lang w:eastAsia="ja-JP"/>
        </w:rPr>
        <w:tab/>
      </w:r>
      <w:r>
        <w:rPr>
          <w:lang w:eastAsia="ja-JP"/>
        </w:rPr>
        <w:t>Topography</w:t>
      </w:r>
      <w:bookmarkEnd w:id="180"/>
      <w:bookmarkEnd w:id="181"/>
    </w:p>
    <w:p w14:paraId="2362B436">
      <w:pPr>
        <w:tabs>
          <w:tab w:val="left" w:pos="709"/>
        </w:tabs>
        <w:ind w:left="709"/>
        <w:jc w:val="both"/>
        <w:rPr>
          <w:lang w:eastAsia="ja-JP"/>
        </w:rPr>
      </w:pPr>
      <w:r>
        <w:rPr>
          <w:lang w:eastAsia="ja-JP"/>
        </w:rPr>
        <w:t xml:space="preserve">Wajir County is mainly made of plains starting from 150 meters and rising to 460 meters above sea level. There are some hills in the Northern part of the county on the border with Ethiopia, that is, Malaba hills, which is a gazetted forest. Also a non-gazetted forest covers the lower parts of Wajir North towards Korondile. </w:t>
      </w:r>
    </w:p>
    <w:p w14:paraId="1CA853CF">
      <w:pPr>
        <w:tabs>
          <w:tab w:val="left" w:pos="709"/>
        </w:tabs>
        <w:ind w:left="709"/>
        <w:jc w:val="both"/>
        <w:rPr>
          <w:lang w:eastAsia="ja-JP"/>
        </w:rPr>
      </w:pPr>
      <w:r>
        <w:rPr>
          <w:lang w:eastAsia="ja-JP"/>
        </w:rPr>
        <w:t>The county does not have any natural water bodies such as lakes and rivers. However, during rainy seasons, some waterways have water flowing from the Northern Hilly areas towards the southern low lands for a short period. The government and some private initiatives have excavated earth pans to collect rainwater for livestock and domestic use. The area sometimes experiences flooding during the rainy seasons creating seasonal swamps, which together with drainage lines serve as grazing zones during dry season and are used for cultivation during the rainy seasons. These seasonal swamps are in Lagboghol and in the western and southern parts of Habaswein.</w:t>
      </w:r>
    </w:p>
    <w:p w14:paraId="00A3FE06">
      <w:pPr>
        <w:pStyle w:val="4"/>
        <w:rPr>
          <w:lang w:eastAsia="ja-JP"/>
        </w:rPr>
      </w:pPr>
      <w:bookmarkStart w:id="182" w:name="_Toc179904054"/>
      <w:bookmarkStart w:id="183" w:name="_Toc170722971"/>
      <w:r>
        <w:rPr>
          <w:lang w:eastAsia="ja-JP"/>
        </w:rPr>
        <w:t xml:space="preserve">5.1.2 </w:t>
      </w:r>
      <w:r>
        <w:rPr>
          <w:lang w:eastAsia="ja-JP"/>
        </w:rPr>
        <w:tab/>
      </w:r>
      <w:r>
        <w:rPr>
          <w:lang w:eastAsia="ja-JP"/>
        </w:rPr>
        <w:t>Climate</w:t>
      </w:r>
      <w:bookmarkEnd w:id="182"/>
      <w:bookmarkEnd w:id="183"/>
      <w:r>
        <w:rPr>
          <w:lang w:eastAsia="ja-JP"/>
        </w:rPr>
        <w:t xml:space="preserve"> </w:t>
      </w:r>
    </w:p>
    <w:p w14:paraId="2E54ED25">
      <w:pPr>
        <w:tabs>
          <w:tab w:val="left" w:pos="709"/>
        </w:tabs>
        <w:ind w:left="709"/>
        <w:jc w:val="both"/>
        <w:rPr>
          <w:lang w:eastAsia="ja-JP"/>
        </w:rPr>
      </w:pPr>
      <w:r>
        <w:rPr>
          <w:lang w:eastAsia="ja-JP"/>
        </w:rPr>
        <w:t>The average precipitation is 240mm Annually. Historical data show that July is the driest month with an average of 1mm of rain; while April is the wettest month with an average of 68mm. The Northern parts of the county, Bute, Gurar and surrounding areas receive higher rainfall of between 500 and 700mm. Average temperature is 27.90°C; The warmest months are February &amp; March with an average of 36°C while the coolest months are June, July &amp; August with an average low of 21 °C.</w:t>
      </w:r>
    </w:p>
    <w:p w14:paraId="0B1A6A6E">
      <w:pPr>
        <w:tabs>
          <w:tab w:val="left" w:pos="709"/>
        </w:tabs>
        <w:ind w:left="709"/>
        <w:jc w:val="both"/>
        <w:rPr>
          <w:lang w:eastAsia="ja-JP"/>
        </w:rPr>
      </w:pPr>
      <w:r>
        <w:rPr>
          <w:lang w:eastAsia="ja-JP"/>
        </w:rPr>
        <w:t>The County experiences frequent droughts especially from June to September, which impact negatively on livestock, crop farming, education, nutrition, access to water and pasture. On the other hand, rain sometimes cause flash floods which damage infrastructure and may kill goats and sheep. The frequency and intensity of the extreme climatic events has been increasing in the recent past disrupting the livelihood of the communities.</w:t>
      </w:r>
    </w:p>
    <w:p w14:paraId="0F71AF9B">
      <w:pPr>
        <w:pStyle w:val="4"/>
        <w:rPr>
          <w:lang w:eastAsia="ja-JP"/>
        </w:rPr>
      </w:pPr>
      <w:bookmarkStart w:id="184" w:name="_Toc179904055"/>
      <w:bookmarkStart w:id="185" w:name="_Toc170722972"/>
      <w:r>
        <w:rPr>
          <w:lang w:eastAsia="ja-JP"/>
        </w:rPr>
        <w:t>5.1.3</w:t>
      </w:r>
      <w:bookmarkStart w:id="186" w:name="_Toc173301443"/>
      <w:r>
        <w:rPr>
          <w:lang w:eastAsia="ja-JP"/>
        </w:rPr>
        <w:t xml:space="preserve"> </w:t>
      </w:r>
      <w:r>
        <w:rPr>
          <w:lang w:eastAsia="ja-JP"/>
        </w:rPr>
        <w:tab/>
      </w:r>
      <w:r>
        <w:rPr>
          <w:lang w:val="en-GB" w:eastAsia="ja-JP"/>
        </w:rPr>
        <w:t>Geology and Soils</w:t>
      </w:r>
      <w:bookmarkEnd w:id="184"/>
      <w:bookmarkEnd w:id="186"/>
    </w:p>
    <w:p w14:paraId="176A7A88">
      <w:pPr>
        <w:tabs>
          <w:tab w:val="left" w:pos="709"/>
        </w:tabs>
        <w:ind w:left="709"/>
        <w:jc w:val="both"/>
        <w:rPr>
          <w:lang w:val="en-GB" w:eastAsia="ja-JP"/>
        </w:rPr>
      </w:pPr>
      <w:r>
        <w:rPr>
          <w:b/>
          <w:lang w:val="en-GB" w:eastAsia="ja-JP"/>
        </w:rPr>
        <w:t>Geology:</w:t>
      </w:r>
      <w:r>
        <w:rPr>
          <w:lang w:val="en-GB" w:eastAsia="ja-JP"/>
        </w:rPr>
        <w:t xml:space="preserve"> Wajir County is part of the broader geological formation of the Eastern Rift Valley in Kenya. Sedimentary rocks, volcanic formations, and alluvial deposits characterize the region. Specific geological studies and maps for Wajir County may be found in reports and publications from the Geological Society of Kenya or academic institutions conducting research in the area.</w:t>
      </w:r>
    </w:p>
    <w:p w14:paraId="6AEB6B7D">
      <w:pPr>
        <w:tabs>
          <w:tab w:val="left" w:pos="709"/>
        </w:tabs>
        <w:ind w:left="709"/>
        <w:jc w:val="both"/>
        <w:rPr>
          <w:lang w:val="en-GB" w:eastAsia="ja-JP"/>
        </w:rPr>
      </w:pPr>
      <w:r>
        <w:rPr>
          <w:b/>
          <w:lang w:val="en-GB" w:eastAsia="ja-JP"/>
        </w:rPr>
        <w:t xml:space="preserve">Soils: </w:t>
      </w:r>
      <w:r>
        <w:rPr>
          <w:lang w:val="en-GB" w:eastAsia="ja-JP"/>
        </w:rPr>
        <w:t>The soils in Wajir County vary but are generally sandy and characterized as arid and semi-arid soils. They often have low organic matter content and fertility. Soil types include sandy loams, sandy clays, and in some areas, calcareous soils. Soil fertility and composition influence agricultural practices and water retention capabilities, which are crucial for sustaining livelihoods in the region.</w:t>
      </w:r>
    </w:p>
    <w:p w14:paraId="648785D1">
      <w:pPr>
        <w:pStyle w:val="4"/>
        <w:rPr>
          <w:lang w:eastAsia="ja-JP"/>
        </w:rPr>
      </w:pPr>
      <w:bookmarkStart w:id="187" w:name="_Toc179904056"/>
      <w:bookmarkStart w:id="188" w:name="_Toc173301444"/>
      <w:r>
        <w:rPr>
          <w:lang w:eastAsia="ja-JP"/>
        </w:rPr>
        <w:t xml:space="preserve">5.1.4 </w:t>
      </w:r>
      <w:r>
        <w:rPr>
          <w:lang w:eastAsia="ja-JP"/>
        </w:rPr>
        <w:tab/>
      </w:r>
      <w:r>
        <w:rPr>
          <w:lang w:eastAsia="ja-JP"/>
        </w:rPr>
        <w:t>Flora</w:t>
      </w:r>
      <w:bookmarkEnd w:id="187"/>
      <w:bookmarkEnd w:id="188"/>
      <w:r>
        <w:rPr>
          <w:lang w:eastAsia="ja-JP"/>
        </w:rPr>
        <w:t xml:space="preserve"> </w:t>
      </w:r>
    </w:p>
    <w:p w14:paraId="3E259EA2">
      <w:pPr>
        <w:tabs>
          <w:tab w:val="left" w:pos="709"/>
        </w:tabs>
        <w:ind w:left="709"/>
        <w:jc w:val="both"/>
        <w:rPr>
          <w:lang w:eastAsia="ja-JP" w:bidi="en-US"/>
        </w:rPr>
      </w:pPr>
      <w:r>
        <w:rPr>
          <w:lang w:eastAsia="ja-JP" w:bidi="en-US"/>
        </w:rPr>
        <w:t xml:space="preserve">Flora in Wajir County, Kenya, primarily consists of vegetation adapted to semi-arid to arid conditions. The plant life in this region plays a crucial role in sustaining local ecosystems and supporting livelihoods. Here. Some key aspects of the flora in Wajir County are; acacia species trees, which are prominent within the area, they are well adapted to arid environments and provide important resources such as fodder for livestock, wood for fuel, and shade, </w:t>
      </w:r>
      <w:r>
        <w:rPr>
          <w:b/>
          <w:bCs/>
          <w:lang w:eastAsia="ja-JP" w:bidi="en-US"/>
        </w:rPr>
        <w:t>Commiphora Species</w:t>
      </w:r>
      <w:r>
        <w:rPr>
          <w:b/>
          <w:lang w:eastAsia="ja-JP" w:bidi="en-US"/>
        </w:rPr>
        <w:t>:</w:t>
      </w:r>
      <w:r>
        <w:rPr>
          <w:lang w:eastAsia="ja-JP" w:bidi="en-US"/>
        </w:rPr>
        <w:t xml:space="preserve"> Species within the Commiphora genus, such as Commiphora africana (African Myrrh). Local communities know these shrubs for their resin and medicinal uses. </w:t>
      </w:r>
    </w:p>
    <w:p w14:paraId="4443826B">
      <w:pPr>
        <w:keepNext/>
        <w:keepLines/>
        <w:tabs>
          <w:tab w:val="left" w:pos="709"/>
        </w:tabs>
        <w:ind w:left="709"/>
        <w:jc w:val="both"/>
        <w:rPr>
          <w:lang w:eastAsia="ja-JP"/>
        </w:rPr>
      </w:pPr>
      <w:r>
        <w:rPr>
          <w:lang w:eastAsia="ja-JP" w:bidi="en-US"/>
        </w:rPr>
        <w:t>The flora of Wajir County not only supports local biodiversity but also plays a crucial role in providing ecosystem services and sustaining the livelihoods of pastoralist communities. Conservation efforts and sustainable land management practices are essential for preserving this fragile ecosystem. The distribution of flora in Wajir County varies with altitude and soil type. In lower-lying areas, you find more drought-resistant species, while higher elevations may support different types of vegetation adapted to slightly cooler and more humid conditions.</w:t>
      </w:r>
      <w:r>
        <w:rPr>
          <w:lang w:eastAsia="ja-JP"/>
        </w:rPr>
        <w:t xml:space="preserve"> </w:t>
      </w:r>
    </w:p>
    <w:p w14:paraId="6CEF2D57">
      <w:pPr>
        <w:tabs>
          <w:tab w:val="left" w:pos="709"/>
        </w:tabs>
        <w:ind w:left="709"/>
        <w:jc w:val="both"/>
        <w:rPr>
          <w:lang w:eastAsia="ja-JP"/>
        </w:rPr>
      </w:pPr>
      <w:r>
        <w:rPr>
          <w:lang w:eastAsia="ja-JP"/>
        </w:rPr>
        <w:pict>
          <v:shape id="_x0000_i1025" o:spt="75" type="#_x0000_t75" style="height:286pt;width:179pt;" filled="f" o:preferrelative="t" stroked="f" coordsize="21600,21600">
            <v:path/>
            <v:fill on="f" focussize="0,0"/>
            <v:stroke on="f" joinstyle="miter"/>
            <v:imagedata r:id="rId58" croptop="6067f" o:title="WhatsApp Image 2024-08-04 at 12"/>
            <o:lock v:ext="edit" aspectratio="t"/>
            <w10:wrap type="none"/>
            <w10:anchorlock/>
          </v:shape>
        </w:pict>
      </w:r>
      <w:r>
        <w:rPr>
          <w:lang w:eastAsia="ja-JP"/>
        </w:rPr>
        <w:pict>
          <v:shape id="_x0000_i1026" o:spt="75" type="#_x0000_t75" style="height:285.5pt;width:194.5pt;" filled="f" o:preferrelative="t" stroked="f" coordsize="21600,21600">
            <v:path/>
            <v:fill on="f" focussize="0,0"/>
            <v:stroke on="f" joinstyle="miter"/>
            <v:imagedata r:id="rId59" croptop="9382f" o:title="WhatsApp Image 2024-08-04 at 12"/>
            <o:lock v:ext="edit" aspectratio="t"/>
            <w10:wrap type="none"/>
            <w10:anchorlock/>
          </v:shape>
        </w:pict>
      </w:r>
    </w:p>
    <w:p w14:paraId="2EAB6714">
      <w:pPr>
        <w:tabs>
          <w:tab w:val="left" w:pos="709"/>
        </w:tabs>
        <w:ind w:left="709"/>
        <w:jc w:val="both"/>
        <w:rPr>
          <w:i/>
          <w:iCs/>
          <w:lang w:eastAsia="ja-JP"/>
        </w:rPr>
      </w:pPr>
      <w:bookmarkStart w:id="189" w:name="_Toc173252892"/>
      <w:bookmarkStart w:id="190" w:name="_Toc179551687"/>
      <w:r>
        <w:rPr>
          <w:i/>
          <w:iCs/>
          <w:lang w:eastAsia="ja-JP" w:bidi="en-US"/>
        </w:rPr>
        <w:t xml:space="preserve">Figure </w:t>
      </w:r>
      <w:r>
        <w:rPr>
          <w:i/>
          <w:iCs/>
          <w:lang w:eastAsia="ja-JP" w:bidi="en-US"/>
        </w:rPr>
        <w:fldChar w:fldCharType="begin"/>
      </w:r>
      <w:r>
        <w:rPr>
          <w:i/>
          <w:iCs/>
          <w:lang w:eastAsia="ja-JP" w:bidi="en-US"/>
        </w:rPr>
        <w:instrText xml:space="preserve"> SEQ Figure \* ARABIC </w:instrText>
      </w:r>
      <w:r>
        <w:rPr>
          <w:i/>
          <w:iCs/>
          <w:lang w:eastAsia="ja-JP" w:bidi="en-US"/>
        </w:rPr>
        <w:fldChar w:fldCharType="separate"/>
      </w:r>
      <w:r>
        <w:rPr>
          <w:i/>
          <w:iCs/>
          <w:lang w:eastAsia="ja-JP" w:bidi="en-US"/>
        </w:rPr>
        <w:t>2</w:t>
      </w:r>
      <w:r>
        <w:rPr>
          <w:lang w:eastAsia="ja-JP"/>
        </w:rPr>
        <w:fldChar w:fldCharType="end"/>
      </w:r>
      <w:r>
        <w:rPr>
          <w:i/>
          <w:iCs/>
          <w:lang w:eastAsia="ja-JP"/>
        </w:rPr>
        <w:t xml:space="preserve">: </w:t>
      </w:r>
      <w:bookmarkEnd w:id="189"/>
      <w:r>
        <w:rPr>
          <w:i/>
          <w:iCs/>
          <w:lang w:eastAsia="ja-JP"/>
        </w:rPr>
        <w:t>Plant cover in the proposed project site</w:t>
      </w:r>
      <w:bookmarkEnd w:id="190"/>
    </w:p>
    <w:p w14:paraId="009E4981">
      <w:pPr>
        <w:pStyle w:val="4"/>
        <w:rPr>
          <w:lang w:eastAsia="ja-JP"/>
        </w:rPr>
      </w:pPr>
      <w:bookmarkStart w:id="191" w:name="_Toc173301445"/>
      <w:bookmarkStart w:id="192" w:name="_Toc179904057"/>
      <w:r>
        <w:rPr>
          <w:lang w:eastAsia="ja-JP"/>
        </w:rPr>
        <w:t>5.1.5</w:t>
      </w:r>
      <w:r>
        <w:rPr>
          <w:lang w:eastAsia="ja-JP"/>
        </w:rPr>
        <w:tab/>
      </w:r>
      <w:r>
        <w:rPr>
          <w:lang w:eastAsia="ja-JP"/>
        </w:rPr>
        <w:t xml:space="preserve"> Fauna</w:t>
      </w:r>
      <w:bookmarkEnd w:id="191"/>
      <w:bookmarkEnd w:id="192"/>
      <w:r>
        <w:rPr>
          <w:lang w:eastAsia="ja-JP"/>
        </w:rPr>
        <w:t xml:space="preserve"> </w:t>
      </w:r>
    </w:p>
    <w:p w14:paraId="52314231">
      <w:pPr>
        <w:tabs>
          <w:tab w:val="left" w:pos="709"/>
        </w:tabs>
        <w:ind w:left="709"/>
        <w:jc w:val="both"/>
        <w:rPr>
          <w:lang w:eastAsia="ja-JP"/>
        </w:rPr>
      </w:pPr>
      <w:r>
        <w:rPr>
          <w:lang w:eastAsia="ja-JP" w:bidi="en-US"/>
        </w:rPr>
        <w:t>T</w:t>
      </w:r>
      <w:r>
        <w:rPr>
          <w:lang w:eastAsia="ja-JP"/>
        </w:rPr>
        <w:t xml:space="preserve">he project area has few animals.  Marabou storks, goats, sheep, cows, camels among other animals are animals that are present within Alimaow area, which is the proposed project site. </w:t>
      </w:r>
    </w:p>
    <w:p w14:paraId="46C52486">
      <w:pPr>
        <w:tabs>
          <w:tab w:val="left" w:pos="709"/>
        </w:tabs>
        <w:ind w:left="709"/>
        <w:jc w:val="both"/>
        <w:rPr>
          <w:lang w:eastAsia="ja-JP"/>
        </w:rPr>
      </w:pPr>
      <w:r>
        <w:rPr>
          <w:lang w:eastAsia="ja-JP"/>
        </w:rPr>
        <w:pict>
          <v:shape id="_x0000_i1027" o:spt="75" type="#_x0000_t75" style="height:209pt;width:432pt;" filled="f" o:preferrelative="t" stroked="f" coordsize="21600,21600">
            <v:path/>
            <v:fill on="f" focussize="0,0"/>
            <v:stroke on="f" joinstyle="miter"/>
            <v:imagedata r:id="rId60" o:title="WhatsApp Image 2024-08-04 at 12"/>
            <o:lock v:ext="edit" aspectratio="t"/>
            <w10:wrap type="none"/>
            <w10:anchorlock/>
          </v:shape>
        </w:pict>
      </w:r>
    </w:p>
    <w:p w14:paraId="1416F08A">
      <w:pPr>
        <w:pStyle w:val="23"/>
      </w:pPr>
      <w:bookmarkStart w:id="193" w:name="_Toc179551688"/>
      <w:r>
        <w:t xml:space="preserve">Figure </w:t>
      </w:r>
      <w:r>
        <w:fldChar w:fldCharType="begin"/>
      </w:r>
      <w:r>
        <w:instrText xml:space="preserve"> SEQ Figure \* ARABIC </w:instrText>
      </w:r>
      <w:r>
        <w:fldChar w:fldCharType="separate"/>
      </w:r>
      <w:r>
        <w:t>3</w:t>
      </w:r>
      <w:r>
        <w:fldChar w:fldCharType="end"/>
      </w:r>
      <w:r>
        <w:t>: Marabou stork in the existing dumping site</w:t>
      </w:r>
      <w:bookmarkEnd w:id="193"/>
    </w:p>
    <w:p w14:paraId="4F169907">
      <w:pPr>
        <w:tabs>
          <w:tab w:val="left" w:pos="709"/>
        </w:tabs>
        <w:ind w:left="709"/>
        <w:jc w:val="both"/>
        <w:rPr>
          <w:lang w:eastAsia="ja-JP"/>
        </w:rPr>
      </w:pPr>
      <w:r>
        <w:rPr>
          <w:lang w:eastAsia="ja-JP"/>
        </w:rPr>
        <w:pict>
          <v:shape id="_x0000_i1028" o:spt="75" type="#_x0000_t75" style="height:209pt;width:430pt;" filled="f" o:preferrelative="t" stroked="f" coordsize="21600,21600">
            <v:path/>
            <v:fill on="f" focussize="0,0"/>
            <v:stroke on="f" joinstyle="miter"/>
            <v:imagedata r:id="rId61" o:title="WhatsApp Image 2024-08-04 at 12"/>
            <o:lock v:ext="edit" aspectratio="t"/>
            <w10:wrap type="none"/>
            <w10:anchorlock/>
          </v:shape>
        </w:pict>
      </w:r>
    </w:p>
    <w:p w14:paraId="30F9728B">
      <w:pPr>
        <w:pStyle w:val="23"/>
      </w:pPr>
      <w:bookmarkStart w:id="194" w:name="_Toc179551689"/>
      <w:r>
        <w:t xml:space="preserve">Figure </w:t>
      </w:r>
      <w:r>
        <w:fldChar w:fldCharType="begin"/>
      </w:r>
      <w:r>
        <w:instrText xml:space="preserve"> SEQ Figure \* ARABIC </w:instrText>
      </w:r>
      <w:r>
        <w:fldChar w:fldCharType="separate"/>
      </w:r>
      <w:r>
        <w:t>4</w:t>
      </w:r>
      <w:r>
        <w:fldChar w:fldCharType="end"/>
      </w:r>
      <w:r>
        <w:t>: Cow at the proposed site</w:t>
      </w:r>
      <w:bookmarkEnd w:id="194"/>
    </w:p>
    <w:bookmarkEnd w:id="185"/>
    <w:p w14:paraId="6CABFF88">
      <w:pPr>
        <w:pStyle w:val="4"/>
        <w:rPr>
          <w:lang w:eastAsia="ja-JP"/>
        </w:rPr>
      </w:pPr>
      <w:bookmarkStart w:id="195" w:name="_Toc179904058"/>
      <w:bookmarkStart w:id="196" w:name="_Toc170722974"/>
      <w:r>
        <w:rPr>
          <w:lang w:eastAsia="ja-JP"/>
        </w:rPr>
        <w:t xml:space="preserve">5.1.6 </w:t>
      </w:r>
      <w:r>
        <w:rPr>
          <w:lang w:eastAsia="ja-JP"/>
        </w:rPr>
        <w:tab/>
      </w:r>
      <w:r>
        <w:rPr>
          <w:lang w:eastAsia="ja-JP"/>
        </w:rPr>
        <w:t>Ecological Conditions</w:t>
      </w:r>
      <w:bookmarkEnd w:id="195"/>
      <w:bookmarkEnd w:id="196"/>
    </w:p>
    <w:p w14:paraId="1D76F7B9">
      <w:pPr>
        <w:tabs>
          <w:tab w:val="left" w:pos="709"/>
        </w:tabs>
        <w:ind w:left="709"/>
        <w:jc w:val="both"/>
        <w:rPr>
          <w:lang w:eastAsia="ja-JP"/>
        </w:rPr>
      </w:pPr>
      <w:r>
        <w:rPr>
          <w:lang w:eastAsia="ja-JP"/>
        </w:rPr>
        <w:t>Wajir has approximately 10,000 km2 of arable land out of which, 8,400 ha are under food crop production in the higher altitude regions (DALF, CGW); Available data shows that the county has a food poverty rate of 72% and majority of its inhabitants depend primarily on relief support including relief food and social protection programs because the acreage under food and cash crops is low and poverty levels are very high. The agricultural sector (mainly livestock keeping) accounts for 85% of Wajir County household income. Nomadic pastoralism is more prominent in the county and defines the lifestyle of most of the county’s inhabitants. The main livestock bred include cattle (Boran), camel (Dromedary Somali type), goats (Galla), sheep (Black head Persian), donkey and poultry (indigenous birds and hybrid layers) which is mostly practiced in Wajir Town.</w:t>
      </w:r>
    </w:p>
    <w:p w14:paraId="780A3CA9">
      <w:pPr>
        <w:tabs>
          <w:tab w:val="left" w:pos="709"/>
        </w:tabs>
        <w:ind w:left="709"/>
        <w:jc w:val="both"/>
        <w:rPr>
          <w:lang w:eastAsia="ja-JP"/>
        </w:rPr>
      </w:pPr>
      <w:r>
        <w:rPr>
          <w:lang w:eastAsia="ja-JP"/>
        </w:rPr>
        <w:t>The historic climate scenario in the last decades showed an increase in drought and a moderate increase in temperature in the first wet season (January – June); the Second wet season (July-December) was characterized by an increase in precipitation and a lower increase in mean temperature. Models of future climate projections show that Wajir County will remain highly susceptible to drought and high temperatures. Over the next decades, we expect high increases in the length of drought spells, moderate increases in mean temperatures and moderate decreases in intense rain in both seasons.</w:t>
      </w:r>
      <w:bookmarkStart w:id="197" w:name="_Toc170722976"/>
      <w:bookmarkStart w:id="198" w:name="_Toc165561305"/>
    </w:p>
    <w:p w14:paraId="3BC61209">
      <w:pPr>
        <w:pStyle w:val="117"/>
      </w:pPr>
      <w:bookmarkStart w:id="199" w:name="_Toc179904059"/>
      <w:r>
        <w:t xml:space="preserve">5.2 </w:t>
      </w:r>
      <w:r>
        <w:tab/>
      </w:r>
      <w:r>
        <w:t>Socio-Economic Baseline</w:t>
      </w:r>
      <w:bookmarkEnd w:id="197"/>
      <w:bookmarkEnd w:id="198"/>
      <w:bookmarkEnd w:id="199"/>
    </w:p>
    <w:p w14:paraId="38AEB9D0">
      <w:pPr>
        <w:pStyle w:val="4"/>
        <w:rPr>
          <w:lang w:eastAsia="ja-JP"/>
        </w:rPr>
      </w:pPr>
      <w:bookmarkStart w:id="200" w:name="_Toc170722977"/>
      <w:bookmarkStart w:id="201" w:name="_Toc179904060"/>
      <w:r>
        <w:rPr>
          <w:lang w:eastAsia="ja-JP"/>
        </w:rPr>
        <w:t xml:space="preserve">5.2.1 </w:t>
      </w:r>
      <w:r>
        <w:rPr>
          <w:lang w:eastAsia="ja-JP"/>
        </w:rPr>
        <w:tab/>
      </w:r>
      <w:r>
        <w:rPr>
          <w:lang w:eastAsia="ja-JP"/>
        </w:rPr>
        <w:t xml:space="preserve">Administrative </w:t>
      </w:r>
      <w:bookmarkEnd w:id="200"/>
      <w:r>
        <w:rPr>
          <w:lang w:eastAsia="ja-JP"/>
        </w:rPr>
        <w:t>and Political Units</w:t>
      </w:r>
      <w:bookmarkEnd w:id="201"/>
    </w:p>
    <w:p w14:paraId="221B3289">
      <w:pPr>
        <w:tabs>
          <w:tab w:val="left" w:pos="709"/>
        </w:tabs>
        <w:ind w:left="709"/>
        <w:jc w:val="both"/>
        <w:rPr>
          <w:lang w:eastAsia="ja-JP"/>
        </w:rPr>
      </w:pPr>
      <w:r>
        <w:rPr>
          <w:lang w:eastAsia="ja-JP"/>
        </w:rPr>
        <w:t>The County has six constituencies namely: Wajir South, Wajir North, Wajir East, Wajir West, Eldas and Tarbaj; and thirty (30) wards. The County Government uses the six constituencies as administrative areas/units of devolution. Effectively, as at October 2022, the County Government has six sub-counties each headed by an administrator. Critical services such as health, revenue, public works, roads, and water have offices and officers deployed and stationed at the Sub-counties. There are plans to deploy economic planning staff to operationalize the offices to offer coordination of the county government services as well as linkages with the national government and development partners at the sub-county level. However, the village administrative units have not been operationalized.</w:t>
      </w:r>
    </w:p>
    <w:p w14:paraId="086E80AC">
      <w:pPr>
        <w:pStyle w:val="23"/>
      </w:pPr>
      <w:bookmarkStart w:id="202" w:name="_Toc179556817"/>
      <w:r>
        <w:t xml:space="preserve">Table </w:t>
      </w:r>
      <w:r>
        <w:fldChar w:fldCharType="begin"/>
      </w:r>
      <w:r>
        <w:instrText xml:space="preserve"> SEQ Table \* ARABIC </w:instrText>
      </w:r>
      <w:r>
        <w:fldChar w:fldCharType="separate"/>
      </w:r>
      <w:r>
        <w:t>6</w:t>
      </w:r>
      <w:r>
        <w:fldChar w:fldCharType="end"/>
      </w:r>
      <w:r>
        <w:t>: County Government Administrative wards</w:t>
      </w:r>
      <w:bookmarkEnd w:id="202"/>
    </w:p>
    <w:tbl>
      <w:tblPr>
        <w:tblStyle w:val="86"/>
        <w:tblW w:w="0" w:type="auto"/>
        <w:tblInd w:w="84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62"/>
        <w:gridCol w:w="4508"/>
      </w:tblGrid>
      <w:tr w14:paraId="5D7618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62" w:type="dxa"/>
            <w:shd w:val="clear" w:color="auto" w:fill="ED7D31" w:themeFill="accent2"/>
          </w:tcPr>
          <w:p w14:paraId="124B043A">
            <w:pPr>
              <w:keepNext/>
              <w:keepLines/>
              <w:tabs>
                <w:tab w:val="left" w:pos="709"/>
              </w:tabs>
              <w:spacing w:after="0"/>
              <w:ind w:left="709"/>
              <w:jc w:val="both"/>
              <w:rPr>
                <w:rFonts w:cstheme="minorHAnsi"/>
                <w:b/>
              </w:rPr>
            </w:pPr>
            <w:r>
              <w:rPr>
                <w:rFonts w:cstheme="minorHAnsi"/>
                <w:b/>
              </w:rPr>
              <w:t>Sub-County</w:t>
            </w:r>
          </w:p>
        </w:tc>
        <w:tc>
          <w:tcPr>
            <w:tcW w:w="4508" w:type="dxa"/>
            <w:shd w:val="clear" w:color="auto" w:fill="ED7D31" w:themeFill="accent2"/>
          </w:tcPr>
          <w:p w14:paraId="62EDF252">
            <w:pPr>
              <w:keepNext/>
              <w:keepLines/>
              <w:tabs>
                <w:tab w:val="left" w:pos="709"/>
              </w:tabs>
              <w:spacing w:after="0"/>
              <w:ind w:left="709"/>
              <w:jc w:val="both"/>
              <w:rPr>
                <w:rFonts w:cstheme="minorHAnsi"/>
                <w:b/>
              </w:rPr>
            </w:pPr>
            <w:r>
              <w:rPr>
                <w:rFonts w:cstheme="minorHAnsi"/>
                <w:b/>
              </w:rPr>
              <w:t>No. of wards</w:t>
            </w:r>
          </w:p>
        </w:tc>
      </w:tr>
      <w:tr w14:paraId="7643D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62" w:type="dxa"/>
          </w:tcPr>
          <w:p w14:paraId="16853930">
            <w:pPr>
              <w:keepNext/>
              <w:keepLines/>
              <w:tabs>
                <w:tab w:val="left" w:pos="709"/>
              </w:tabs>
              <w:spacing w:after="0"/>
              <w:ind w:left="709"/>
              <w:jc w:val="both"/>
              <w:rPr>
                <w:rFonts w:cstheme="minorHAnsi"/>
              </w:rPr>
            </w:pPr>
            <w:r>
              <w:rPr>
                <w:rFonts w:cstheme="minorHAnsi"/>
              </w:rPr>
              <w:t>Wajir East</w:t>
            </w:r>
          </w:p>
        </w:tc>
        <w:tc>
          <w:tcPr>
            <w:tcW w:w="4508" w:type="dxa"/>
          </w:tcPr>
          <w:p w14:paraId="0FEF9C17">
            <w:pPr>
              <w:keepNext/>
              <w:keepLines/>
              <w:tabs>
                <w:tab w:val="left" w:pos="709"/>
              </w:tabs>
              <w:spacing w:after="0"/>
              <w:ind w:left="709"/>
              <w:jc w:val="both"/>
              <w:rPr>
                <w:rFonts w:cstheme="minorHAnsi"/>
              </w:rPr>
            </w:pPr>
            <w:r>
              <w:rPr>
                <w:rFonts w:cstheme="minorHAnsi"/>
              </w:rPr>
              <w:t>4</w:t>
            </w:r>
          </w:p>
        </w:tc>
      </w:tr>
      <w:tr w14:paraId="6C5C42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62" w:type="dxa"/>
          </w:tcPr>
          <w:p w14:paraId="2326266F">
            <w:pPr>
              <w:keepNext/>
              <w:keepLines/>
              <w:tabs>
                <w:tab w:val="left" w:pos="709"/>
              </w:tabs>
              <w:spacing w:after="0"/>
              <w:ind w:left="709"/>
              <w:jc w:val="both"/>
              <w:rPr>
                <w:rFonts w:cstheme="minorHAnsi"/>
              </w:rPr>
            </w:pPr>
            <w:r>
              <w:rPr>
                <w:rFonts w:cstheme="minorHAnsi"/>
              </w:rPr>
              <w:t>Eldas</w:t>
            </w:r>
          </w:p>
        </w:tc>
        <w:tc>
          <w:tcPr>
            <w:tcW w:w="4508" w:type="dxa"/>
          </w:tcPr>
          <w:p w14:paraId="099D2334">
            <w:pPr>
              <w:keepNext/>
              <w:keepLines/>
              <w:tabs>
                <w:tab w:val="left" w:pos="709"/>
              </w:tabs>
              <w:spacing w:after="0"/>
              <w:ind w:left="709"/>
              <w:jc w:val="both"/>
              <w:rPr>
                <w:rFonts w:cstheme="minorHAnsi"/>
              </w:rPr>
            </w:pPr>
            <w:r>
              <w:rPr>
                <w:rFonts w:cstheme="minorHAnsi"/>
              </w:rPr>
              <w:t>4</w:t>
            </w:r>
          </w:p>
        </w:tc>
      </w:tr>
      <w:tr w14:paraId="162228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62" w:type="dxa"/>
          </w:tcPr>
          <w:p w14:paraId="2A63B2B5">
            <w:pPr>
              <w:keepNext/>
              <w:keepLines/>
              <w:tabs>
                <w:tab w:val="left" w:pos="709"/>
              </w:tabs>
              <w:spacing w:after="0"/>
              <w:ind w:left="709"/>
              <w:jc w:val="both"/>
              <w:rPr>
                <w:rFonts w:cstheme="minorHAnsi"/>
              </w:rPr>
            </w:pPr>
            <w:r>
              <w:rPr>
                <w:rFonts w:cstheme="minorHAnsi"/>
              </w:rPr>
              <w:t>Tarbaj</w:t>
            </w:r>
          </w:p>
        </w:tc>
        <w:tc>
          <w:tcPr>
            <w:tcW w:w="4508" w:type="dxa"/>
          </w:tcPr>
          <w:p w14:paraId="4DCB950E">
            <w:pPr>
              <w:keepNext/>
              <w:keepLines/>
              <w:tabs>
                <w:tab w:val="left" w:pos="709"/>
              </w:tabs>
              <w:spacing w:after="0"/>
              <w:ind w:left="709"/>
              <w:jc w:val="both"/>
              <w:rPr>
                <w:rFonts w:cstheme="minorHAnsi"/>
              </w:rPr>
            </w:pPr>
            <w:r>
              <w:rPr>
                <w:rFonts w:cstheme="minorHAnsi"/>
              </w:rPr>
              <w:t>4</w:t>
            </w:r>
          </w:p>
        </w:tc>
      </w:tr>
      <w:tr w14:paraId="0B83D0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62" w:type="dxa"/>
          </w:tcPr>
          <w:p w14:paraId="378AF86E">
            <w:pPr>
              <w:keepNext/>
              <w:keepLines/>
              <w:tabs>
                <w:tab w:val="left" w:pos="709"/>
              </w:tabs>
              <w:spacing w:after="0"/>
              <w:ind w:left="709"/>
              <w:jc w:val="both"/>
              <w:rPr>
                <w:rFonts w:cstheme="minorHAnsi"/>
              </w:rPr>
            </w:pPr>
            <w:r>
              <w:rPr>
                <w:rFonts w:cstheme="minorHAnsi"/>
              </w:rPr>
              <w:t>Wajir North</w:t>
            </w:r>
          </w:p>
        </w:tc>
        <w:tc>
          <w:tcPr>
            <w:tcW w:w="4508" w:type="dxa"/>
          </w:tcPr>
          <w:p w14:paraId="6969663B">
            <w:pPr>
              <w:keepNext/>
              <w:keepLines/>
              <w:tabs>
                <w:tab w:val="left" w:pos="709"/>
              </w:tabs>
              <w:spacing w:after="0"/>
              <w:ind w:left="709"/>
              <w:jc w:val="both"/>
              <w:rPr>
                <w:rFonts w:cstheme="minorHAnsi"/>
              </w:rPr>
            </w:pPr>
            <w:r>
              <w:rPr>
                <w:rFonts w:cstheme="minorHAnsi"/>
              </w:rPr>
              <w:t>7</w:t>
            </w:r>
          </w:p>
        </w:tc>
      </w:tr>
      <w:tr w14:paraId="553F75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62" w:type="dxa"/>
          </w:tcPr>
          <w:p w14:paraId="5AD754DF">
            <w:pPr>
              <w:keepNext/>
              <w:keepLines/>
              <w:tabs>
                <w:tab w:val="left" w:pos="709"/>
              </w:tabs>
              <w:spacing w:after="0"/>
              <w:ind w:left="709"/>
              <w:jc w:val="both"/>
              <w:rPr>
                <w:rFonts w:cstheme="minorHAnsi"/>
              </w:rPr>
            </w:pPr>
            <w:r>
              <w:rPr>
                <w:rFonts w:cstheme="minorHAnsi"/>
              </w:rPr>
              <w:t>Wajir South</w:t>
            </w:r>
          </w:p>
        </w:tc>
        <w:tc>
          <w:tcPr>
            <w:tcW w:w="4508" w:type="dxa"/>
          </w:tcPr>
          <w:p w14:paraId="11DFE421">
            <w:pPr>
              <w:keepNext/>
              <w:keepLines/>
              <w:tabs>
                <w:tab w:val="left" w:pos="709"/>
              </w:tabs>
              <w:spacing w:after="0"/>
              <w:ind w:left="709"/>
              <w:jc w:val="both"/>
              <w:rPr>
                <w:rFonts w:cstheme="minorHAnsi"/>
              </w:rPr>
            </w:pPr>
            <w:r>
              <w:rPr>
                <w:rFonts w:cstheme="minorHAnsi"/>
              </w:rPr>
              <w:t>7</w:t>
            </w:r>
          </w:p>
        </w:tc>
      </w:tr>
      <w:tr w14:paraId="26C93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62" w:type="dxa"/>
          </w:tcPr>
          <w:p w14:paraId="7E96C23C">
            <w:pPr>
              <w:keepNext/>
              <w:keepLines/>
              <w:tabs>
                <w:tab w:val="left" w:pos="709"/>
              </w:tabs>
              <w:spacing w:after="0"/>
              <w:ind w:left="709"/>
              <w:jc w:val="both"/>
              <w:rPr>
                <w:rFonts w:cstheme="minorHAnsi"/>
              </w:rPr>
            </w:pPr>
            <w:r>
              <w:rPr>
                <w:rFonts w:cstheme="minorHAnsi"/>
              </w:rPr>
              <w:t>Wajir West</w:t>
            </w:r>
          </w:p>
        </w:tc>
        <w:tc>
          <w:tcPr>
            <w:tcW w:w="4508" w:type="dxa"/>
          </w:tcPr>
          <w:p w14:paraId="78A681A9">
            <w:pPr>
              <w:keepNext/>
              <w:keepLines/>
              <w:tabs>
                <w:tab w:val="left" w:pos="709"/>
              </w:tabs>
              <w:spacing w:after="0"/>
              <w:ind w:left="709"/>
              <w:jc w:val="both"/>
              <w:rPr>
                <w:rFonts w:cstheme="minorHAnsi"/>
              </w:rPr>
            </w:pPr>
            <w:r>
              <w:rPr>
                <w:rFonts w:cstheme="minorHAnsi"/>
              </w:rPr>
              <w:t>4</w:t>
            </w:r>
          </w:p>
        </w:tc>
      </w:tr>
      <w:tr w14:paraId="5FD737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662" w:type="dxa"/>
          </w:tcPr>
          <w:p w14:paraId="109C20D9">
            <w:pPr>
              <w:keepNext/>
              <w:keepLines/>
              <w:tabs>
                <w:tab w:val="left" w:pos="709"/>
              </w:tabs>
              <w:spacing w:after="0"/>
              <w:ind w:left="709"/>
              <w:jc w:val="both"/>
              <w:rPr>
                <w:rFonts w:cstheme="minorHAnsi"/>
                <w:b/>
              </w:rPr>
            </w:pPr>
            <w:r>
              <w:rPr>
                <w:rFonts w:cstheme="minorHAnsi"/>
                <w:b/>
              </w:rPr>
              <w:t>Total</w:t>
            </w:r>
          </w:p>
        </w:tc>
        <w:tc>
          <w:tcPr>
            <w:tcW w:w="4508" w:type="dxa"/>
          </w:tcPr>
          <w:p w14:paraId="50A4DDA1">
            <w:pPr>
              <w:keepNext/>
              <w:keepLines/>
              <w:tabs>
                <w:tab w:val="left" w:pos="709"/>
              </w:tabs>
              <w:spacing w:after="0"/>
              <w:ind w:left="709"/>
              <w:jc w:val="both"/>
              <w:rPr>
                <w:rFonts w:cstheme="minorHAnsi"/>
                <w:b/>
              </w:rPr>
            </w:pPr>
            <w:r>
              <w:rPr>
                <w:rFonts w:cstheme="minorHAnsi"/>
                <w:b/>
              </w:rPr>
              <w:t>40</w:t>
            </w:r>
          </w:p>
        </w:tc>
      </w:tr>
    </w:tbl>
    <w:p w14:paraId="5E6D1423">
      <w:pPr>
        <w:tabs>
          <w:tab w:val="left" w:pos="709"/>
        </w:tabs>
        <w:ind w:left="709"/>
        <w:jc w:val="both"/>
        <w:rPr>
          <w:lang w:val="en" w:eastAsia="ja-JP"/>
        </w:rPr>
      </w:pPr>
    </w:p>
    <w:p w14:paraId="251870C8">
      <w:pPr>
        <w:tabs>
          <w:tab w:val="left" w:pos="709"/>
        </w:tabs>
        <w:ind w:left="709"/>
        <w:jc w:val="both"/>
        <w:rPr>
          <w:lang w:val="en" w:eastAsia="ja-JP"/>
        </w:rPr>
      </w:pPr>
      <w:r>
        <w:drawing>
          <wp:inline distT="0" distB="0" distL="0" distR="0">
            <wp:extent cx="4981575" cy="43332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noChangeArrowheads="1"/>
                    </pic:cNvPicPr>
                  </pic:nvPicPr>
                  <pic:blipFill>
                    <a:blip r:embed="rId62">
                      <a:extLst>
                        <a:ext uri="{BEBA8EAE-BF5A-486C-A8C5-ECC9F3942E4B}">
                          <a14:imgProps xmlns:a14="http://schemas.microsoft.com/office/drawing/2010/main">
                            <a14:imgLayer r:embed="rId63">
                              <a14:imgEffect>
                                <a14:brightnessContrast bright="4000" contrast="4000"/>
                              </a14:imgEffect>
                              <a14:imgEffect>
                                <a14:sharpenSoften amount="74000"/>
                              </a14:imgEffect>
                            </a14:imgLayer>
                          </a14:imgProps>
                        </a:ext>
                        <a:ext uri="{28A0092B-C50C-407E-A947-70E740481C1C}">
                          <a14:useLocalDpi xmlns:a14="http://schemas.microsoft.com/office/drawing/2010/main" val="0"/>
                        </a:ext>
                      </a:extLst>
                    </a:blip>
                    <a:srcRect/>
                    <a:stretch>
                      <a:fillRect/>
                    </a:stretch>
                  </pic:blipFill>
                  <pic:spPr>
                    <a:xfrm>
                      <a:off x="0" y="0"/>
                      <a:ext cx="4992054" cy="4342515"/>
                    </a:xfrm>
                    <a:prstGeom prst="rect">
                      <a:avLst/>
                    </a:prstGeom>
                    <a:noFill/>
                  </pic:spPr>
                </pic:pic>
              </a:graphicData>
            </a:graphic>
          </wp:inline>
        </w:drawing>
      </w:r>
    </w:p>
    <w:p w14:paraId="28541DA7">
      <w:pPr>
        <w:pStyle w:val="23"/>
      </w:pPr>
      <w:bookmarkStart w:id="203" w:name="_Toc87882805"/>
      <w:bookmarkStart w:id="204" w:name="_Toc179551690"/>
      <w:r>
        <w:t xml:space="preserve">Figure </w:t>
      </w:r>
      <w:r>
        <w:fldChar w:fldCharType="begin"/>
      </w:r>
      <w:r>
        <w:instrText xml:space="preserve"> SEQ Figure \* ARABIC </w:instrText>
      </w:r>
      <w:r>
        <w:fldChar w:fldCharType="separate"/>
      </w:r>
      <w:r>
        <w:t>5</w:t>
      </w:r>
      <w:r>
        <w:fldChar w:fldCharType="end"/>
      </w:r>
      <w:r>
        <w:t>: Layout of Wajir Town Showing the different Zones</w:t>
      </w:r>
      <w:bookmarkEnd w:id="203"/>
      <w:bookmarkEnd w:id="204"/>
      <w:r>
        <w:t xml:space="preserve"> </w:t>
      </w:r>
    </w:p>
    <w:p w14:paraId="19AA6B8B">
      <w:pPr>
        <w:pStyle w:val="23"/>
      </w:pPr>
      <w:r>
        <w:t>Source; Design report</w:t>
      </w:r>
    </w:p>
    <w:p w14:paraId="39EC6B65">
      <w:pPr>
        <w:tabs>
          <w:tab w:val="left" w:pos="709"/>
        </w:tabs>
        <w:ind w:left="709"/>
        <w:jc w:val="both"/>
        <w:rPr>
          <w:lang w:eastAsia="ja-JP"/>
        </w:rPr>
      </w:pPr>
      <w:r>
        <w:rPr>
          <w:lang w:eastAsia="ja-JP"/>
        </w:rPr>
        <w:t>Regarding national government administration, there are 14 administrative sub-counties namely Wajir East, Wajir South, Habaswein, Tarbaj, Wajir West, Eldas, Wajir North, Buna, Wajir South, Hadado, Diif, Sabuli, Khorof Harar and Korondile.</w:t>
      </w:r>
    </w:p>
    <w:p w14:paraId="3DE0C880">
      <w:pPr>
        <w:pStyle w:val="4"/>
        <w:rPr>
          <w:lang w:eastAsia="ja-JP"/>
        </w:rPr>
      </w:pPr>
      <w:bookmarkStart w:id="205" w:name="_Toc170722978"/>
      <w:bookmarkStart w:id="206" w:name="_Toc179904061"/>
      <w:r>
        <w:rPr>
          <w:lang w:eastAsia="ja-JP"/>
        </w:rPr>
        <w:t xml:space="preserve">5.2.2 </w:t>
      </w:r>
      <w:r>
        <w:rPr>
          <w:lang w:eastAsia="ja-JP"/>
        </w:rPr>
        <w:tab/>
      </w:r>
      <w:r>
        <w:rPr>
          <w:lang w:eastAsia="ja-JP"/>
        </w:rPr>
        <w:t>Demographics</w:t>
      </w:r>
      <w:bookmarkEnd w:id="205"/>
      <w:bookmarkEnd w:id="206"/>
    </w:p>
    <w:p w14:paraId="7378A2ED">
      <w:pPr>
        <w:keepNext/>
        <w:keepLines/>
        <w:tabs>
          <w:tab w:val="left" w:pos="709"/>
        </w:tabs>
        <w:ind w:left="709"/>
        <w:jc w:val="both"/>
        <w:rPr>
          <w:b/>
          <w:lang w:eastAsia="ja-JP" w:bidi="en-US"/>
        </w:rPr>
      </w:pPr>
      <w:r>
        <w:rPr>
          <w:b/>
          <w:lang w:eastAsia="ja-JP" w:bidi="en-US"/>
        </w:rPr>
        <w:t>Population Size, Composition and Distribution</w:t>
      </w:r>
    </w:p>
    <w:p w14:paraId="760F426C">
      <w:pPr>
        <w:keepNext/>
        <w:keepLines/>
        <w:tabs>
          <w:tab w:val="left" w:pos="709"/>
        </w:tabs>
        <w:ind w:left="709"/>
        <w:jc w:val="both"/>
        <w:rPr>
          <w:lang w:eastAsia="ja-JP" w:bidi="en-US"/>
        </w:rPr>
      </w:pPr>
      <w:r>
        <w:rPr>
          <w:lang w:eastAsia="ja-JP" w:bidi="en-US"/>
        </w:rPr>
        <w:t>The 2019 Kenya Population and Housing Census indicate that the county had a total population of 781 214 which is projected to reach 848,385, 915,082 and 964,154 in 2022, 2025 and 2027 respectively. Males comprise 50.4 percent of the population and female population accounts for the remaining 49.6 percent. According to the KNBS analytical report and projections, the county is projected to record the following statistics between 2020 and 2025: a net migration of -2,039; 134,111 births; 20,815 deaths; crude birth rate of 31.2/1,000; and crude death rate of 4.8/1,000.</w:t>
      </w:r>
    </w:p>
    <w:p w14:paraId="427431D4">
      <w:pPr>
        <w:tabs>
          <w:tab w:val="left" w:pos="709"/>
        </w:tabs>
        <w:ind w:left="709"/>
        <w:jc w:val="both"/>
        <w:rPr>
          <w:lang w:eastAsia="ja-JP" w:bidi="en-US"/>
        </w:rPr>
      </w:pPr>
      <w:r>
        <w:rPr>
          <w:lang w:eastAsia="ja-JP" w:bidi="en-US"/>
        </w:rPr>
        <w:t>Guided by the Urban Areas and Cities Act No. 13 of 2011 as amended in 2019, the county has six urban areas consisting of Wajir Municipality, Habaswein, Bute, Eldas, Griftu and Tarbaj Towns. The urbanized population stand at 23 percent which is projected to slightly grow to 25 percent by 2027. The urban population is projected using the 4 percent national average urbanization growth per annum. Wajir Municipality carries the highest urbanized population at 51 percent, followed by Habaswein at 28 percent while Bute, Eldas, Griftu and Tarbaj stand at 8 percent, 7 percent, 4 percent and 2 percent respectively.</w:t>
      </w:r>
    </w:p>
    <w:p w14:paraId="7EA870F2">
      <w:pPr>
        <w:tabs>
          <w:tab w:val="left" w:pos="709"/>
        </w:tabs>
        <w:ind w:left="709"/>
        <w:jc w:val="both"/>
        <w:rPr>
          <w:b/>
          <w:lang w:eastAsia="ja-JP" w:bidi="en-US"/>
        </w:rPr>
      </w:pPr>
      <w:r>
        <w:rPr>
          <w:b/>
          <w:lang w:eastAsia="ja-JP" w:bidi="en-US"/>
        </w:rPr>
        <w:t>Population Density and Distribution</w:t>
      </w:r>
    </w:p>
    <w:p w14:paraId="1F01F970">
      <w:pPr>
        <w:tabs>
          <w:tab w:val="left" w:pos="709"/>
        </w:tabs>
        <w:ind w:left="709"/>
        <w:jc w:val="both"/>
        <w:rPr>
          <w:lang w:eastAsia="ja-JP" w:bidi="en-US"/>
        </w:rPr>
      </w:pPr>
      <w:r>
        <w:rPr>
          <w:lang w:eastAsia="ja-JP" w:bidi="en-US"/>
        </w:rPr>
        <w:t>Wajir has an average density of 15 persons per square kilometer as at 2022, this is projected to grow to 17 persons by 2027. In Table 7. in terms of sub-counties, Tarbaj is the least densely populated at 6 people per square kilometer as at 2022, slightly growing to 7 people by 2027. Wajir East is the most densely populated standing at 30 persons per square kilometer in 2022 and growing to 34 by 2027.</w:t>
      </w:r>
      <w:bookmarkStart w:id="207" w:name="_Toc172277332"/>
      <w:bookmarkStart w:id="208" w:name="_Toc173252897"/>
    </w:p>
    <w:p w14:paraId="29CB0B8A">
      <w:pPr>
        <w:pStyle w:val="23"/>
        <w:rPr>
          <w:lang w:bidi="en-US"/>
        </w:rPr>
      </w:pPr>
      <w:bookmarkStart w:id="209" w:name="_Toc179556818"/>
      <w:r>
        <w:t xml:space="preserve">Table </w:t>
      </w:r>
      <w:r>
        <w:fldChar w:fldCharType="begin"/>
      </w:r>
      <w:r>
        <w:instrText xml:space="preserve"> SEQ Table \* ARABIC </w:instrText>
      </w:r>
      <w:r>
        <w:fldChar w:fldCharType="separate"/>
      </w:r>
      <w:r>
        <w:t>7</w:t>
      </w:r>
      <w:r>
        <w:fldChar w:fldCharType="end"/>
      </w:r>
      <w:r>
        <w:rPr>
          <w:lang w:bidi="en-US"/>
        </w:rPr>
        <w:t>: Population Distribution and density by Sub-County</w:t>
      </w:r>
      <w:bookmarkEnd w:id="207"/>
      <w:bookmarkEnd w:id="208"/>
      <w:bookmarkEnd w:id="209"/>
    </w:p>
    <w:tbl>
      <w:tblPr>
        <w:tblStyle w:val="12"/>
        <w:tblW w:w="4952" w:type="pct"/>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993"/>
        <w:gridCol w:w="997"/>
        <w:gridCol w:w="993"/>
        <w:gridCol w:w="707"/>
        <w:gridCol w:w="999"/>
        <w:gridCol w:w="709"/>
        <w:gridCol w:w="997"/>
        <w:gridCol w:w="709"/>
        <w:gridCol w:w="995"/>
        <w:gridCol w:w="850"/>
      </w:tblGrid>
      <w:tr w14:paraId="0C3AAB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66" w:hRule="atLeast"/>
        </w:trPr>
        <w:tc>
          <w:tcPr>
            <w:tcW w:w="555" w:type="pct"/>
            <w:shd w:val="clear" w:color="auto" w:fill="B4C5E7"/>
          </w:tcPr>
          <w:p w14:paraId="6D867C68">
            <w:pPr>
              <w:tabs>
                <w:tab w:val="left" w:pos="709"/>
              </w:tabs>
              <w:jc w:val="both"/>
              <w:rPr>
                <w:b/>
                <w:lang w:eastAsia="ja-JP"/>
              </w:rPr>
            </w:pPr>
            <w:r>
              <w:rPr>
                <w:b/>
                <w:lang w:eastAsia="ja-JP"/>
              </w:rPr>
              <w:t>Sub-County</w:t>
            </w:r>
          </w:p>
        </w:tc>
        <w:tc>
          <w:tcPr>
            <w:tcW w:w="557" w:type="pct"/>
            <w:shd w:val="clear" w:color="auto" w:fill="B4C5E7"/>
          </w:tcPr>
          <w:p w14:paraId="7A1908DE">
            <w:pPr>
              <w:tabs>
                <w:tab w:val="left" w:pos="709"/>
              </w:tabs>
              <w:jc w:val="both"/>
              <w:rPr>
                <w:b/>
                <w:lang w:eastAsia="ja-JP"/>
              </w:rPr>
            </w:pPr>
            <w:r>
              <w:rPr>
                <w:b/>
                <w:lang w:eastAsia="ja-JP"/>
              </w:rPr>
              <w:t>2019 Census</w:t>
            </w:r>
          </w:p>
        </w:tc>
        <w:tc>
          <w:tcPr>
            <w:tcW w:w="555" w:type="pct"/>
            <w:shd w:val="clear" w:color="auto" w:fill="B4C5E7"/>
          </w:tcPr>
          <w:p w14:paraId="2D7619BF">
            <w:pPr>
              <w:tabs>
                <w:tab w:val="left" w:pos="709"/>
              </w:tabs>
              <w:jc w:val="both"/>
              <w:rPr>
                <w:b/>
                <w:lang w:eastAsia="ja-JP"/>
              </w:rPr>
            </w:pPr>
            <w:r>
              <w:rPr>
                <w:b/>
                <w:lang w:eastAsia="ja-JP"/>
              </w:rPr>
              <w:t>Land Mass</w:t>
            </w:r>
          </w:p>
        </w:tc>
        <w:tc>
          <w:tcPr>
            <w:tcW w:w="395" w:type="pct"/>
            <w:shd w:val="clear" w:color="auto" w:fill="B4C5E7"/>
          </w:tcPr>
          <w:p w14:paraId="26C679D9">
            <w:pPr>
              <w:tabs>
                <w:tab w:val="left" w:pos="709"/>
              </w:tabs>
              <w:jc w:val="both"/>
              <w:rPr>
                <w:b/>
                <w:lang w:eastAsia="ja-JP"/>
              </w:rPr>
            </w:pPr>
            <w:r>
              <w:rPr>
                <w:b/>
                <w:lang w:eastAsia="ja-JP"/>
              </w:rPr>
              <w:t>Density</w:t>
            </w:r>
          </w:p>
        </w:tc>
        <w:tc>
          <w:tcPr>
            <w:tcW w:w="558" w:type="pct"/>
            <w:shd w:val="clear" w:color="auto" w:fill="B4C5E7"/>
          </w:tcPr>
          <w:p w14:paraId="73308826">
            <w:pPr>
              <w:tabs>
                <w:tab w:val="left" w:pos="709"/>
              </w:tabs>
              <w:jc w:val="both"/>
              <w:rPr>
                <w:b/>
                <w:lang w:eastAsia="ja-JP"/>
              </w:rPr>
            </w:pPr>
            <w:r>
              <w:rPr>
                <w:b/>
                <w:lang w:eastAsia="ja-JP"/>
              </w:rPr>
              <w:t>2022 Projections</w:t>
            </w:r>
          </w:p>
        </w:tc>
        <w:tc>
          <w:tcPr>
            <w:tcW w:w="396" w:type="pct"/>
            <w:shd w:val="clear" w:color="auto" w:fill="B4C5E7"/>
          </w:tcPr>
          <w:p w14:paraId="27E41B95">
            <w:pPr>
              <w:tabs>
                <w:tab w:val="left" w:pos="709"/>
              </w:tabs>
              <w:jc w:val="both"/>
              <w:rPr>
                <w:b/>
                <w:lang w:eastAsia="ja-JP"/>
              </w:rPr>
            </w:pPr>
            <w:r>
              <w:rPr>
                <w:b/>
                <w:lang w:eastAsia="ja-JP"/>
              </w:rPr>
              <w:t>Density</w:t>
            </w:r>
          </w:p>
        </w:tc>
        <w:tc>
          <w:tcPr>
            <w:tcW w:w="557" w:type="pct"/>
            <w:shd w:val="clear" w:color="auto" w:fill="B4C5E7"/>
          </w:tcPr>
          <w:p w14:paraId="0C652227">
            <w:pPr>
              <w:tabs>
                <w:tab w:val="left" w:pos="709"/>
              </w:tabs>
              <w:jc w:val="both"/>
              <w:rPr>
                <w:b/>
                <w:lang w:eastAsia="ja-JP"/>
              </w:rPr>
            </w:pPr>
            <w:r>
              <w:rPr>
                <w:b/>
                <w:lang w:eastAsia="ja-JP"/>
              </w:rPr>
              <w:t>2025 Projections</w:t>
            </w:r>
          </w:p>
        </w:tc>
        <w:tc>
          <w:tcPr>
            <w:tcW w:w="396" w:type="pct"/>
            <w:shd w:val="clear" w:color="auto" w:fill="B4C5E7"/>
          </w:tcPr>
          <w:p w14:paraId="1EDBE20D">
            <w:pPr>
              <w:tabs>
                <w:tab w:val="left" w:pos="709"/>
              </w:tabs>
              <w:jc w:val="both"/>
              <w:rPr>
                <w:b/>
                <w:lang w:eastAsia="ja-JP"/>
              </w:rPr>
            </w:pPr>
            <w:r>
              <w:rPr>
                <w:b/>
                <w:lang w:eastAsia="ja-JP"/>
              </w:rPr>
              <w:t>Density</w:t>
            </w:r>
          </w:p>
        </w:tc>
        <w:tc>
          <w:tcPr>
            <w:tcW w:w="556" w:type="pct"/>
            <w:shd w:val="clear" w:color="auto" w:fill="B4C5E7"/>
          </w:tcPr>
          <w:p w14:paraId="4AEDD1AC">
            <w:pPr>
              <w:tabs>
                <w:tab w:val="left" w:pos="709"/>
              </w:tabs>
              <w:jc w:val="both"/>
              <w:rPr>
                <w:b/>
                <w:lang w:eastAsia="ja-JP"/>
              </w:rPr>
            </w:pPr>
            <w:r>
              <w:rPr>
                <w:b/>
                <w:lang w:eastAsia="ja-JP"/>
              </w:rPr>
              <w:t>2027 Projections</w:t>
            </w:r>
          </w:p>
        </w:tc>
        <w:tc>
          <w:tcPr>
            <w:tcW w:w="476" w:type="pct"/>
            <w:shd w:val="clear" w:color="auto" w:fill="B4C5E7"/>
          </w:tcPr>
          <w:p w14:paraId="2091962B">
            <w:pPr>
              <w:tabs>
                <w:tab w:val="left" w:pos="709"/>
              </w:tabs>
              <w:jc w:val="both"/>
              <w:rPr>
                <w:b/>
                <w:lang w:eastAsia="ja-JP"/>
              </w:rPr>
            </w:pPr>
            <w:r>
              <w:rPr>
                <w:b/>
                <w:lang w:eastAsia="ja-JP"/>
              </w:rPr>
              <w:t>Density</w:t>
            </w:r>
          </w:p>
        </w:tc>
      </w:tr>
      <w:tr w14:paraId="525926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30" w:hRule="atLeast"/>
        </w:trPr>
        <w:tc>
          <w:tcPr>
            <w:tcW w:w="555" w:type="pct"/>
          </w:tcPr>
          <w:p w14:paraId="41D49924">
            <w:pPr>
              <w:tabs>
                <w:tab w:val="left" w:pos="709"/>
              </w:tabs>
              <w:jc w:val="both"/>
              <w:rPr>
                <w:b/>
                <w:lang w:eastAsia="ja-JP"/>
              </w:rPr>
            </w:pPr>
            <w:r>
              <w:rPr>
                <w:b/>
                <w:lang w:eastAsia="ja-JP"/>
              </w:rPr>
              <w:t>Wajir North</w:t>
            </w:r>
          </w:p>
        </w:tc>
        <w:tc>
          <w:tcPr>
            <w:tcW w:w="557" w:type="pct"/>
          </w:tcPr>
          <w:p w14:paraId="1403CE27">
            <w:pPr>
              <w:tabs>
                <w:tab w:val="left" w:pos="709"/>
              </w:tabs>
              <w:jc w:val="both"/>
              <w:rPr>
                <w:lang w:eastAsia="ja-JP"/>
              </w:rPr>
            </w:pPr>
            <w:r>
              <w:rPr>
                <w:lang w:eastAsia="ja-JP"/>
              </w:rPr>
              <w:t>112,083</w:t>
            </w:r>
          </w:p>
        </w:tc>
        <w:tc>
          <w:tcPr>
            <w:tcW w:w="555" w:type="pct"/>
          </w:tcPr>
          <w:p w14:paraId="71085A00">
            <w:pPr>
              <w:tabs>
                <w:tab w:val="left" w:pos="709"/>
              </w:tabs>
              <w:jc w:val="both"/>
              <w:rPr>
                <w:lang w:eastAsia="ja-JP"/>
              </w:rPr>
            </w:pPr>
            <w:r>
              <w:rPr>
                <w:lang w:eastAsia="ja-JP"/>
              </w:rPr>
              <w:t>7,930</w:t>
            </w:r>
          </w:p>
        </w:tc>
        <w:tc>
          <w:tcPr>
            <w:tcW w:w="395" w:type="pct"/>
          </w:tcPr>
          <w:p w14:paraId="687195CD">
            <w:pPr>
              <w:tabs>
                <w:tab w:val="left" w:pos="709"/>
              </w:tabs>
              <w:jc w:val="both"/>
              <w:rPr>
                <w:lang w:eastAsia="ja-JP"/>
              </w:rPr>
            </w:pPr>
            <w:r>
              <w:rPr>
                <w:lang w:eastAsia="ja-JP"/>
              </w:rPr>
              <w:t>14</w:t>
            </w:r>
          </w:p>
        </w:tc>
        <w:tc>
          <w:tcPr>
            <w:tcW w:w="558" w:type="pct"/>
          </w:tcPr>
          <w:p w14:paraId="688CD793">
            <w:pPr>
              <w:tabs>
                <w:tab w:val="left" w:pos="709"/>
              </w:tabs>
              <w:jc w:val="both"/>
              <w:rPr>
                <w:lang w:eastAsia="ja-JP"/>
              </w:rPr>
            </w:pPr>
            <w:r>
              <w:rPr>
                <w:lang w:eastAsia="ja-JP"/>
              </w:rPr>
              <w:t>121,720</w:t>
            </w:r>
          </w:p>
        </w:tc>
        <w:tc>
          <w:tcPr>
            <w:tcW w:w="396" w:type="pct"/>
          </w:tcPr>
          <w:p w14:paraId="7E371723">
            <w:pPr>
              <w:tabs>
                <w:tab w:val="left" w:pos="709"/>
              </w:tabs>
              <w:jc w:val="both"/>
              <w:rPr>
                <w:lang w:eastAsia="ja-JP"/>
              </w:rPr>
            </w:pPr>
            <w:r>
              <w:rPr>
                <w:lang w:eastAsia="ja-JP"/>
              </w:rPr>
              <w:t>15</w:t>
            </w:r>
          </w:p>
        </w:tc>
        <w:tc>
          <w:tcPr>
            <w:tcW w:w="557" w:type="pct"/>
          </w:tcPr>
          <w:p w14:paraId="227F99C5">
            <w:pPr>
              <w:tabs>
                <w:tab w:val="left" w:pos="709"/>
              </w:tabs>
              <w:jc w:val="both"/>
              <w:rPr>
                <w:lang w:eastAsia="ja-JP"/>
              </w:rPr>
            </w:pPr>
            <w:r>
              <w:rPr>
                <w:lang w:eastAsia="ja-JP"/>
              </w:rPr>
              <w:t>131,289</w:t>
            </w:r>
          </w:p>
        </w:tc>
        <w:tc>
          <w:tcPr>
            <w:tcW w:w="396" w:type="pct"/>
          </w:tcPr>
          <w:p w14:paraId="143ADE61">
            <w:pPr>
              <w:tabs>
                <w:tab w:val="left" w:pos="709"/>
              </w:tabs>
              <w:jc w:val="both"/>
              <w:rPr>
                <w:lang w:eastAsia="ja-JP"/>
              </w:rPr>
            </w:pPr>
            <w:r>
              <w:rPr>
                <w:lang w:eastAsia="ja-JP"/>
              </w:rPr>
              <w:t>17</w:t>
            </w:r>
          </w:p>
        </w:tc>
        <w:tc>
          <w:tcPr>
            <w:tcW w:w="556" w:type="pct"/>
          </w:tcPr>
          <w:p w14:paraId="3171F17A">
            <w:pPr>
              <w:tabs>
                <w:tab w:val="left" w:pos="709"/>
              </w:tabs>
              <w:jc w:val="both"/>
              <w:rPr>
                <w:lang w:eastAsia="ja-JP"/>
              </w:rPr>
            </w:pPr>
            <w:r>
              <w:rPr>
                <w:lang w:eastAsia="ja-JP"/>
              </w:rPr>
              <w:t>138,330</w:t>
            </w:r>
          </w:p>
        </w:tc>
        <w:tc>
          <w:tcPr>
            <w:tcW w:w="476" w:type="pct"/>
          </w:tcPr>
          <w:p w14:paraId="7B499EAC">
            <w:pPr>
              <w:tabs>
                <w:tab w:val="left" w:pos="709"/>
              </w:tabs>
              <w:jc w:val="both"/>
              <w:rPr>
                <w:lang w:eastAsia="ja-JP"/>
              </w:rPr>
            </w:pPr>
            <w:r>
              <w:rPr>
                <w:lang w:eastAsia="ja-JP"/>
              </w:rPr>
              <w:t>17</w:t>
            </w:r>
          </w:p>
        </w:tc>
      </w:tr>
      <w:tr w14:paraId="29A665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555" w:type="pct"/>
          </w:tcPr>
          <w:p w14:paraId="41145945">
            <w:pPr>
              <w:tabs>
                <w:tab w:val="left" w:pos="709"/>
              </w:tabs>
              <w:jc w:val="both"/>
              <w:rPr>
                <w:b/>
                <w:lang w:eastAsia="ja-JP"/>
              </w:rPr>
            </w:pPr>
            <w:r>
              <w:rPr>
                <w:b/>
                <w:lang w:eastAsia="ja-JP"/>
              </w:rPr>
              <w:t>Eldas</w:t>
            </w:r>
          </w:p>
        </w:tc>
        <w:tc>
          <w:tcPr>
            <w:tcW w:w="557" w:type="pct"/>
          </w:tcPr>
          <w:p w14:paraId="44B18289">
            <w:pPr>
              <w:tabs>
                <w:tab w:val="left" w:pos="709"/>
              </w:tabs>
              <w:jc w:val="both"/>
              <w:rPr>
                <w:lang w:eastAsia="ja-JP"/>
              </w:rPr>
            </w:pPr>
            <w:r>
              <w:rPr>
                <w:lang w:eastAsia="ja-JP"/>
              </w:rPr>
              <w:t>88,502</w:t>
            </w:r>
          </w:p>
        </w:tc>
        <w:tc>
          <w:tcPr>
            <w:tcW w:w="555" w:type="pct"/>
          </w:tcPr>
          <w:p w14:paraId="68E98CC5">
            <w:pPr>
              <w:tabs>
                <w:tab w:val="left" w:pos="709"/>
              </w:tabs>
              <w:jc w:val="both"/>
              <w:rPr>
                <w:lang w:eastAsia="ja-JP"/>
              </w:rPr>
            </w:pPr>
            <w:r>
              <w:rPr>
                <w:lang w:eastAsia="ja-JP"/>
              </w:rPr>
              <w:t>4,492</w:t>
            </w:r>
          </w:p>
        </w:tc>
        <w:tc>
          <w:tcPr>
            <w:tcW w:w="395" w:type="pct"/>
          </w:tcPr>
          <w:p w14:paraId="62CA5AF3">
            <w:pPr>
              <w:tabs>
                <w:tab w:val="left" w:pos="709"/>
              </w:tabs>
              <w:jc w:val="both"/>
              <w:rPr>
                <w:lang w:eastAsia="ja-JP"/>
              </w:rPr>
            </w:pPr>
            <w:r>
              <w:rPr>
                <w:lang w:eastAsia="ja-JP"/>
              </w:rPr>
              <w:t>20</w:t>
            </w:r>
          </w:p>
        </w:tc>
        <w:tc>
          <w:tcPr>
            <w:tcW w:w="558" w:type="pct"/>
          </w:tcPr>
          <w:p w14:paraId="08100003">
            <w:pPr>
              <w:tabs>
                <w:tab w:val="left" w:pos="709"/>
              </w:tabs>
              <w:jc w:val="both"/>
              <w:rPr>
                <w:lang w:eastAsia="ja-JP"/>
              </w:rPr>
            </w:pPr>
            <w:r>
              <w:rPr>
                <w:lang w:eastAsia="ja-JP"/>
              </w:rPr>
              <w:t>96,112</w:t>
            </w:r>
          </w:p>
        </w:tc>
        <w:tc>
          <w:tcPr>
            <w:tcW w:w="396" w:type="pct"/>
          </w:tcPr>
          <w:p w14:paraId="68DD1D7F">
            <w:pPr>
              <w:tabs>
                <w:tab w:val="left" w:pos="709"/>
              </w:tabs>
              <w:jc w:val="both"/>
              <w:rPr>
                <w:lang w:eastAsia="ja-JP"/>
              </w:rPr>
            </w:pPr>
            <w:r>
              <w:rPr>
                <w:lang w:eastAsia="ja-JP"/>
              </w:rPr>
              <w:t>21</w:t>
            </w:r>
          </w:p>
        </w:tc>
        <w:tc>
          <w:tcPr>
            <w:tcW w:w="557" w:type="pct"/>
          </w:tcPr>
          <w:p w14:paraId="05C18A00">
            <w:pPr>
              <w:tabs>
                <w:tab w:val="left" w:pos="709"/>
              </w:tabs>
              <w:jc w:val="both"/>
              <w:rPr>
                <w:lang w:eastAsia="ja-JP"/>
              </w:rPr>
            </w:pPr>
            <w:r>
              <w:rPr>
                <w:lang w:eastAsia="ja-JP"/>
              </w:rPr>
              <w:t>103,668</w:t>
            </w:r>
          </w:p>
        </w:tc>
        <w:tc>
          <w:tcPr>
            <w:tcW w:w="396" w:type="pct"/>
          </w:tcPr>
          <w:p w14:paraId="6CD7D4F3">
            <w:pPr>
              <w:tabs>
                <w:tab w:val="left" w:pos="709"/>
              </w:tabs>
              <w:jc w:val="both"/>
              <w:rPr>
                <w:lang w:eastAsia="ja-JP"/>
              </w:rPr>
            </w:pPr>
            <w:r>
              <w:rPr>
                <w:lang w:eastAsia="ja-JP"/>
              </w:rPr>
              <w:t>23</w:t>
            </w:r>
          </w:p>
        </w:tc>
        <w:tc>
          <w:tcPr>
            <w:tcW w:w="556" w:type="pct"/>
          </w:tcPr>
          <w:p w14:paraId="2F115BE6">
            <w:pPr>
              <w:tabs>
                <w:tab w:val="left" w:pos="709"/>
              </w:tabs>
              <w:jc w:val="both"/>
              <w:rPr>
                <w:lang w:eastAsia="ja-JP"/>
              </w:rPr>
            </w:pPr>
            <w:r>
              <w:rPr>
                <w:lang w:eastAsia="ja-JP"/>
              </w:rPr>
              <w:t>109,227</w:t>
            </w:r>
          </w:p>
        </w:tc>
        <w:tc>
          <w:tcPr>
            <w:tcW w:w="476" w:type="pct"/>
          </w:tcPr>
          <w:p w14:paraId="47FF5681">
            <w:pPr>
              <w:tabs>
                <w:tab w:val="left" w:pos="709"/>
              </w:tabs>
              <w:jc w:val="both"/>
              <w:rPr>
                <w:lang w:eastAsia="ja-JP"/>
              </w:rPr>
            </w:pPr>
            <w:r>
              <w:rPr>
                <w:lang w:eastAsia="ja-JP"/>
              </w:rPr>
              <w:t>24</w:t>
            </w:r>
          </w:p>
        </w:tc>
      </w:tr>
      <w:tr w14:paraId="0B2EF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555" w:type="pct"/>
          </w:tcPr>
          <w:p w14:paraId="6F8E339B">
            <w:pPr>
              <w:tabs>
                <w:tab w:val="left" w:pos="709"/>
              </w:tabs>
              <w:jc w:val="both"/>
              <w:rPr>
                <w:b/>
                <w:lang w:eastAsia="ja-JP"/>
              </w:rPr>
            </w:pPr>
            <w:r>
              <w:rPr>
                <w:b/>
                <w:lang w:eastAsia="ja-JP"/>
              </w:rPr>
              <w:t>Wajir South</w:t>
            </w:r>
          </w:p>
        </w:tc>
        <w:tc>
          <w:tcPr>
            <w:tcW w:w="557" w:type="pct"/>
          </w:tcPr>
          <w:p w14:paraId="3D5EAACF">
            <w:pPr>
              <w:tabs>
                <w:tab w:val="left" w:pos="709"/>
              </w:tabs>
              <w:jc w:val="both"/>
              <w:rPr>
                <w:lang w:eastAsia="ja-JP"/>
              </w:rPr>
            </w:pPr>
            <w:r>
              <w:rPr>
                <w:lang w:eastAsia="ja-JP"/>
              </w:rPr>
              <w:t>290,929</w:t>
            </w:r>
          </w:p>
        </w:tc>
        <w:tc>
          <w:tcPr>
            <w:tcW w:w="555" w:type="pct"/>
          </w:tcPr>
          <w:p w14:paraId="73CB9772">
            <w:pPr>
              <w:tabs>
                <w:tab w:val="left" w:pos="709"/>
              </w:tabs>
              <w:jc w:val="both"/>
              <w:rPr>
                <w:lang w:eastAsia="ja-JP"/>
              </w:rPr>
            </w:pPr>
            <w:r>
              <w:rPr>
                <w:lang w:eastAsia="ja-JP"/>
              </w:rPr>
              <w:t>21,646</w:t>
            </w:r>
          </w:p>
        </w:tc>
        <w:tc>
          <w:tcPr>
            <w:tcW w:w="395" w:type="pct"/>
          </w:tcPr>
          <w:p w14:paraId="647DDEDB">
            <w:pPr>
              <w:tabs>
                <w:tab w:val="left" w:pos="709"/>
              </w:tabs>
              <w:jc w:val="both"/>
              <w:rPr>
                <w:lang w:eastAsia="ja-JP"/>
              </w:rPr>
            </w:pPr>
            <w:r>
              <w:rPr>
                <w:lang w:eastAsia="ja-JP"/>
              </w:rPr>
              <w:t>13</w:t>
            </w:r>
          </w:p>
        </w:tc>
        <w:tc>
          <w:tcPr>
            <w:tcW w:w="558" w:type="pct"/>
          </w:tcPr>
          <w:p w14:paraId="4BDB6DDF">
            <w:pPr>
              <w:tabs>
                <w:tab w:val="left" w:pos="709"/>
              </w:tabs>
              <w:jc w:val="both"/>
              <w:rPr>
                <w:lang w:eastAsia="ja-JP"/>
              </w:rPr>
            </w:pPr>
            <w:r>
              <w:rPr>
                <w:lang w:eastAsia="ja-JP"/>
              </w:rPr>
              <w:t>315,944</w:t>
            </w:r>
          </w:p>
        </w:tc>
        <w:tc>
          <w:tcPr>
            <w:tcW w:w="396" w:type="pct"/>
          </w:tcPr>
          <w:p w14:paraId="3C12D695">
            <w:pPr>
              <w:tabs>
                <w:tab w:val="left" w:pos="709"/>
              </w:tabs>
              <w:jc w:val="both"/>
              <w:rPr>
                <w:lang w:eastAsia="ja-JP"/>
              </w:rPr>
            </w:pPr>
            <w:r>
              <w:rPr>
                <w:lang w:eastAsia="ja-JP"/>
              </w:rPr>
              <w:t>15</w:t>
            </w:r>
          </w:p>
        </w:tc>
        <w:tc>
          <w:tcPr>
            <w:tcW w:w="557" w:type="pct"/>
          </w:tcPr>
          <w:p w14:paraId="39BEF26A">
            <w:pPr>
              <w:tabs>
                <w:tab w:val="left" w:pos="709"/>
              </w:tabs>
              <w:jc w:val="both"/>
              <w:rPr>
                <w:lang w:eastAsia="ja-JP"/>
              </w:rPr>
            </w:pPr>
            <w:r>
              <w:rPr>
                <w:lang w:eastAsia="ja-JP"/>
              </w:rPr>
              <w:t>340,782</w:t>
            </w:r>
          </w:p>
        </w:tc>
        <w:tc>
          <w:tcPr>
            <w:tcW w:w="396" w:type="pct"/>
          </w:tcPr>
          <w:p w14:paraId="6D668FA4">
            <w:pPr>
              <w:tabs>
                <w:tab w:val="left" w:pos="709"/>
              </w:tabs>
              <w:jc w:val="both"/>
              <w:rPr>
                <w:lang w:eastAsia="ja-JP"/>
              </w:rPr>
            </w:pPr>
            <w:r>
              <w:rPr>
                <w:lang w:eastAsia="ja-JP"/>
              </w:rPr>
              <w:t>16</w:t>
            </w:r>
          </w:p>
        </w:tc>
        <w:tc>
          <w:tcPr>
            <w:tcW w:w="556" w:type="pct"/>
          </w:tcPr>
          <w:p w14:paraId="12A17D31">
            <w:pPr>
              <w:tabs>
                <w:tab w:val="left" w:pos="709"/>
              </w:tabs>
              <w:jc w:val="both"/>
              <w:rPr>
                <w:lang w:eastAsia="ja-JP"/>
              </w:rPr>
            </w:pPr>
            <w:r>
              <w:rPr>
                <w:lang w:eastAsia="ja-JP"/>
              </w:rPr>
              <w:t>359,057</w:t>
            </w:r>
          </w:p>
        </w:tc>
        <w:tc>
          <w:tcPr>
            <w:tcW w:w="476" w:type="pct"/>
          </w:tcPr>
          <w:p w14:paraId="584C88F5">
            <w:pPr>
              <w:tabs>
                <w:tab w:val="left" w:pos="709"/>
              </w:tabs>
              <w:jc w:val="both"/>
              <w:rPr>
                <w:lang w:eastAsia="ja-JP"/>
              </w:rPr>
            </w:pPr>
            <w:r>
              <w:rPr>
                <w:lang w:eastAsia="ja-JP"/>
              </w:rPr>
              <w:t>17</w:t>
            </w:r>
          </w:p>
        </w:tc>
      </w:tr>
      <w:tr w14:paraId="52670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3" w:hRule="atLeast"/>
        </w:trPr>
        <w:tc>
          <w:tcPr>
            <w:tcW w:w="555" w:type="pct"/>
          </w:tcPr>
          <w:p w14:paraId="23976D72">
            <w:pPr>
              <w:tabs>
                <w:tab w:val="left" w:pos="709"/>
              </w:tabs>
              <w:jc w:val="both"/>
              <w:rPr>
                <w:b/>
                <w:lang w:eastAsia="ja-JP"/>
              </w:rPr>
            </w:pPr>
            <w:r>
              <w:rPr>
                <w:b/>
                <w:lang w:eastAsia="ja-JP"/>
              </w:rPr>
              <w:t>Tarbaj</w:t>
            </w:r>
          </w:p>
        </w:tc>
        <w:tc>
          <w:tcPr>
            <w:tcW w:w="557" w:type="pct"/>
          </w:tcPr>
          <w:p w14:paraId="034E70F4">
            <w:pPr>
              <w:tabs>
                <w:tab w:val="left" w:pos="709"/>
              </w:tabs>
              <w:jc w:val="both"/>
              <w:rPr>
                <w:lang w:eastAsia="ja-JP"/>
              </w:rPr>
            </w:pPr>
            <w:r>
              <w:rPr>
                <w:lang w:eastAsia="ja-JP"/>
              </w:rPr>
              <w:t>57,227</w:t>
            </w:r>
          </w:p>
        </w:tc>
        <w:tc>
          <w:tcPr>
            <w:tcW w:w="555" w:type="pct"/>
          </w:tcPr>
          <w:p w14:paraId="734FFF81">
            <w:pPr>
              <w:tabs>
                <w:tab w:val="left" w:pos="709"/>
              </w:tabs>
              <w:jc w:val="both"/>
              <w:rPr>
                <w:lang w:eastAsia="ja-JP"/>
              </w:rPr>
            </w:pPr>
            <w:r>
              <w:rPr>
                <w:lang w:eastAsia="ja-JP"/>
              </w:rPr>
              <w:t>9,608</w:t>
            </w:r>
          </w:p>
        </w:tc>
        <w:tc>
          <w:tcPr>
            <w:tcW w:w="395" w:type="pct"/>
          </w:tcPr>
          <w:p w14:paraId="5F09E0EA">
            <w:pPr>
              <w:tabs>
                <w:tab w:val="left" w:pos="709"/>
              </w:tabs>
              <w:jc w:val="both"/>
              <w:rPr>
                <w:lang w:eastAsia="ja-JP"/>
              </w:rPr>
            </w:pPr>
            <w:r>
              <w:rPr>
                <w:lang w:eastAsia="ja-JP"/>
              </w:rPr>
              <w:t>6</w:t>
            </w:r>
          </w:p>
        </w:tc>
        <w:tc>
          <w:tcPr>
            <w:tcW w:w="558" w:type="pct"/>
          </w:tcPr>
          <w:p w14:paraId="190654E4">
            <w:pPr>
              <w:tabs>
                <w:tab w:val="left" w:pos="709"/>
              </w:tabs>
              <w:jc w:val="both"/>
              <w:rPr>
                <w:lang w:eastAsia="ja-JP"/>
              </w:rPr>
            </w:pPr>
            <w:r>
              <w:rPr>
                <w:lang w:eastAsia="ja-JP"/>
              </w:rPr>
              <w:t>62,148</w:t>
            </w:r>
          </w:p>
        </w:tc>
        <w:tc>
          <w:tcPr>
            <w:tcW w:w="396" w:type="pct"/>
          </w:tcPr>
          <w:p w14:paraId="22F3672D">
            <w:pPr>
              <w:tabs>
                <w:tab w:val="left" w:pos="709"/>
              </w:tabs>
              <w:jc w:val="both"/>
              <w:rPr>
                <w:lang w:eastAsia="ja-JP"/>
              </w:rPr>
            </w:pPr>
            <w:r>
              <w:rPr>
                <w:lang w:eastAsia="ja-JP"/>
              </w:rPr>
              <w:t>6</w:t>
            </w:r>
          </w:p>
        </w:tc>
        <w:tc>
          <w:tcPr>
            <w:tcW w:w="557" w:type="pct"/>
          </w:tcPr>
          <w:p w14:paraId="6EC9F399">
            <w:pPr>
              <w:tabs>
                <w:tab w:val="left" w:pos="709"/>
              </w:tabs>
              <w:jc w:val="both"/>
              <w:rPr>
                <w:lang w:eastAsia="ja-JP"/>
              </w:rPr>
            </w:pPr>
            <w:r>
              <w:rPr>
                <w:lang w:eastAsia="ja-JP"/>
              </w:rPr>
              <w:t>67,033</w:t>
            </w:r>
          </w:p>
        </w:tc>
        <w:tc>
          <w:tcPr>
            <w:tcW w:w="396" w:type="pct"/>
          </w:tcPr>
          <w:p w14:paraId="54933502">
            <w:pPr>
              <w:tabs>
                <w:tab w:val="left" w:pos="709"/>
              </w:tabs>
              <w:jc w:val="both"/>
              <w:rPr>
                <w:lang w:eastAsia="ja-JP"/>
              </w:rPr>
            </w:pPr>
            <w:r>
              <w:rPr>
                <w:lang w:eastAsia="ja-JP"/>
              </w:rPr>
              <w:t>7</w:t>
            </w:r>
          </w:p>
        </w:tc>
        <w:tc>
          <w:tcPr>
            <w:tcW w:w="556" w:type="pct"/>
          </w:tcPr>
          <w:p w14:paraId="2E657474">
            <w:pPr>
              <w:tabs>
                <w:tab w:val="left" w:pos="709"/>
              </w:tabs>
              <w:jc w:val="both"/>
              <w:rPr>
                <w:lang w:eastAsia="ja-JP"/>
              </w:rPr>
            </w:pPr>
            <w:r>
              <w:rPr>
                <w:lang w:eastAsia="ja-JP"/>
              </w:rPr>
              <w:t>70,628</w:t>
            </w:r>
          </w:p>
        </w:tc>
        <w:tc>
          <w:tcPr>
            <w:tcW w:w="476" w:type="pct"/>
          </w:tcPr>
          <w:p w14:paraId="0531611C">
            <w:pPr>
              <w:tabs>
                <w:tab w:val="left" w:pos="709"/>
              </w:tabs>
              <w:jc w:val="both"/>
              <w:rPr>
                <w:lang w:eastAsia="ja-JP"/>
              </w:rPr>
            </w:pPr>
            <w:r>
              <w:rPr>
                <w:lang w:eastAsia="ja-JP"/>
              </w:rPr>
              <w:t>7</w:t>
            </w:r>
          </w:p>
        </w:tc>
      </w:tr>
      <w:tr w14:paraId="28D6DE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2" w:hRule="atLeast"/>
        </w:trPr>
        <w:tc>
          <w:tcPr>
            <w:tcW w:w="555" w:type="pct"/>
          </w:tcPr>
          <w:p w14:paraId="56DA6C4F">
            <w:pPr>
              <w:tabs>
                <w:tab w:val="left" w:pos="709"/>
              </w:tabs>
              <w:jc w:val="both"/>
              <w:rPr>
                <w:b/>
                <w:lang w:eastAsia="ja-JP"/>
              </w:rPr>
            </w:pPr>
            <w:r>
              <w:rPr>
                <w:b/>
                <w:lang w:eastAsia="ja-JP"/>
              </w:rPr>
              <w:t>Wajir East</w:t>
            </w:r>
          </w:p>
        </w:tc>
        <w:tc>
          <w:tcPr>
            <w:tcW w:w="557" w:type="pct"/>
          </w:tcPr>
          <w:p w14:paraId="1479E68C">
            <w:pPr>
              <w:tabs>
                <w:tab w:val="left" w:pos="709"/>
              </w:tabs>
              <w:jc w:val="both"/>
              <w:rPr>
                <w:lang w:eastAsia="ja-JP"/>
              </w:rPr>
            </w:pPr>
            <w:r>
              <w:rPr>
                <w:lang w:eastAsia="ja-JP"/>
              </w:rPr>
              <w:t>110,651</w:t>
            </w:r>
          </w:p>
        </w:tc>
        <w:tc>
          <w:tcPr>
            <w:tcW w:w="555" w:type="pct"/>
          </w:tcPr>
          <w:p w14:paraId="238E4627">
            <w:pPr>
              <w:tabs>
                <w:tab w:val="left" w:pos="709"/>
              </w:tabs>
              <w:jc w:val="both"/>
              <w:rPr>
                <w:lang w:eastAsia="ja-JP"/>
              </w:rPr>
            </w:pPr>
            <w:r>
              <w:rPr>
                <w:lang w:eastAsia="ja-JP"/>
              </w:rPr>
              <w:t>4,053</w:t>
            </w:r>
          </w:p>
        </w:tc>
        <w:tc>
          <w:tcPr>
            <w:tcW w:w="395" w:type="pct"/>
          </w:tcPr>
          <w:p w14:paraId="24260FF9">
            <w:pPr>
              <w:tabs>
                <w:tab w:val="left" w:pos="709"/>
              </w:tabs>
              <w:jc w:val="both"/>
              <w:rPr>
                <w:lang w:eastAsia="ja-JP"/>
              </w:rPr>
            </w:pPr>
            <w:r>
              <w:rPr>
                <w:lang w:eastAsia="ja-JP"/>
              </w:rPr>
              <w:t>27</w:t>
            </w:r>
          </w:p>
        </w:tc>
        <w:tc>
          <w:tcPr>
            <w:tcW w:w="558" w:type="pct"/>
          </w:tcPr>
          <w:p w14:paraId="633F9A13">
            <w:pPr>
              <w:tabs>
                <w:tab w:val="left" w:pos="709"/>
              </w:tabs>
              <w:jc w:val="both"/>
              <w:rPr>
                <w:lang w:eastAsia="ja-JP"/>
              </w:rPr>
            </w:pPr>
            <w:r>
              <w:rPr>
                <w:lang w:eastAsia="ja-JP"/>
              </w:rPr>
              <w:t>120,165</w:t>
            </w:r>
          </w:p>
        </w:tc>
        <w:tc>
          <w:tcPr>
            <w:tcW w:w="396" w:type="pct"/>
          </w:tcPr>
          <w:p w14:paraId="1A06A3D8">
            <w:pPr>
              <w:tabs>
                <w:tab w:val="left" w:pos="709"/>
              </w:tabs>
              <w:jc w:val="both"/>
              <w:rPr>
                <w:lang w:eastAsia="ja-JP"/>
              </w:rPr>
            </w:pPr>
            <w:r>
              <w:rPr>
                <w:lang w:eastAsia="ja-JP"/>
              </w:rPr>
              <w:t>30</w:t>
            </w:r>
          </w:p>
        </w:tc>
        <w:tc>
          <w:tcPr>
            <w:tcW w:w="557" w:type="pct"/>
          </w:tcPr>
          <w:p w14:paraId="0BC86040">
            <w:pPr>
              <w:tabs>
                <w:tab w:val="left" w:pos="709"/>
              </w:tabs>
              <w:jc w:val="both"/>
              <w:rPr>
                <w:lang w:eastAsia="ja-JP"/>
              </w:rPr>
            </w:pPr>
            <w:r>
              <w:rPr>
                <w:lang w:eastAsia="ja-JP"/>
              </w:rPr>
              <w:t>129,612</w:t>
            </w:r>
          </w:p>
        </w:tc>
        <w:tc>
          <w:tcPr>
            <w:tcW w:w="396" w:type="pct"/>
          </w:tcPr>
          <w:p w14:paraId="2121355E">
            <w:pPr>
              <w:tabs>
                <w:tab w:val="left" w:pos="709"/>
              </w:tabs>
              <w:jc w:val="both"/>
              <w:rPr>
                <w:lang w:eastAsia="ja-JP"/>
              </w:rPr>
            </w:pPr>
            <w:r>
              <w:rPr>
                <w:lang w:eastAsia="ja-JP"/>
              </w:rPr>
              <w:t>32</w:t>
            </w:r>
          </w:p>
        </w:tc>
        <w:tc>
          <w:tcPr>
            <w:tcW w:w="556" w:type="pct"/>
          </w:tcPr>
          <w:p w14:paraId="120920E2">
            <w:pPr>
              <w:tabs>
                <w:tab w:val="left" w:pos="709"/>
              </w:tabs>
              <w:jc w:val="both"/>
              <w:rPr>
                <w:lang w:eastAsia="ja-JP"/>
              </w:rPr>
            </w:pPr>
            <w:r>
              <w:rPr>
                <w:lang w:eastAsia="ja-JP"/>
              </w:rPr>
              <w:t>136,563</w:t>
            </w:r>
          </w:p>
        </w:tc>
        <w:tc>
          <w:tcPr>
            <w:tcW w:w="476" w:type="pct"/>
          </w:tcPr>
          <w:p w14:paraId="033F2764">
            <w:pPr>
              <w:tabs>
                <w:tab w:val="left" w:pos="709"/>
              </w:tabs>
              <w:jc w:val="both"/>
              <w:rPr>
                <w:lang w:eastAsia="ja-JP"/>
              </w:rPr>
            </w:pPr>
            <w:r>
              <w:rPr>
                <w:lang w:eastAsia="ja-JP"/>
              </w:rPr>
              <w:t>34</w:t>
            </w:r>
          </w:p>
        </w:tc>
      </w:tr>
      <w:tr w14:paraId="3C227B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81" w:hRule="atLeast"/>
        </w:trPr>
        <w:tc>
          <w:tcPr>
            <w:tcW w:w="555" w:type="pct"/>
          </w:tcPr>
          <w:p w14:paraId="56107CF3">
            <w:pPr>
              <w:tabs>
                <w:tab w:val="left" w:pos="709"/>
              </w:tabs>
              <w:jc w:val="both"/>
              <w:rPr>
                <w:b/>
                <w:lang w:eastAsia="ja-JP"/>
              </w:rPr>
            </w:pPr>
            <w:r>
              <w:rPr>
                <w:b/>
                <w:lang w:eastAsia="ja-JP"/>
              </w:rPr>
              <w:t>Wajir West</w:t>
            </w:r>
          </w:p>
        </w:tc>
        <w:tc>
          <w:tcPr>
            <w:tcW w:w="557" w:type="pct"/>
          </w:tcPr>
          <w:p w14:paraId="51964EEB">
            <w:pPr>
              <w:tabs>
                <w:tab w:val="left" w:pos="709"/>
              </w:tabs>
              <w:jc w:val="both"/>
              <w:rPr>
                <w:lang w:eastAsia="ja-JP"/>
              </w:rPr>
            </w:pPr>
            <w:r>
              <w:rPr>
                <w:lang w:eastAsia="ja-JP"/>
              </w:rPr>
              <w:t>121,822</w:t>
            </w:r>
          </w:p>
        </w:tc>
        <w:tc>
          <w:tcPr>
            <w:tcW w:w="555" w:type="pct"/>
          </w:tcPr>
          <w:p w14:paraId="0E5E62A5">
            <w:pPr>
              <w:tabs>
                <w:tab w:val="left" w:pos="709"/>
              </w:tabs>
              <w:jc w:val="both"/>
              <w:rPr>
                <w:lang w:eastAsia="ja-JP"/>
              </w:rPr>
            </w:pPr>
            <w:r>
              <w:rPr>
                <w:lang w:eastAsia="ja-JP"/>
              </w:rPr>
              <w:t>9,044</w:t>
            </w:r>
          </w:p>
        </w:tc>
        <w:tc>
          <w:tcPr>
            <w:tcW w:w="395" w:type="pct"/>
          </w:tcPr>
          <w:p w14:paraId="55FAFC2D">
            <w:pPr>
              <w:tabs>
                <w:tab w:val="left" w:pos="709"/>
              </w:tabs>
              <w:jc w:val="both"/>
              <w:rPr>
                <w:lang w:eastAsia="ja-JP"/>
              </w:rPr>
            </w:pPr>
            <w:r>
              <w:rPr>
                <w:lang w:eastAsia="ja-JP"/>
              </w:rPr>
              <w:t>13</w:t>
            </w:r>
          </w:p>
        </w:tc>
        <w:tc>
          <w:tcPr>
            <w:tcW w:w="558" w:type="pct"/>
          </w:tcPr>
          <w:p w14:paraId="18A938F2">
            <w:pPr>
              <w:tabs>
                <w:tab w:val="left" w:pos="709"/>
              </w:tabs>
              <w:jc w:val="both"/>
              <w:rPr>
                <w:lang w:eastAsia="ja-JP"/>
              </w:rPr>
            </w:pPr>
            <w:r>
              <w:rPr>
                <w:lang w:eastAsia="ja-JP"/>
              </w:rPr>
              <w:t>132,297</w:t>
            </w:r>
          </w:p>
        </w:tc>
        <w:tc>
          <w:tcPr>
            <w:tcW w:w="396" w:type="pct"/>
          </w:tcPr>
          <w:p w14:paraId="2EFA534A">
            <w:pPr>
              <w:tabs>
                <w:tab w:val="left" w:pos="709"/>
              </w:tabs>
              <w:jc w:val="both"/>
              <w:rPr>
                <w:lang w:eastAsia="ja-JP"/>
              </w:rPr>
            </w:pPr>
            <w:r>
              <w:rPr>
                <w:lang w:eastAsia="ja-JP"/>
              </w:rPr>
              <w:t>15</w:t>
            </w:r>
          </w:p>
        </w:tc>
        <w:tc>
          <w:tcPr>
            <w:tcW w:w="557" w:type="pct"/>
          </w:tcPr>
          <w:p w14:paraId="5459FA46">
            <w:pPr>
              <w:tabs>
                <w:tab w:val="left" w:pos="709"/>
              </w:tabs>
              <w:jc w:val="both"/>
              <w:rPr>
                <w:lang w:eastAsia="ja-JP"/>
              </w:rPr>
            </w:pPr>
            <w:r>
              <w:rPr>
                <w:lang w:eastAsia="ja-JP"/>
              </w:rPr>
              <w:t>142,697</w:t>
            </w:r>
          </w:p>
        </w:tc>
        <w:tc>
          <w:tcPr>
            <w:tcW w:w="396" w:type="pct"/>
          </w:tcPr>
          <w:p w14:paraId="1AE338B5">
            <w:pPr>
              <w:tabs>
                <w:tab w:val="left" w:pos="709"/>
              </w:tabs>
              <w:jc w:val="both"/>
              <w:rPr>
                <w:lang w:eastAsia="ja-JP"/>
              </w:rPr>
            </w:pPr>
            <w:r>
              <w:rPr>
                <w:lang w:eastAsia="ja-JP"/>
              </w:rPr>
              <w:t>16</w:t>
            </w:r>
          </w:p>
        </w:tc>
        <w:tc>
          <w:tcPr>
            <w:tcW w:w="556" w:type="pct"/>
          </w:tcPr>
          <w:p w14:paraId="1A03331A">
            <w:pPr>
              <w:tabs>
                <w:tab w:val="left" w:pos="709"/>
              </w:tabs>
              <w:jc w:val="both"/>
              <w:rPr>
                <w:lang w:eastAsia="ja-JP"/>
              </w:rPr>
            </w:pPr>
            <w:r>
              <w:rPr>
                <w:lang w:eastAsia="ja-JP"/>
              </w:rPr>
              <w:t>150,349</w:t>
            </w:r>
          </w:p>
        </w:tc>
        <w:tc>
          <w:tcPr>
            <w:tcW w:w="476" w:type="pct"/>
          </w:tcPr>
          <w:p w14:paraId="07CC1A88">
            <w:pPr>
              <w:tabs>
                <w:tab w:val="left" w:pos="709"/>
              </w:tabs>
              <w:jc w:val="both"/>
              <w:rPr>
                <w:lang w:eastAsia="ja-JP"/>
              </w:rPr>
            </w:pPr>
            <w:r>
              <w:rPr>
                <w:lang w:eastAsia="ja-JP"/>
              </w:rPr>
              <w:t>17</w:t>
            </w:r>
          </w:p>
        </w:tc>
      </w:tr>
      <w:tr w14:paraId="603E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36" w:hRule="atLeast"/>
        </w:trPr>
        <w:tc>
          <w:tcPr>
            <w:tcW w:w="555" w:type="pct"/>
          </w:tcPr>
          <w:p w14:paraId="11F1110C">
            <w:pPr>
              <w:tabs>
                <w:tab w:val="left" w:pos="709"/>
              </w:tabs>
              <w:jc w:val="both"/>
              <w:rPr>
                <w:b/>
                <w:lang w:eastAsia="ja-JP"/>
              </w:rPr>
            </w:pPr>
            <w:r>
              <w:rPr>
                <w:b/>
                <w:lang w:eastAsia="ja-JP"/>
              </w:rPr>
              <w:t>Total</w:t>
            </w:r>
          </w:p>
        </w:tc>
        <w:tc>
          <w:tcPr>
            <w:tcW w:w="557" w:type="pct"/>
          </w:tcPr>
          <w:p w14:paraId="6827AC9C">
            <w:pPr>
              <w:tabs>
                <w:tab w:val="left" w:pos="709"/>
              </w:tabs>
              <w:jc w:val="both"/>
              <w:rPr>
                <w:b/>
                <w:lang w:eastAsia="ja-JP"/>
              </w:rPr>
            </w:pPr>
            <w:r>
              <w:rPr>
                <w:b/>
                <w:lang w:eastAsia="ja-JP"/>
              </w:rPr>
              <w:t>781,214</w:t>
            </w:r>
          </w:p>
        </w:tc>
        <w:tc>
          <w:tcPr>
            <w:tcW w:w="555" w:type="pct"/>
          </w:tcPr>
          <w:p w14:paraId="5515BFCD">
            <w:pPr>
              <w:tabs>
                <w:tab w:val="left" w:pos="709"/>
              </w:tabs>
              <w:jc w:val="both"/>
              <w:rPr>
                <w:b/>
                <w:lang w:eastAsia="ja-JP"/>
              </w:rPr>
            </w:pPr>
            <w:r>
              <w:rPr>
                <w:b/>
                <w:lang w:eastAsia="ja-JP"/>
              </w:rPr>
              <w:t>56,773</w:t>
            </w:r>
          </w:p>
        </w:tc>
        <w:tc>
          <w:tcPr>
            <w:tcW w:w="395" w:type="pct"/>
          </w:tcPr>
          <w:p w14:paraId="3E6C013A">
            <w:pPr>
              <w:tabs>
                <w:tab w:val="left" w:pos="709"/>
              </w:tabs>
              <w:jc w:val="both"/>
              <w:rPr>
                <w:b/>
                <w:lang w:eastAsia="ja-JP"/>
              </w:rPr>
            </w:pPr>
            <w:r>
              <w:rPr>
                <w:b/>
                <w:lang w:eastAsia="ja-JP"/>
              </w:rPr>
              <w:t>14</w:t>
            </w:r>
          </w:p>
        </w:tc>
        <w:tc>
          <w:tcPr>
            <w:tcW w:w="558" w:type="pct"/>
          </w:tcPr>
          <w:p w14:paraId="5077DB2C">
            <w:pPr>
              <w:tabs>
                <w:tab w:val="left" w:pos="709"/>
              </w:tabs>
              <w:jc w:val="both"/>
              <w:rPr>
                <w:b/>
                <w:lang w:eastAsia="ja-JP"/>
              </w:rPr>
            </w:pPr>
            <w:r>
              <w:rPr>
                <w:b/>
                <w:lang w:eastAsia="ja-JP"/>
              </w:rPr>
              <w:t>848,385</w:t>
            </w:r>
          </w:p>
        </w:tc>
        <w:tc>
          <w:tcPr>
            <w:tcW w:w="396" w:type="pct"/>
          </w:tcPr>
          <w:p w14:paraId="211FFD4E">
            <w:pPr>
              <w:tabs>
                <w:tab w:val="left" w:pos="709"/>
              </w:tabs>
              <w:jc w:val="both"/>
              <w:rPr>
                <w:b/>
                <w:lang w:eastAsia="ja-JP"/>
              </w:rPr>
            </w:pPr>
            <w:r>
              <w:rPr>
                <w:b/>
                <w:lang w:eastAsia="ja-JP"/>
              </w:rPr>
              <w:t>15</w:t>
            </w:r>
          </w:p>
        </w:tc>
        <w:tc>
          <w:tcPr>
            <w:tcW w:w="557" w:type="pct"/>
          </w:tcPr>
          <w:p w14:paraId="63455667">
            <w:pPr>
              <w:tabs>
                <w:tab w:val="left" w:pos="709"/>
              </w:tabs>
              <w:jc w:val="both"/>
              <w:rPr>
                <w:b/>
                <w:lang w:eastAsia="ja-JP"/>
              </w:rPr>
            </w:pPr>
            <w:r>
              <w:rPr>
                <w:b/>
                <w:lang w:eastAsia="ja-JP"/>
              </w:rPr>
              <w:t>915,082</w:t>
            </w:r>
          </w:p>
        </w:tc>
        <w:tc>
          <w:tcPr>
            <w:tcW w:w="396" w:type="pct"/>
          </w:tcPr>
          <w:p w14:paraId="761088AD">
            <w:pPr>
              <w:tabs>
                <w:tab w:val="left" w:pos="709"/>
              </w:tabs>
              <w:jc w:val="both"/>
              <w:rPr>
                <w:b/>
                <w:lang w:eastAsia="ja-JP"/>
              </w:rPr>
            </w:pPr>
            <w:r>
              <w:rPr>
                <w:b/>
                <w:lang w:eastAsia="ja-JP"/>
              </w:rPr>
              <w:t>16</w:t>
            </w:r>
          </w:p>
        </w:tc>
        <w:tc>
          <w:tcPr>
            <w:tcW w:w="556" w:type="pct"/>
          </w:tcPr>
          <w:p w14:paraId="73585E30">
            <w:pPr>
              <w:tabs>
                <w:tab w:val="left" w:pos="709"/>
              </w:tabs>
              <w:jc w:val="both"/>
              <w:rPr>
                <w:b/>
                <w:lang w:eastAsia="ja-JP"/>
              </w:rPr>
            </w:pPr>
            <w:r>
              <w:rPr>
                <w:b/>
                <w:lang w:eastAsia="ja-JP"/>
              </w:rPr>
              <w:t>964,154</w:t>
            </w:r>
          </w:p>
        </w:tc>
        <w:tc>
          <w:tcPr>
            <w:tcW w:w="476" w:type="pct"/>
          </w:tcPr>
          <w:p w14:paraId="202255B2">
            <w:pPr>
              <w:tabs>
                <w:tab w:val="left" w:pos="709"/>
              </w:tabs>
              <w:jc w:val="both"/>
              <w:rPr>
                <w:b/>
                <w:lang w:eastAsia="ja-JP"/>
              </w:rPr>
            </w:pPr>
            <w:r>
              <w:rPr>
                <w:b/>
                <w:lang w:eastAsia="ja-JP"/>
              </w:rPr>
              <w:t>17</w:t>
            </w:r>
          </w:p>
        </w:tc>
      </w:tr>
    </w:tbl>
    <w:p w14:paraId="4FB78F5A">
      <w:pPr>
        <w:tabs>
          <w:tab w:val="left" w:pos="709"/>
        </w:tabs>
        <w:ind w:left="709"/>
        <w:jc w:val="both"/>
        <w:rPr>
          <w:i/>
          <w:lang w:eastAsia="ja-JP" w:bidi="en-US"/>
        </w:rPr>
      </w:pPr>
      <w:r>
        <w:rPr>
          <w:i/>
          <w:lang w:eastAsia="ja-JP" w:bidi="en-US"/>
        </w:rPr>
        <w:t>Source: Wajir CIDP 2023-2027</w:t>
      </w:r>
    </w:p>
    <w:p w14:paraId="5003566C">
      <w:pPr>
        <w:tabs>
          <w:tab w:val="left" w:pos="709"/>
        </w:tabs>
        <w:ind w:left="709"/>
        <w:jc w:val="both"/>
        <w:rPr>
          <w:b/>
          <w:lang w:eastAsia="ja-JP" w:bidi="en-US"/>
        </w:rPr>
      </w:pPr>
      <w:r>
        <w:rPr>
          <w:b/>
          <w:lang w:eastAsia="ja-JP" w:bidi="en-US"/>
        </w:rPr>
        <w:t>Population Projection by Broad Age Groups</w:t>
      </w:r>
    </w:p>
    <w:p w14:paraId="2B174833">
      <w:pPr>
        <w:tabs>
          <w:tab w:val="left" w:pos="709"/>
        </w:tabs>
        <w:ind w:left="709"/>
        <w:jc w:val="both"/>
        <w:rPr>
          <w:lang w:eastAsia="ja-JP" w:bidi="en-US"/>
        </w:rPr>
      </w:pPr>
      <w:r>
        <w:rPr>
          <w:lang w:eastAsia="ja-JP" w:bidi="en-US"/>
        </w:rPr>
        <w:t>Wajir has a relatively young population, table 8 shows that the youth constitute 34 percent of the county population. Children of school going age constitute over 40 percent of the population in 2022 and is projected to slightly decrease to 37 percent by 2027. Children under five constitute 16 percent of the county population. The challenges facing this group include: malnutrition, low immunization coverage and low enrolment in ECDE.</w:t>
      </w:r>
    </w:p>
    <w:p w14:paraId="373993A3">
      <w:pPr>
        <w:keepNext/>
        <w:keepLines/>
        <w:tabs>
          <w:tab w:val="left" w:pos="709"/>
        </w:tabs>
        <w:ind w:left="709"/>
        <w:jc w:val="both"/>
        <w:rPr>
          <w:lang w:eastAsia="ja-JP" w:bidi="en-US"/>
        </w:rPr>
      </w:pPr>
      <w:r>
        <w:rPr>
          <w:lang w:eastAsia="ja-JP" w:bidi="en-US"/>
        </w:rPr>
        <w:t>6.1 percent of the population is in the category of ECDE as at 2022, projected to slightly decrease to 5.6 percent by 2027. The population that is economically active stand at 53.4 percent in 2022, slightly growing to 57.3 percent by 2027. This implies that the dependency ratio is consistently decreasing over the plan period although at a slow pace. The older persons, 65+, constitute a small proportion of the population remaining around 1.6 percent over the plan period. The dominant Somali community’s cultural practices of taking care of the elderly within the family structures is expected to partly take care for this segment of the society. In addition, the national and county governments must continue and upscale social protection for the elderly, OVCs, most vulnerable and severely disabled segments of the county population.</w:t>
      </w:r>
    </w:p>
    <w:p w14:paraId="36E19627">
      <w:pPr>
        <w:tabs>
          <w:tab w:val="left" w:pos="709"/>
        </w:tabs>
        <w:ind w:left="709"/>
        <w:jc w:val="both"/>
        <w:rPr>
          <w:b/>
          <w:lang w:eastAsia="ja-JP" w:bidi="en-US"/>
        </w:rPr>
      </w:pPr>
      <w:r>
        <w:rPr>
          <w:b/>
          <w:lang w:eastAsia="ja-JP" w:bidi="en-US"/>
        </w:rPr>
        <w:t xml:space="preserve">Population of Persons with Disability </w:t>
      </w:r>
    </w:p>
    <w:p w14:paraId="074A2A04">
      <w:pPr>
        <w:tabs>
          <w:tab w:val="left" w:pos="709"/>
        </w:tabs>
        <w:ind w:left="709"/>
        <w:jc w:val="both"/>
        <w:rPr>
          <w:lang w:eastAsia="ja-JP" w:bidi="en-US"/>
        </w:rPr>
      </w:pPr>
      <w:r>
        <w:rPr>
          <w:lang w:eastAsia="ja-JP" w:bidi="en-US"/>
        </w:rPr>
        <w:t>The population of persons living with disability in the county by category; there is a population of 6,886 persons that lived with disability at the time of census in 2019.</w:t>
      </w:r>
    </w:p>
    <w:p w14:paraId="433A98BF">
      <w:pPr>
        <w:tabs>
          <w:tab w:val="left" w:pos="709"/>
        </w:tabs>
        <w:ind w:left="709"/>
        <w:jc w:val="both"/>
        <w:rPr>
          <w:lang w:eastAsia="ja-JP" w:bidi="en-US"/>
        </w:rPr>
      </w:pPr>
      <w:r>
        <w:rPr>
          <w:lang w:eastAsia="ja-JP" w:bidi="en-US"/>
        </w:rPr>
        <w:t xml:space="preserve">In terms of category, most of the people with disability have a problem with mobility at 23.7 percent of the population, followed by difficulty with self-care at 20.2 percent and cognition problem at 18.4 percent. The least is difficulty in hearing at 11 percent. </w:t>
      </w:r>
    </w:p>
    <w:p w14:paraId="3A02A131">
      <w:pPr>
        <w:tabs>
          <w:tab w:val="left" w:pos="709"/>
        </w:tabs>
        <w:ind w:left="709"/>
        <w:jc w:val="both"/>
        <w:rPr>
          <w:lang w:eastAsia="ja-JP" w:bidi="en-US"/>
        </w:rPr>
      </w:pPr>
      <w:r>
        <w:rPr>
          <w:lang w:eastAsia="ja-JP" w:bidi="en-US"/>
        </w:rPr>
        <w:t xml:space="preserve">Geographically, Wajir South constituency has the highest population of people with disability at 36 percent, followed by Eldas at 29 percent and Tarbaj has the least at 5 percent. </w:t>
      </w:r>
      <w:bookmarkStart w:id="210" w:name="_Toc80082633"/>
      <w:bookmarkEnd w:id="210"/>
      <w:bookmarkStart w:id="211" w:name="_Toc80171139"/>
      <w:bookmarkEnd w:id="211"/>
      <w:bookmarkStart w:id="212" w:name="_Toc80171141"/>
      <w:bookmarkEnd w:id="212"/>
      <w:bookmarkStart w:id="213" w:name="_Toc80171142"/>
      <w:bookmarkEnd w:id="213"/>
      <w:bookmarkStart w:id="214" w:name="_Toc80082634"/>
      <w:bookmarkEnd w:id="214"/>
      <w:bookmarkStart w:id="215" w:name="_Toc80082635"/>
      <w:bookmarkEnd w:id="215"/>
      <w:bookmarkStart w:id="216" w:name="_Toc80082636"/>
      <w:bookmarkEnd w:id="216"/>
      <w:bookmarkStart w:id="217" w:name="_Toc80171140"/>
      <w:bookmarkEnd w:id="217"/>
      <w:bookmarkStart w:id="218" w:name="_Toc87882813"/>
    </w:p>
    <w:p w14:paraId="0C3300D1">
      <w:pPr>
        <w:tabs>
          <w:tab w:val="left" w:pos="709"/>
        </w:tabs>
        <w:ind w:left="709"/>
        <w:jc w:val="both"/>
        <w:rPr>
          <w:lang w:eastAsia="ja-JP" w:bidi="en-US"/>
        </w:rPr>
      </w:pPr>
      <w:bookmarkStart w:id="219" w:name="_Toc179556819"/>
      <w:r>
        <w:t xml:space="preserve">Table </w:t>
      </w:r>
      <w:r>
        <w:fldChar w:fldCharType="begin"/>
      </w:r>
      <w:r>
        <w:instrText xml:space="preserve"> SEQ Table \* ARABIC </w:instrText>
      </w:r>
      <w:r>
        <w:fldChar w:fldCharType="separate"/>
      </w:r>
      <w:r>
        <w:t>8</w:t>
      </w:r>
      <w:r>
        <w:fldChar w:fldCharType="end"/>
      </w:r>
      <w:r>
        <w:rPr>
          <w:b/>
          <w:i/>
          <w:iCs/>
          <w:lang w:val="en-GB" w:eastAsia="ja-JP"/>
        </w:rPr>
        <w:t>: Key Population Data Wajir Town</w:t>
      </w:r>
      <w:bookmarkEnd w:id="218"/>
      <w:bookmarkEnd w:id="219"/>
      <w:r>
        <w:rPr>
          <w:b/>
          <w:i/>
          <w:iCs/>
          <w:lang w:val="en-GB" w:eastAsia="ja-JP"/>
        </w:rPr>
        <w:t xml:space="preserve"> </w:t>
      </w:r>
    </w:p>
    <w:tbl>
      <w:tblPr>
        <w:tblStyle w:val="12"/>
        <w:tblW w:w="4610" w:type="pct"/>
        <w:tblInd w:w="704" w:type="dxa"/>
        <w:tblLayout w:type="autofit"/>
        <w:tblCellMar>
          <w:top w:w="0" w:type="dxa"/>
          <w:left w:w="108" w:type="dxa"/>
          <w:bottom w:w="0" w:type="dxa"/>
          <w:right w:w="108" w:type="dxa"/>
        </w:tblCellMar>
      </w:tblPr>
      <w:tblGrid>
        <w:gridCol w:w="2092"/>
        <w:gridCol w:w="3068"/>
        <w:gridCol w:w="3361"/>
      </w:tblGrid>
      <w:tr w14:paraId="35F0B1B9">
        <w:tblPrEx>
          <w:tblCellMar>
            <w:top w:w="0" w:type="dxa"/>
            <w:left w:w="108" w:type="dxa"/>
            <w:bottom w:w="0" w:type="dxa"/>
            <w:right w:w="108" w:type="dxa"/>
          </w:tblCellMar>
        </w:tblPrEx>
        <w:trPr>
          <w:trHeight w:val="272" w:hRule="atLeast"/>
          <w:tblHeader/>
        </w:trPr>
        <w:tc>
          <w:tcPr>
            <w:tcW w:w="1228" w:type="pct"/>
            <w:vMerge w:val="restart"/>
            <w:tcBorders>
              <w:top w:val="single" w:color="auto" w:sz="4" w:space="0"/>
              <w:left w:val="single" w:color="auto" w:sz="4" w:space="0"/>
              <w:right w:val="single" w:color="auto" w:sz="4" w:space="0"/>
            </w:tcBorders>
            <w:shd w:val="clear" w:color="auto" w:fill="D6DCE4" w:themeFill="text2" w:themeFillTint="33"/>
            <w:vAlign w:val="center"/>
          </w:tcPr>
          <w:p w14:paraId="1BB2F658">
            <w:pPr>
              <w:tabs>
                <w:tab w:val="left" w:pos="709"/>
              </w:tabs>
              <w:jc w:val="both"/>
              <w:rPr>
                <w:b/>
                <w:bCs/>
                <w:lang w:val="en-GB" w:eastAsia="ja-JP"/>
              </w:rPr>
            </w:pPr>
            <w:r>
              <w:rPr>
                <w:b/>
                <w:bCs/>
                <w:lang w:val="en-GB" w:eastAsia="ja-JP"/>
              </w:rPr>
              <w:t>Sub location</w:t>
            </w:r>
          </w:p>
        </w:tc>
        <w:tc>
          <w:tcPr>
            <w:tcW w:w="3772" w:type="pct"/>
            <w:gridSpan w:val="2"/>
            <w:tcBorders>
              <w:top w:val="single" w:color="auto" w:sz="4" w:space="0"/>
              <w:left w:val="nil"/>
              <w:bottom w:val="single" w:color="auto" w:sz="4" w:space="0"/>
              <w:right w:val="single" w:color="auto" w:sz="4" w:space="0"/>
            </w:tcBorders>
            <w:shd w:val="clear" w:color="auto" w:fill="D6DCE4" w:themeFill="text2" w:themeFillTint="33"/>
            <w:noWrap/>
            <w:vAlign w:val="bottom"/>
          </w:tcPr>
          <w:p w14:paraId="3BA14C16">
            <w:pPr>
              <w:tabs>
                <w:tab w:val="left" w:pos="709"/>
              </w:tabs>
              <w:jc w:val="both"/>
              <w:rPr>
                <w:b/>
                <w:bCs/>
                <w:lang w:val="en-GB" w:eastAsia="ja-JP"/>
              </w:rPr>
            </w:pPr>
            <w:r>
              <w:rPr>
                <w:b/>
                <w:bCs/>
                <w:lang w:val="en-GB" w:eastAsia="ja-JP"/>
              </w:rPr>
              <w:t>Population</w:t>
            </w:r>
          </w:p>
        </w:tc>
      </w:tr>
      <w:tr w14:paraId="13F02001">
        <w:tblPrEx>
          <w:tblCellMar>
            <w:top w:w="0" w:type="dxa"/>
            <w:left w:w="108" w:type="dxa"/>
            <w:bottom w:w="0" w:type="dxa"/>
            <w:right w:w="108" w:type="dxa"/>
          </w:tblCellMar>
        </w:tblPrEx>
        <w:trPr>
          <w:trHeight w:val="285" w:hRule="atLeast"/>
          <w:tblHeader/>
        </w:trPr>
        <w:tc>
          <w:tcPr>
            <w:tcW w:w="1228" w:type="pct"/>
            <w:vMerge w:val="continue"/>
            <w:tcBorders>
              <w:left w:val="single" w:color="auto" w:sz="4" w:space="0"/>
              <w:right w:val="single" w:color="auto" w:sz="4" w:space="0"/>
            </w:tcBorders>
            <w:shd w:val="clear" w:color="auto" w:fill="D6DCE4" w:themeFill="text2" w:themeFillTint="33"/>
            <w:vAlign w:val="center"/>
          </w:tcPr>
          <w:p w14:paraId="6DDED5DA">
            <w:pPr>
              <w:tabs>
                <w:tab w:val="left" w:pos="709"/>
              </w:tabs>
              <w:jc w:val="both"/>
              <w:rPr>
                <w:b/>
                <w:bCs/>
                <w:lang w:val="en-GB" w:eastAsia="ja-JP"/>
              </w:rPr>
            </w:pPr>
          </w:p>
        </w:tc>
        <w:tc>
          <w:tcPr>
            <w:tcW w:w="1800" w:type="pct"/>
            <w:tcBorders>
              <w:top w:val="nil"/>
              <w:left w:val="nil"/>
              <w:right w:val="single" w:color="auto" w:sz="4" w:space="0"/>
            </w:tcBorders>
            <w:shd w:val="clear" w:color="auto" w:fill="D6DCE4" w:themeFill="text2" w:themeFillTint="33"/>
            <w:noWrap/>
            <w:vAlign w:val="bottom"/>
          </w:tcPr>
          <w:p w14:paraId="18BF0F9F">
            <w:pPr>
              <w:tabs>
                <w:tab w:val="left" w:pos="709"/>
              </w:tabs>
              <w:jc w:val="both"/>
              <w:rPr>
                <w:b/>
                <w:bCs/>
                <w:lang w:val="en-GB" w:eastAsia="ja-JP"/>
              </w:rPr>
            </w:pPr>
            <w:r>
              <w:rPr>
                <w:b/>
                <w:bCs/>
                <w:lang w:val="en-GB" w:eastAsia="ja-JP"/>
              </w:rPr>
              <w:t>2019</w:t>
            </w:r>
          </w:p>
        </w:tc>
        <w:tc>
          <w:tcPr>
            <w:tcW w:w="1972" w:type="pct"/>
            <w:tcBorders>
              <w:top w:val="nil"/>
              <w:left w:val="nil"/>
              <w:right w:val="single" w:color="auto" w:sz="4" w:space="0"/>
            </w:tcBorders>
            <w:shd w:val="clear" w:color="auto" w:fill="D6DCE4" w:themeFill="text2" w:themeFillTint="33"/>
            <w:noWrap/>
            <w:vAlign w:val="bottom"/>
          </w:tcPr>
          <w:p w14:paraId="74C71150">
            <w:pPr>
              <w:tabs>
                <w:tab w:val="left" w:pos="709"/>
              </w:tabs>
              <w:jc w:val="both"/>
              <w:rPr>
                <w:b/>
                <w:bCs/>
                <w:lang w:val="en-GB" w:eastAsia="ja-JP"/>
              </w:rPr>
            </w:pPr>
            <w:r>
              <w:rPr>
                <w:b/>
                <w:bCs/>
                <w:lang w:val="en-GB" w:eastAsia="ja-JP"/>
              </w:rPr>
              <w:t>Current -2025</w:t>
            </w:r>
          </w:p>
        </w:tc>
      </w:tr>
      <w:tr w14:paraId="4D734ACF">
        <w:tblPrEx>
          <w:tblCellMar>
            <w:top w:w="0" w:type="dxa"/>
            <w:left w:w="108" w:type="dxa"/>
            <w:bottom w:w="0" w:type="dxa"/>
            <w:right w:w="108" w:type="dxa"/>
          </w:tblCellMar>
        </w:tblPrEx>
        <w:trPr>
          <w:trHeight w:val="272"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7E08763D">
            <w:pPr>
              <w:tabs>
                <w:tab w:val="left" w:pos="709"/>
              </w:tabs>
              <w:jc w:val="both"/>
              <w:rPr>
                <w:lang w:val="en-GB" w:eastAsia="ja-JP"/>
              </w:rPr>
            </w:pPr>
            <w:r>
              <w:rPr>
                <w:lang w:val="en-GB" w:eastAsia="ja-JP"/>
              </w:rPr>
              <w:t>Township</w:t>
            </w:r>
          </w:p>
        </w:tc>
        <w:tc>
          <w:tcPr>
            <w:tcW w:w="1800" w:type="pct"/>
            <w:tcBorders>
              <w:top w:val="nil"/>
              <w:left w:val="nil"/>
              <w:bottom w:val="single" w:color="auto" w:sz="4" w:space="0"/>
              <w:right w:val="single" w:color="auto" w:sz="4" w:space="0"/>
            </w:tcBorders>
            <w:shd w:val="clear" w:color="auto" w:fill="auto"/>
            <w:noWrap/>
            <w:vAlign w:val="bottom"/>
          </w:tcPr>
          <w:p w14:paraId="25AD04FD">
            <w:pPr>
              <w:tabs>
                <w:tab w:val="left" w:pos="709"/>
              </w:tabs>
              <w:jc w:val="both"/>
              <w:rPr>
                <w:lang w:val="en-GB" w:eastAsia="ja-JP"/>
              </w:rPr>
            </w:pPr>
            <w:r>
              <w:rPr>
                <w:lang w:val="en-GB" w:eastAsia="ja-JP"/>
              </w:rPr>
              <w:t>3,638</w:t>
            </w:r>
          </w:p>
        </w:tc>
        <w:tc>
          <w:tcPr>
            <w:tcW w:w="1972" w:type="pct"/>
            <w:tcBorders>
              <w:top w:val="nil"/>
              <w:left w:val="nil"/>
              <w:bottom w:val="single" w:color="auto" w:sz="4" w:space="0"/>
              <w:right w:val="single" w:color="auto" w:sz="4" w:space="0"/>
            </w:tcBorders>
            <w:shd w:val="clear" w:color="auto" w:fill="auto"/>
            <w:noWrap/>
            <w:vAlign w:val="bottom"/>
          </w:tcPr>
          <w:p w14:paraId="79A51714">
            <w:pPr>
              <w:tabs>
                <w:tab w:val="left" w:pos="709"/>
              </w:tabs>
              <w:jc w:val="both"/>
              <w:rPr>
                <w:lang w:val="en-GB" w:eastAsia="ja-JP"/>
              </w:rPr>
            </w:pPr>
            <w:r>
              <w:rPr>
                <w:lang w:val="en-GB" w:eastAsia="ja-JP"/>
              </w:rPr>
              <w:t>3,882</w:t>
            </w:r>
          </w:p>
        </w:tc>
      </w:tr>
      <w:tr w14:paraId="2D303EF4">
        <w:tblPrEx>
          <w:tblCellMar>
            <w:top w:w="0" w:type="dxa"/>
            <w:left w:w="108" w:type="dxa"/>
            <w:bottom w:w="0" w:type="dxa"/>
            <w:right w:w="108" w:type="dxa"/>
          </w:tblCellMar>
        </w:tblPrEx>
        <w:trPr>
          <w:trHeight w:val="272"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5B09BA71">
            <w:pPr>
              <w:tabs>
                <w:tab w:val="left" w:pos="709"/>
              </w:tabs>
              <w:jc w:val="both"/>
              <w:rPr>
                <w:lang w:val="en-GB" w:eastAsia="ja-JP"/>
              </w:rPr>
            </w:pPr>
            <w:r>
              <w:rPr>
                <w:lang w:val="en-GB" w:eastAsia="ja-JP"/>
              </w:rPr>
              <w:t>Halane</w:t>
            </w:r>
          </w:p>
        </w:tc>
        <w:tc>
          <w:tcPr>
            <w:tcW w:w="1800" w:type="pct"/>
            <w:tcBorders>
              <w:top w:val="nil"/>
              <w:left w:val="nil"/>
              <w:bottom w:val="single" w:color="auto" w:sz="4" w:space="0"/>
              <w:right w:val="single" w:color="auto" w:sz="4" w:space="0"/>
            </w:tcBorders>
            <w:shd w:val="clear" w:color="auto" w:fill="auto"/>
            <w:noWrap/>
            <w:vAlign w:val="bottom"/>
          </w:tcPr>
          <w:p w14:paraId="1F4279B0">
            <w:pPr>
              <w:tabs>
                <w:tab w:val="left" w:pos="709"/>
              </w:tabs>
              <w:jc w:val="both"/>
              <w:rPr>
                <w:lang w:val="en-GB" w:eastAsia="ja-JP"/>
              </w:rPr>
            </w:pPr>
            <w:r>
              <w:rPr>
                <w:lang w:val="en-GB" w:eastAsia="ja-JP"/>
              </w:rPr>
              <w:t>9,332</w:t>
            </w:r>
          </w:p>
        </w:tc>
        <w:tc>
          <w:tcPr>
            <w:tcW w:w="1972" w:type="pct"/>
            <w:tcBorders>
              <w:top w:val="nil"/>
              <w:left w:val="nil"/>
              <w:bottom w:val="single" w:color="auto" w:sz="4" w:space="0"/>
              <w:right w:val="single" w:color="auto" w:sz="4" w:space="0"/>
            </w:tcBorders>
            <w:shd w:val="clear" w:color="auto" w:fill="auto"/>
            <w:noWrap/>
            <w:vAlign w:val="bottom"/>
          </w:tcPr>
          <w:p w14:paraId="54431959">
            <w:pPr>
              <w:tabs>
                <w:tab w:val="left" w:pos="709"/>
              </w:tabs>
              <w:jc w:val="both"/>
              <w:rPr>
                <w:lang w:val="en-GB" w:eastAsia="ja-JP"/>
              </w:rPr>
            </w:pPr>
            <w:r>
              <w:rPr>
                <w:lang w:val="en-GB" w:eastAsia="ja-JP"/>
              </w:rPr>
              <w:t>9,957</w:t>
            </w:r>
          </w:p>
        </w:tc>
      </w:tr>
      <w:tr w14:paraId="25EBA7FF">
        <w:tblPrEx>
          <w:tblCellMar>
            <w:top w:w="0" w:type="dxa"/>
            <w:left w:w="108" w:type="dxa"/>
            <w:bottom w:w="0" w:type="dxa"/>
            <w:right w:w="108" w:type="dxa"/>
          </w:tblCellMar>
        </w:tblPrEx>
        <w:trPr>
          <w:trHeight w:val="272"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2EEBE564">
            <w:pPr>
              <w:tabs>
                <w:tab w:val="left" w:pos="709"/>
              </w:tabs>
              <w:jc w:val="both"/>
              <w:rPr>
                <w:lang w:val="en-GB" w:eastAsia="ja-JP"/>
              </w:rPr>
            </w:pPr>
            <w:r>
              <w:rPr>
                <w:lang w:val="en-GB" w:eastAsia="ja-JP"/>
              </w:rPr>
              <w:t>Wagberi</w:t>
            </w:r>
          </w:p>
        </w:tc>
        <w:tc>
          <w:tcPr>
            <w:tcW w:w="1800" w:type="pct"/>
            <w:tcBorders>
              <w:top w:val="nil"/>
              <w:left w:val="nil"/>
              <w:bottom w:val="single" w:color="auto" w:sz="4" w:space="0"/>
              <w:right w:val="single" w:color="auto" w:sz="4" w:space="0"/>
            </w:tcBorders>
            <w:shd w:val="clear" w:color="auto" w:fill="auto"/>
            <w:noWrap/>
            <w:vAlign w:val="bottom"/>
          </w:tcPr>
          <w:p w14:paraId="2ACC037F">
            <w:pPr>
              <w:tabs>
                <w:tab w:val="left" w:pos="709"/>
              </w:tabs>
              <w:jc w:val="both"/>
              <w:rPr>
                <w:lang w:val="en-GB" w:eastAsia="ja-JP"/>
              </w:rPr>
            </w:pPr>
            <w:r>
              <w:rPr>
                <w:lang w:val="en-GB" w:eastAsia="ja-JP"/>
              </w:rPr>
              <w:t>9,775</w:t>
            </w:r>
          </w:p>
        </w:tc>
        <w:tc>
          <w:tcPr>
            <w:tcW w:w="1972" w:type="pct"/>
            <w:tcBorders>
              <w:top w:val="nil"/>
              <w:left w:val="nil"/>
              <w:bottom w:val="single" w:color="auto" w:sz="4" w:space="0"/>
              <w:right w:val="single" w:color="auto" w:sz="4" w:space="0"/>
            </w:tcBorders>
            <w:shd w:val="clear" w:color="auto" w:fill="auto"/>
            <w:noWrap/>
            <w:vAlign w:val="bottom"/>
          </w:tcPr>
          <w:p w14:paraId="6FAEF4A1">
            <w:pPr>
              <w:tabs>
                <w:tab w:val="left" w:pos="709"/>
              </w:tabs>
              <w:jc w:val="both"/>
              <w:rPr>
                <w:lang w:val="en-GB" w:eastAsia="ja-JP"/>
              </w:rPr>
            </w:pPr>
            <w:r>
              <w:rPr>
                <w:lang w:val="en-GB" w:eastAsia="ja-JP"/>
              </w:rPr>
              <w:t>10,430</w:t>
            </w:r>
          </w:p>
        </w:tc>
      </w:tr>
      <w:tr w14:paraId="0DF0E3E1">
        <w:tblPrEx>
          <w:tblCellMar>
            <w:top w:w="0" w:type="dxa"/>
            <w:left w:w="108" w:type="dxa"/>
            <w:bottom w:w="0" w:type="dxa"/>
            <w:right w:w="108" w:type="dxa"/>
          </w:tblCellMar>
        </w:tblPrEx>
        <w:trPr>
          <w:trHeight w:val="272"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5C989D81">
            <w:pPr>
              <w:tabs>
                <w:tab w:val="left" w:pos="709"/>
              </w:tabs>
              <w:jc w:val="both"/>
              <w:rPr>
                <w:lang w:val="en-GB" w:eastAsia="ja-JP"/>
              </w:rPr>
            </w:pPr>
            <w:r>
              <w:rPr>
                <w:lang w:val="en-GB" w:eastAsia="ja-JP"/>
              </w:rPr>
              <w:t>Maalini Salat</w:t>
            </w:r>
          </w:p>
        </w:tc>
        <w:tc>
          <w:tcPr>
            <w:tcW w:w="1800" w:type="pct"/>
            <w:tcBorders>
              <w:top w:val="nil"/>
              <w:left w:val="nil"/>
              <w:bottom w:val="single" w:color="auto" w:sz="4" w:space="0"/>
              <w:right w:val="single" w:color="auto" w:sz="4" w:space="0"/>
            </w:tcBorders>
            <w:shd w:val="clear" w:color="auto" w:fill="auto"/>
            <w:noWrap/>
            <w:vAlign w:val="bottom"/>
          </w:tcPr>
          <w:p w14:paraId="65DF3CB8">
            <w:pPr>
              <w:tabs>
                <w:tab w:val="left" w:pos="709"/>
              </w:tabs>
              <w:jc w:val="both"/>
              <w:rPr>
                <w:lang w:val="en-GB" w:eastAsia="ja-JP"/>
              </w:rPr>
            </w:pPr>
            <w:r>
              <w:rPr>
                <w:lang w:val="en-GB" w:eastAsia="ja-JP"/>
              </w:rPr>
              <w:t>10,640</w:t>
            </w:r>
          </w:p>
        </w:tc>
        <w:tc>
          <w:tcPr>
            <w:tcW w:w="1972" w:type="pct"/>
            <w:tcBorders>
              <w:top w:val="nil"/>
              <w:left w:val="nil"/>
              <w:bottom w:val="single" w:color="auto" w:sz="4" w:space="0"/>
              <w:right w:val="single" w:color="auto" w:sz="4" w:space="0"/>
            </w:tcBorders>
            <w:shd w:val="clear" w:color="auto" w:fill="auto"/>
            <w:noWrap/>
            <w:vAlign w:val="bottom"/>
          </w:tcPr>
          <w:p w14:paraId="40295D66">
            <w:pPr>
              <w:tabs>
                <w:tab w:val="left" w:pos="709"/>
              </w:tabs>
              <w:jc w:val="both"/>
              <w:rPr>
                <w:lang w:val="en-GB" w:eastAsia="ja-JP"/>
              </w:rPr>
            </w:pPr>
            <w:r>
              <w:rPr>
                <w:lang w:val="en-GB" w:eastAsia="ja-JP"/>
              </w:rPr>
              <w:t>11,353</w:t>
            </w:r>
          </w:p>
        </w:tc>
      </w:tr>
      <w:tr w14:paraId="12D9C2EB">
        <w:tblPrEx>
          <w:tblCellMar>
            <w:top w:w="0" w:type="dxa"/>
            <w:left w:w="108" w:type="dxa"/>
            <w:bottom w:w="0" w:type="dxa"/>
            <w:right w:w="108" w:type="dxa"/>
          </w:tblCellMar>
        </w:tblPrEx>
        <w:trPr>
          <w:trHeight w:val="272"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6D62EFB3">
            <w:pPr>
              <w:tabs>
                <w:tab w:val="left" w:pos="709"/>
              </w:tabs>
              <w:jc w:val="both"/>
              <w:rPr>
                <w:lang w:val="en-GB" w:eastAsia="ja-JP"/>
              </w:rPr>
            </w:pPr>
            <w:r>
              <w:rPr>
                <w:lang w:val="en-GB" w:eastAsia="ja-JP"/>
              </w:rPr>
              <w:t>Hodhan</w:t>
            </w:r>
          </w:p>
        </w:tc>
        <w:tc>
          <w:tcPr>
            <w:tcW w:w="1800" w:type="pct"/>
            <w:tcBorders>
              <w:top w:val="nil"/>
              <w:left w:val="nil"/>
              <w:bottom w:val="single" w:color="auto" w:sz="4" w:space="0"/>
              <w:right w:val="single" w:color="auto" w:sz="4" w:space="0"/>
            </w:tcBorders>
            <w:shd w:val="clear" w:color="auto" w:fill="auto"/>
            <w:noWrap/>
            <w:vAlign w:val="bottom"/>
          </w:tcPr>
          <w:p w14:paraId="07929261">
            <w:pPr>
              <w:tabs>
                <w:tab w:val="left" w:pos="709"/>
              </w:tabs>
              <w:jc w:val="both"/>
              <w:rPr>
                <w:lang w:val="en-GB" w:eastAsia="ja-JP"/>
              </w:rPr>
            </w:pPr>
            <w:r>
              <w:rPr>
                <w:lang w:val="en-GB" w:eastAsia="ja-JP"/>
              </w:rPr>
              <w:t>2,781</w:t>
            </w:r>
          </w:p>
        </w:tc>
        <w:tc>
          <w:tcPr>
            <w:tcW w:w="1972" w:type="pct"/>
            <w:tcBorders>
              <w:top w:val="nil"/>
              <w:left w:val="nil"/>
              <w:bottom w:val="single" w:color="auto" w:sz="4" w:space="0"/>
              <w:right w:val="single" w:color="auto" w:sz="4" w:space="0"/>
            </w:tcBorders>
            <w:shd w:val="clear" w:color="auto" w:fill="auto"/>
            <w:noWrap/>
            <w:vAlign w:val="bottom"/>
          </w:tcPr>
          <w:p w14:paraId="1D063987">
            <w:pPr>
              <w:tabs>
                <w:tab w:val="left" w:pos="709"/>
              </w:tabs>
              <w:jc w:val="both"/>
              <w:rPr>
                <w:lang w:val="en-GB" w:eastAsia="ja-JP"/>
              </w:rPr>
            </w:pPr>
            <w:r>
              <w:rPr>
                <w:lang w:val="en-GB" w:eastAsia="ja-JP"/>
              </w:rPr>
              <w:t>2,967</w:t>
            </w:r>
          </w:p>
        </w:tc>
      </w:tr>
      <w:tr w14:paraId="192DD0E4">
        <w:tblPrEx>
          <w:tblCellMar>
            <w:top w:w="0" w:type="dxa"/>
            <w:left w:w="108" w:type="dxa"/>
            <w:bottom w:w="0" w:type="dxa"/>
            <w:right w:w="108" w:type="dxa"/>
          </w:tblCellMar>
        </w:tblPrEx>
        <w:trPr>
          <w:trHeight w:val="272"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471760CD">
            <w:pPr>
              <w:tabs>
                <w:tab w:val="left" w:pos="709"/>
              </w:tabs>
              <w:jc w:val="both"/>
              <w:rPr>
                <w:lang w:val="en-GB" w:eastAsia="ja-JP"/>
              </w:rPr>
            </w:pPr>
            <w:r>
              <w:rPr>
                <w:lang w:val="en-GB" w:eastAsia="ja-JP"/>
              </w:rPr>
              <w:t>Barwaqo</w:t>
            </w:r>
          </w:p>
        </w:tc>
        <w:tc>
          <w:tcPr>
            <w:tcW w:w="1800" w:type="pct"/>
            <w:tcBorders>
              <w:top w:val="nil"/>
              <w:left w:val="nil"/>
              <w:bottom w:val="single" w:color="auto" w:sz="4" w:space="0"/>
              <w:right w:val="single" w:color="auto" w:sz="4" w:space="0"/>
            </w:tcBorders>
            <w:shd w:val="clear" w:color="auto" w:fill="auto"/>
            <w:noWrap/>
            <w:vAlign w:val="bottom"/>
          </w:tcPr>
          <w:p w14:paraId="66E9717C">
            <w:pPr>
              <w:tabs>
                <w:tab w:val="left" w:pos="709"/>
              </w:tabs>
              <w:jc w:val="both"/>
              <w:rPr>
                <w:lang w:val="en-GB" w:eastAsia="ja-JP"/>
              </w:rPr>
            </w:pPr>
            <w:r>
              <w:rPr>
                <w:lang w:val="en-GB" w:eastAsia="ja-JP"/>
              </w:rPr>
              <w:t>8,498</w:t>
            </w:r>
          </w:p>
        </w:tc>
        <w:tc>
          <w:tcPr>
            <w:tcW w:w="1972" w:type="pct"/>
            <w:tcBorders>
              <w:top w:val="nil"/>
              <w:left w:val="nil"/>
              <w:bottom w:val="single" w:color="auto" w:sz="4" w:space="0"/>
              <w:right w:val="single" w:color="auto" w:sz="4" w:space="0"/>
            </w:tcBorders>
            <w:shd w:val="clear" w:color="auto" w:fill="auto"/>
            <w:noWrap/>
            <w:vAlign w:val="bottom"/>
          </w:tcPr>
          <w:p w14:paraId="24B39A29">
            <w:pPr>
              <w:tabs>
                <w:tab w:val="left" w:pos="709"/>
              </w:tabs>
              <w:jc w:val="both"/>
              <w:rPr>
                <w:lang w:val="en-GB" w:eastAsia="ja-JP"/>
              </w:rPr>
            </w:pPr>
            <w:r>
              <w:rPr>
                <w:lang w:val="en-GB" w:eastAsia="ja-JP"/>
              </w:rPr>
              <w:t>9,067</w:t>
            </w:r>
          </w:p>
        </w:tc>
      </w:tr>
      <w:tr w14:paraId="3F2BF05C">
        <w:tblPrEx>
          <w:tblCellMar>
            <w:top w:w="0" w:type="dxa"/>
            <w:left w:w="108" w:type="dxa"/>
            <w:bottom w:w="0" w:type="dxa"/>
            <w:right w:w="108" w:type="dxa"/>
          </w:tblCellMar>
        </w:tblPrEx>
        <w:trPr>
          <w:trHeight w:val="272"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0DB384F0">
            <w:pPr>
              <w:tabs>
                <w:tab w:val="left" w:pos="709"/>
              </w:tabs>
              <w:jc w:val="both"/>
              <w:rPr>
                <w:lang w:val="en-GB" w:eastAsia="ja-JP"/>
              </w:rPr>
            </w:pPr>
            <w:r>
              <w:rPr>
                <w:lang w:val="en-GB" w:eastAsia="ja-JP"/>
              </w:rPr>
              <w:t>Alimaow</w:t>
            </w:r>
          </w:p>
        </w:tc>
        <w:tc>
          <w:tcPr>
            <w:tcW w:w="1800" w:type="pct"/>
            <w:tcBorders>
              <w:top w:val="nil"/>
              <w:left w:val="nil"/>
              <w:bottom w:val="single" w:color="auto" w:sz="4" w:space="0"/>
              <w:right w:val="single" w:color="auto" w:sz="4" w:space="0"/>
            </w:tcBorders>
            <w:shd w:val="clear" w:color="auto" w:fill="auto"/>
            <w:noWrap/>
            <w:vAlign w:val="bottom"/>
          </w:tcPr>
          <w:p w14:paraId="3AFF90F4">
            <w:pPr>
              <w:tabs>
                <w:tab w:val="left" w:pos="709"/>
              </w:tabs>
              <w:jc w:val="both"/>
              <w:rPr>
                <w:lang w:val="en-GB" w:eastAsia="ja-JP"/>
              </w:rPr>
            </w:pPr>
            <w:r>
              <w:rPr>
                <w:lang w:val="en-GB" w:eastAsia="ja-JP"/>
              </w:rPr>
              <w:t>3,819</w:t>
            </w:r>
          </w:p>
        </w:tc>
        <w:tc>
          <w:tcPr>
            <w:tcW w:w="1972" w:type="pct"/>
            <w:tcBorders>
              <w:top w:val="nil"/>
              <w:left w:val="nil"/>
              <w:bottom w:val="single" w:color="auto" w:sz="4" w:space="0"/>
              <w:right w:val="single" w:color="auto" w:sz="4" w:space="0"/>
            </w:tcBorders>
            <w:shd w:val="clear" w:color="auto" w:fill="auto"/>
            <w:noWrap/>
            <w:vAlign w:val="bottom"/>
          </w:tcPr>
          <w:p w14:paraId="7968A918">
            <w:pPr>
              <w:tabs>
                <w:tab w:val="left" w:pos="709"/>
              </w:tabs>
              <w:jc w:val="both"/>
              <w:rPr>
                <w:lang w:val="en-GB" w:eastAsia="ja-JP"/>
              </w:rPr>
            </w:pPr>
            <w:r>
              <w:rPr>
                <w:lang w:val="en-GB" w:eastAsia="ja-JP"/>
              </w:rPr>
              <w:t>4,075</w:t>
            </w:r>
          </w:p>
        </w:tc>
      </w:tr>
      <w:tr w14:paraId="10C8EAFE">
        <w:tblPrEx>
          <w:tblCellMar>
            <w:top w:w="0" w:type="dxa"/>
            <w:left w:w="108" w:type="dxa"/>
            <w:bottom w:w="0" w:type="dxa"/>
            <w:right w:w="108" w:type="dxa"/>
          </w:tblCellMar>
        </w:tblPrEx>
        <w:trPr>
          <w:trHeight w:val="272"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13B0CFF8">
            <w:pPr>
              <w:tabs>
                <w:tab w:val="left" w:pos="709"/>
              </w:tabs>
              <w:jc w:val="both"/>
              <w:rPr>
                <w:lang w:val="en-GB" w:eastAsia="ja-JP"/>
              </w:rPr>
            </w:pPr>
            <w:r>
              <w:rPr>
                <w:lang w:val="en-GB" w:eastAsia="ja-JP"/>
              </w:rPr>
              <w:t>Jogoo</w:t>
            </w:r>
          </w:p>
        </w:tc>
        <w:tc>
          <w:tcPr>
            <w:tcW w:w="1800" w:type="pct"/>
            <w:tcBorders>
              <w:top w:val="nil"/>
              <w:left w:val="nil"/>
              <w:bottom w:val="single" w:color="auto" w:sz="4" w:space="0"/>
              <w:right w:val="single" w:color="auto" w:sz="4" w:space="0"/>
            </w:tcBorders>
            <w:shd w:val="clear" w:color="auto" w:fill="auto"/>
            <w:noWrap/>
            <w:vAlign w:val="bottom"/>
          </w:tcPr>
          <w:p w14:paraId="012708B5">
            <w:pPr>
              <w:tabs>
                <w:tab w:val="left" w:pos="709"/>
              </w:tabs>
              <w:jc w:val="both"/>
              <w:rPr>
                <w:lang w:val="en-GB" w:eastAsia="ja-JP"/>
              </w:rPr>
            </w:pPr>
            <w:r>
              <w:rPr>
                <w:lang w:val="en-GB" w:eastAsia="ja-JP"/>
              </w:rPr>
              <w:t>11,110</w:t>
            </w:r>
          </w:p>
        </w:tc>
        <w:tc>
          <w:tcPr>
            <w:tcW w:w="1972" w:type="pct"/>
            <w:tcBorders>
              <w:top w:val="nil"/>
              <w:left w:val="nil"/>
              <w:bottom w:val="single" w:color="auto" w:sz="4" w:space="0"/>
              <w:right w:val="single" w:color="auto" w:sz="4" w:space="0"/>
            </w:tcBorders>
            <w:shd w:val="clear" w:color="auto" w:fill="auto"/>
            <w:noWrap/>
            <w:vAlign w:val="bottom"/>
          </w:tcPr>
          <w:p w14:paraId="5185B04A">
            <w:pPr>
              <w:tabs>
                <w:tab w:val="left" w:pos="709"/>
              </w:tabs>
              <w:jc w:val="both"/>
              <w:rPr>
                <w:lang w:val="en-GB" w:eastAsia="ja-JP"/>
              </w:rPr>
            </w:pPr>
            <w:r>
              <w:rPr>
                <w:lang w:val="en-GB" w:eastAsia="ja-JP"/>
              </w:rPr>
              <w:t>11,854</w:t>
            </w:r>
          </w:p>
        </w:tc>
      </w:tr>
      <w:tr w14:paraId="770D654E">
        <w:tblPrEx>
          <w:tblCellMar>
            <w:top w:w="0" w:type="dxa"/>
            <w:left w:w="108" w:type="dxa"/>
            <w:bottom w:w="0" w:type="dxa"/>
            <w:right w:w="108" w:type="dxa"/>
          </w:tblCellMar>
        </w:tblPrEx>
        <w:trPr>
          <w:trHeight w:val="385"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06EBC4A1">
            <w:pPr>
              <w:tabs>
                <w:tab w:val="left" w:pos="709"/>
              </w:tabs>
              <w:jc w:val="both"/>
              <w:rPr>
                <w:lang w:val="en-GB" w:eastAsia="ja-JP"/>
              </w:rPr>
            </w:pPr>
            <w:r>
              <w:rPr>
                <w:lang w:val="en-GB" w:eastAsia="ja-JP"/>
              </w:rPr>
              <w:t>Jogbaru</w:t>
            </w:r>
          </w:p>
        </w:tc>
        <w:tc>
          <w:tcPr>
            <w:tcW w:w="1800" w:type="pct"/>
            <w:tcBorders>
              <w:top w:val="nil"/>
              <w:left w:val="nil"/>
              <w:bottom w:val="single" w:color="auto" w:sz="4" w:space="0"/>
              <w:right w:val="single" w:color="auto" w:sz="4" w:space="0"/>
            </w:tcBorders>
            <w:shd w:val="clear" w:color="auto" w:fill="auto"/>
            <w:noWrap/>
            <w:vAlign w:val="bottom"/>
          </w:tcPr>
          <w:p w14:paraId="1DE30A5D">
            <w:pPr>
              <w:tabs>
                <w:tab w:val="left" w:pos="709"/>
              </w:tabs>
              <w:jc w:val="both"/>
              <w:rPr>
                <w:lang w:val="en-GB" w:eastAsia="ja-JP"/>
              </w:rPr>
            </w:pPr>
            <w:r>
              <w:rPr>
                <w:lang w:val="en-GB" w:eastAsia="ja-JP"/>
              </w:rPr>
              <w:t>22,122</w:t>
            </w:r>
          </w:p>
        </w:tc>
        <w:tc>
          <w:tcPr>
            <w:tcW w:w="1972" w:type="pct"/>
            <w:tcBorders>
              <w:top w:val="nil"/>
              <w:left w:val="nil"/>
              <w:bottom w:val="single" w:color="auto" w:sz="4" w:space="0"/>
              <w:right w:val="single" w:color="auto" w:sz="4" w:space="0"/>
            </w:tcBorders>
            <w:shd w:val="clear" w:color="auto" w:fill="auto"/>
            <w:noWrap/>
            <w:vAlign w:val="bottom"/>
          </w:tcPr>
          <w:p w14:paraId="2A115C44">
            <w:pPr>
              <w:tabs>
                <w:tab w:val="left" w:pos="709"/>
              </w:tabs>
              <w:jc w:val="both"/>
              <w:rPr>
                <w:lang w:val="en-GB" w:eastAsia="ja-JP"/>
              </w:rPr>
            </w:pPr>
            <w:r>
              <w:rPr>
                <w:lang w:val="en-GB" w:eastAsia="ja-JP"/>
              </w:rPr>
              <w:t>23,604</w:t>
            </w:r>
          </w:p>
        </w:tc>
      </w:tr>
      <w:tr w14:paraId="6762844F">
        <w:tblPrEx>
          <w:tblCellMar>
            <w:top w:w="0" w:type="dxa"/>
            <w:left w:w="108" w:type="dxa"/>
            <w:bottom w:w="0" w:type="dxa"/>
            <w:right w:w="108" w:type="dxa"/>
          </w:tblCellMar>
        </w:tblPrEx>
        <w:trPr>
          <w:trHeight w:val="272" w:hRule="atLeast"/>
        </w:trPr>
        <w:tc>
          <w:tcPr>
            <w:tcW w:w="1228" w:type="pct"/>
            <w:tcBorders>
              <w:top w:val="nil"/>
              <w:left w:val="single" w:color="auto" w:sz="4" w:space="0"/>
              <w:bottom w:val="single" w:color="auto" w:sz="4" w:space="0"/>
              <w:right w:val="single" w:color="auto" w:sz="4" w:space="0"/>
            </w:tcBorders>
            <w:shd w:val="clear" w:color="auto" w:fill="auto"/>
            <w:noWrap/>
            <w:vAlign w:val="bottom"/>
          </w:tcPr>
          <w:p w14:paraId="57F461E9">
            <w:pPr>
              <w:tabs>
                <w:tab w:val="left" w:pos="709"/>
              </w:tabs>
              <w:jc w:val="both"/>
              <w:rPr>
                <w:b/>
                <w:bCs/>
                <w:lang w:val="en-GB" w:eastAsia="ja-JP"/>
              </w:rPr>
            </w:pPr>
            <w:r>
              <w:rPr>
                <w:b/>
                <w:bCs/>
                <w:lang w:val="en-GB" w:eastAsia="ja-JP"/>
              </w:rPr>
              <w:t>Total Population</w:t>
            </w:r>
          </w:p>
        </w:tc>
        <w:tc>
          <w:tcPr>
            <w:tcW w:w="1800" w:type="pct"/>
            <w:tcBorders>
              <w:top w:val="nil"/>
              <w:left w:val="nil"/>
              <w:bottom w:val="single" w:color="auto" w:sz="4" w:space="0"/>
              <w:right w:val="single" w:color="auto" w:sz="4" w:space="0"/>
            </w:tcBorders>
            <w:shd w:val="clear" w:color="auto" w:fill="auto"/>
            <w:noWrap/>
            <w:vAlign w:val="bottom"/>
          </w:tcPr>
          <w:p w14:paraId="555D1C28">
            <w:pPr>
              <w:tabs>
                <w:tab w:val="left" w:pos="709"/>
              </w:tabs>
              <w:jc w:val="both"/>
              <w:rPr>
                <w:b/>
                <w:bCs/>
                <w:lang w:val="en-GB" w:eastAsia="ja-JP"/>
              </w:rPr>
            </w:pPr>
            <w:r>
              <w:rPr>
                <w:b/>
                <w:bCs/>
                <w:lang w:val="en-GB" w:eastAsia="ja-JP"/>
              </w:rPr>
              <w:t>83,734</w:t>
            </w:r>
          </w:p>
        </w:tc>
        <w:tc>
          <w:tcPr>
            <w:tcW w:w="1972" w:type="pct"/>
            <w:tcBorders>
              <w:top w:val="nil"/>
              <w:left w:val="nil"/>
              <w:bottom w:val="single" w:color="auto" w:sz="4" w:space="0"/>
              <w:right w:val="single" w:color="auto" w:sz="4" w:space="0"/>
            </w:tcBorders>
            <w:shd w:val="clear" w:color="auto" w:fill="auto"/>
            <w:noWrap/>
            <w:vAlign w:val="bottom"/>
          </w:tcPr>
          <w:p w14:paraId="700E15AD">
            <w:pPr>
              <w:tabs>
                <w:tab w:val="left" w:pos="709"/>
              </w:tabs>
              <w:jc w:val="both"/>
              <w:rPr>
                <w:b/>
                <w:bCs/>
                <w:lang w:val="en-GB" w:eastAsia="ja-JP"/>
              </w:rPr>
            </w:pPr>
            <w:r>
              <w:rPr>
                <w:b/>
                <w:bCs/>
                <w:lang w:val="en-GB" w:eastAsia="ja-JP"/>
              </w:rPr>
              <w:t>89,209</w:t>
            </w:r>
          </w:p>
        </w:tc>
      </w:tr>
    </w:tbl>
    <w:p w14:paraId="497AAB48">
      <w:pPr>
        <w:pStyle w:val="4"/>
      </w:pPr>
      <w:bookmarkStart w:id="220" w:name="_Toc170722979"/>
      <w:bookmarkStart w:id="221" w:name="_Toc179904062"/>
      <w:r>
        <w:t xml:space="preserve">5.2.3 </w:t>
      </w:r>
      <w:r>
        <w:tab/>
      </w:r>
      <w:r>
        <w:t>Literacy Levels</w:t>
      </w:r>
      <w:bookmarkEnd w:id="220"/>
      <w:bookmarkEnd w:id="221"/>
    </w:p>
    <w:p w14:paraId="0209C82B">
      <w:pPr>
        <w:tabs>
          <w:tab w:val="left" w:pos="709"/>
        </w:tabs>
        <w:spacing w:line="240" w:lineRule="auto"/>
        <w:ind w:left="709"/>
        <w:jc w:val="both"/>
      </w:pPr>
      <w:r>
        <w:t>The education sector analysis reveals that the gross enrollment for ECDE stands at less than 37 percent with only around 19,000 children enrolled against an eligible population of over 51,000 children. In primary schools, gross enrollment is reported at around 35 percent with approximately 70,000 children in school against a projected eligible population of over 200,000 in 2022. Secondary education figures depicts an even worse performance with gross enrollment standing at around 22 percent; approximately 20,000 children are in school against a projected eligible population of over 93,000 children.</w:t>
      </w:r>
    </w:p>
    <w:p w14:paraId="6EF024D4">
      <w:pPr>
        <w:tabs>
          <w:tab w:val="left" w:pos="709"/>
        </w:tabs>
        <w:spacing w:line="240" w:lineRule="auto"/>
        <w:ind w:left="709"/>
        <w:jc w:val="both"/>
      </w:pPr>
      <w:r>
        <w:t>In our study area which is Alimao village, Furaha village and Wajir township, 10% of the sample population has attained university education, 20% tertiary education, 16% secondary education, 14% primary education, and 40% no form of education as their highiest level of education. And 68% of the children in the survey attend school where as only 32% do not attend school; as shown in the pie charts below;</w:t>
      </w:r>
    </w:p>
    <w:p w14:paraId="0506DDA7">
      <w:pPr>
        <w:tabs>
          <w:tab w:val="left" w:pos="709"/>
        </w:tabs>
        <w:spacing w:line="240" w:lineRule="auto"/>
        <w:ind w:left="709"/>
        <w:jc w:val="both"/>
      </w:pPr>
      <w:r>
        <w:drawing>
          <wp:inline distT="0" distB="0" distL="0" distR="0">
            <wp:extent cx="4572000" cy="27432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66B6461A">
      <w:pPr>
        <w:pStyle w:val="23"/>
      </w:pPr>
      <w:bookmarkStart w:id="222" w:name="_Toc179551691"/>
      <w:r>
        <w:t xml:space="preserve">Figure </w:t>
      </w:r>
      <w:r>
        <w:fldChar w:fldCharType="begin"/>
      </w:r>
      <w:r>
        <w:instrText xml:space="preserve"> SEQ Figure \* ARABIC </w:instrText>
      </w:r>
      <w:r>
        <w:fldChar w:fldCharType="separate"/>
      </w:r>
      <w:r>
        <w:t>6</w:t>
      </w:r>
      <w:r>
        <w:fldChar w:fldCharType="end"/>
      </w:r>
      <w:r>
        <w:t>: Highiest level of education</w:t>
      </w:r>
      <w:bookmarkEnd w:id="222"/>
    </w:p>
    <w:p w14:paraId="3C38D93E">
      <w:pPr>
        <w:ind w:left="709"/>
      </w:pPr>
      <w:r>
        <w:drawing>
          <wp:inline distT="0" distB="0" distL="0" distR="0">
            <wp:extent cx="4572000" cy="27432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14:paraId="2B1F7B41">
      <w:pPr>
        <w:pStyle w:val="23"/>
      </w:pPr>
      <w:bookmarkStart w:id="223" w:name="_Toc179551692"/>
      <w:r>
        <w:t xml:space="preserve">Figure </w:t>
      </w:r>
      <w:r>
        <w:fldChar w:fldCharType="begin"/>
      </w:r>
      <w:r>
        <w:instrText xml:space="preserve"> SEQ Figure \* ARABIC </w:instrText>
      </w:r>
      <w:r>
        <w:fldChar w:fldCharType="separate"/>
      </w:r>
      <w:r>
        <w:t>7</w:t>
      </w:r>
      <w:r>
        <w:fldChar w:fldCharType="end"/>
      </w:r>
      <w:r>
        <w:t>: Children going to school</w:t>
      </w:r>
      <w:bookmarkEnd w:id="223"/>
    </w:p>
    <w:p w14:paraId="4C50D962">
      <w:pPr>
        <w:pStyle w:val="4"/>
      </w:pPr>
      <w:bookmarkStart w:id="224" w:name="_Toc170722980"/>
      <w:bookmarkStart w:id="225" w:name="_Toc179904063"/>
      <w:r>
        <w:t xml:space="preserve">5.2.4 </w:t>
      </w:r>
      <w:r>
        <w:tab/>
      </w:r>
      <w:r>
        <w:t>Access to Health services</w:t>
      </w:r>
      <w:bookmarkEnd w:id="224"/>
      <w:bookmarkEnd w:id="225"/>
    </w:p>
    <w:p w14:paraId="54B0748C">
      <w:pPr>
        <w:tabs>
          <w:tab w:val="left" w:pos="709"/>
        </w:tabs>
        <w:ind w:left="709"/>
        <w:jc w:val="both"/>
      </w:pPr>
      <w:r>
        <w:t>Half of Women in the County deliver in non-healthy facility (50%) compared to the national average of 14%. Delivery in Non-health facility predisposes women to maternal mortality. The national average for deliveries in Health facility is far much higher than that of Wajir County at 49.2%.</w:t>
      </w:r>
    </w:p>
    <w:p w14:paraId="1073F794">
      <w:pPr>
        <w:tabs>
          <w:tab w:val="left" w:pos="709"/>
        </w:tabs>
        <w:ind w:left="709"/>
        <w:jc w:val="both"/>
      </w:pPr>
      <w:r>
        <w:t>In Wajir County, malnutrition rates are alarmingly high at over 15 percent. Gross enrolment rate for ECDE stands at 37% while immunization coverage stands at 68 percent against a national average of 84%. Children access to basic social services is impeded by poverty in all its forms and dimensions. Child poverty stands at 81% (KNBS 2019) where nutrition poverty stands at 53% and monetary poverty stands at 84%. This has serious implications for child wellbeing, development and survival. Key Strategies for tackling these problems will be a priority in this medium-term plan to ensure improvement of children situation in the county.</w:t>
      </w:r>
    </w:p>
    <w:p w14:paraId="4BED9EA3">
      <w:pPr>
        <w:tabs>
          <w:tab w:val="left" w:pos="709"/>
        </w:tabs>
        <w:ind w:left="709"/>
        <w:jc w:val="both"/>
      </w:pPr>
      <w:r>
        <w:t>There is a dispensary that is located approximately 2 km away from the proposed site for the faecal sludge treatment plant. 82% of the sampled population did not express satisfaction in the available health facilities and health services being offered. Most of them walk long distances to access medical services, which most of the times they are expensive thus most of the people do not afford.</w:t>
      </w:r>
    </w:p>
    <w:p w14:paraId="5FE49867">
      <w:pPr>
        <w:tabs>
          <w:tab w:val="left" w:pos="709"/>
        </w:tabs>
        <w:ind w:left="709"/>
        <w:jc w:val="both"/>
      </w:pPr>
      <w:r>
        <w:t>To the north east of the proposed FSTP project site, exactly 4.26km is the Wajir TB Manyatta hospital.</w:t>
      </w:r>
    </w:p>
    <w:p w14:paraId="0F518668">
      <w:pPr>
        <w:tabs>
          <w:tab w:val="left" w:pos="709"/>
        </w:tabs>
        <w:ind w:left="709"/>
        <w:jc w:val="both"/>
      </w:pPr>
      <w:r>
        <w:drawing>
          <wp:inline distT="0" distB="0" distL="0" distR="0">
            <wp:extent cx="5229225" cy="2703195"/>
            <wp:effectExtent l="0" t="0" r="9525" b="1905"/>
            <wp:docPr id="10" name="Picture 10" descr="TB Manyatta hospi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B Manyatta hospital"/>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238338" cy="2707906"/>
                    </a:xfrm>
                    <a:prstGeom prst="rect">
                      <a:avLst/>
                    </a:prstGeom>
                    <a:noFill/>
                    <a:ln>
                      <a:noFill/>
                    </a:ln>
                  </pic:spPr>
                </pic:pic>
              </a:graphicData>
            </a:graphic>
          </wp:inline>
        </w:drawing>
      </w:r>
    </w:p>
    <w:p w14:paraId="1F5AEAA6">
      <w:pPr>
        <w:pStyle w:val="23"/>
      </w:pPr>
      <w:bookmarkStart w:id="226" w:name="_Toc179551693"/>
      <w:r>
        <w:t xml:space="preserve">Figure </w:t>
      </w:r>
      <w:r>
        <w:fldChar w:fldCharType="begin"/>
      </w:r>
      <w:r>
        <w:instrText xml:space="preserve"> SEQ Figure \* ARABIC </w:instrText>
      </w:r>
      <w:r>
        <w:fldChar w:fldCharType="separate"/>
      </w:r>
      <w:r>
        <w:t>8</w:t>
      </w:r>
      <w:r>
        <w:fldChar w:fldCharType="end"/>
      </w:r>
      <w:r>
        <w:t>: TB Manyatta hospital</w:t>
      </w:r>
      <w:bookmarkEnd w:id="226"/>
    </w:p>
    <w:p w14:paraId="75EBC40E">
      <w:pPr>
        <w:pStyle w:val="4"/>
      </w:pPr>
      <w:bookmarkStart w:id="227" w:name="_Toc170722981"/>
      <w:bookmarkStart w:id="228" w:name="_Toc179904064"/>
      <w:r>
        <w:t>5.2.5</w:t>
      </w:r>
      <w:r>
        <w:rPr>
          <w:rFonts w:eastAsiaTheme="minorHAnsi" w:cstheme="minorBidi"/>
        </w:rPr>
        <w:t xml:space="preserve"> </w:t>
      </w:r>
      <w:bookmarkEnd w:id="227"/>
      <w:r>
        <w:rPr>
          <w:rFonts w:eastAsiaTheme="minorHAnsi" w:cstheme="minorBidi"/>
        </w:rPr>
        <w:tab/>
      </w:r>
      <w:r>
        <w:t>Transport</w:t>
      </w:r>
      <w:bookmarkEnd w:id="228"/>
    </w:p>
    <w:p w14:paraId="70CD3C0D">
      <w:pPr>
        <w:tabs>
          <w:tab w:val="left" w:pos="709"/>
        </w:tabs>
        <w:spacing w:line="240" w:lineRule="auto"/>
        <w:ind w:left="709"/>
        <w:jc w:val="both"/>
      </w:pPr>
      <w:r>
        <w:t>The Roads Sector was able to achieve 28km of Tarmacked roads in Wajir County out of 43km targeted during the plan period of the Wajir County Integrated Development Plan of the year 2023-2027 under review. A total of 70kms were covered under graveled roads from the target of 870km. The number of drifts constructed during this period was 22 as against a planned target of 80. Targeted. expanded and bush cleared roads in the period accounted for 2050km as against a planned target of 5000km. Further, graded roads increased from 1000km to 3420km during the plan period though some remain repeat activities after every rainy season while 20kms of tarmacked roads were maintained against a planned target of 28km.</w:t>
      </w:r>
    </w:p>
    <w:p w14:paraId="0C85BF61">
      <w:pPr>
        <w:tabs>
          <w:tab w:val="left" w:pos="709"/>
        </w:tabs>
        <w:spacing w:line="240" w:lineRule="auto"/>
        <w:ind w:left="709"/>
        <w:jc w:val="both"/>
      </w:pPr>
      <w:r>
        <w:t>The Housing Department was able to renovate 30 houses out of a target of 50. With regards to training of artisans under the Appropriate Building Technology (ABT) Programme, 600 artisans were successfully trained. No new ABT centers were constructed during this period, and no ABT blocks were manufactured due to breakdown of the ABT machines.</w:t>
      </w:r>
    </w:p>
    <w:p w14:paraId="020B9B13">
      <w:pPr>
        <w:tabs>
          <w:tab w:val="left" w:pos="709"/>
        </w:tabs>
        <w:spacing w:line="240" w:lineRule="auto"/>
        <w:ind w:left="709"/>
        <w:jc w:val="both"/>
      </w:pPr>
      <w:r>
        <w:t>The roads in the proposed area are murram roads that are overly dusty, and is accessed from the Wajir town by Isiolo-Mandera Road/ B9.</w:t>
      </w:r>
    </w:p>
    <w:p w14:paraId="1248C92C">
      <w:pPr>
        <w:pStyle w:val="4"/>
      </w:pPr>
      <w:bookmarkStart w:id="229" w:name="_Toc179904065"/>
      <w:r>
        <w:t xml:space="preserve">5.2.6 </w:t>
      </w:r>
      <w:r>
        <w:tab/>
      </w:r>
      <w:r>
        <w:t>Sanitation</w:t>
      </w:r>
      <w:bookmarkEnd w:id="229"/>
    </w:p>
    <w:p w14:paraId="0D5A6958">
      <w:pPr>
        <w:tabs>
          <w:tab w:val="left" w:pos="709"/>
        </w:tabs>
        <w:spacing w:line="240" w:lineRule="auto"/>
        <w:ind w:left="709"/>
        <w:jc w:val="both"/>
      </w:pPr>
      <w:r>
        <w:t>For solid waste management, only Wajir municipality has a collection and disposal system. But even the municipality system is not able to collect 100 percent of the garbage generated daily. According to the 2019 KPHC, the County Government collects solid waste from only 22.3 percent of the households in Wajir East. The figure is even much lower for the county average with only 5.7 percent of households having their waste collected by government.</w:t>
      </w:r>
    </w:p>
    <w:p w14:paraId="6087FC9B">
      <w:pPr>
        <w:keepNext/>
        <w:keepLines/>
        <w:tabs>
          <w:tab w:val="left" w:pos="709"/>
        </w:tabs>
        <w:spacing w:line="240" w:lineRule="auto"/>
        <w:ind w:left="709"/>
        <w:jc w:val="both"/>
      </w:pPr>
      <w:r>
        <w:t>Wajir Municipality faces crippling challenges in sanitation services due to lack of proper waste management system and inadequate water supply coupled with high e-coli levels. The KPHC 2019 shows that 46.3 percent of the Wajir East Households still use buckets as the main mode of human waste disposal. In the medium term, the Government will prioritize investments to improve access to portable water and improved sanitation in Urban Areas.</w:t>
      </w:r>
    </w:p>
    <w:p w14:paraId="5BF2A385">
      <w:pPr>
        <w:tabs>
          <w:tab w:val="left" w:pos="709"/>
        </w:tabs>
        <w:spacing w:line="240" w:lineRule="auto"/>
        <w:ind w:left="709"/>
        <w:jc w:val="both"/>
      </w:pPr>
      <w:r>
        <w:t>Further, environmental pollution resulting from lack of a proper solid waste management system and exposed dumpsites is a big challenge in Wajir Municipality and all other urban areas in the county. Plastic waste is a major contributor of the situation of poor sanitation. This situation hampers investments and general business environment in the County. In the medium term, the Government will prioritize investments in both liquid and solid waste management system including operationalization and proper management of the existing dumpsite in Wajir. Overall, only 46% of residents in Wajir County use improved sanitation, while the rest use unimproved sanitation.</w:t>
      </w:r>
    </w:p>
    <w:p w14:paraId="0677FDA9">
      <w:pPr>
        <w:pStyle w:val="23"/>
      </w:pPr>
      <w:bookmarkStart w:id="230" w:name="_Toc87882815"/>
      <w:bookmarkStart w:id="231" w:name="_Toc179556820"/>
      <w:r>
        <w:t xml:space="preserve">Table </w:t>
      </w:r>
      <w:r>
        <w:fldChar w:fldCharType="begin"/>
      </w:r>
      <w:r>
        <w:instrText xml:space="preserve"> SEQ Table \* ARABIC </w:instrText>
      </w:r>
      <w:r>
        <w:fldChar w:fldCharType="separate"/>
      </w:r>
      <w:r>
        <w:t>9</w:t>
      </w:r>
      <w:r>
        <w:fldChar w:fldCharType="end"/>
      </w:r>
      <w:r>
        <w:t>: Key Sanitation Systems in Wajir Town</w:t>
      </w:r>
      <w:bookmarkEnd w:id="230"/>
      <w:bookmarkEnd w:id="231"/>
    </w:p>
    <w:tbl>
      <w:tblPr>
        <w:tblStyle w:val="12"/>
        <w:tblW w:w="751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27"/>
        <w:gridCol w:w="1984"/>
        <w:gridCol w:w="3402"/>
      </w:tblGrid>
      <w:tr w14:paraId="6463E2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2" w:hRule="atLeast"/>
          <w:tblHeader/>
          <w:jc w:val="center"/>
        </w:trPr>
        <w:tc>
          <w:tcPr>
            <w:tcW w:w="2127" w:type="dxa"/>
            <w:shd w:val="clear" w:color="auto" w:fill="D6DCE4" w:themeFill="text2" w:themeFillTint="33"/>
            <w:vAlign w:val="center"/>
          </w:tcPr>
          <w:p w14:paraId="444AF5CA">
            <w:pPr>
              <w:tabs>
                <w:tab w:val="left" w:pos="709"/>
              </w:tabs>
              <w:spacing w:line="240" w:lineRule="auto"/>
              <w:jc w:val="both"/>
              <w:rPr>
                <w:b/>
                <w:bCs/>
                <w:i/>
                <w:iCs/>
                <w:lang w:val="en-GB"/>
              </w:rPr>
            </w:pPr>
            <w:r>
              <w:rPr>
                <w:b/>
                <w:bCs/>
                <w:lang w:val="en-GB"/>
              </w:rPr>
              <w:t>Sanitation System</w:t>
            </w:r>
          </w:p>
        </w:tc>
        <w:tc>
          <w:tcPr>
            <w:tcW w:w="1984" w:type="dxa"/>
            <w:shd w:val="clear" w:color="auto" w:fill="D6DCE4" w:themeFill="text2" w:themeFillTint="33"/>
            <w:vAlign w:val="center"/>
          </w:tcPr>
          <w:p w14:paraId="0AC42578">
            <w:pPr>
              <w:tabs>
                <w:tab w:val="left" w:pos="709"/>
              </w:tabs>
              <w:spacing w:line="240" w:lineRule="auto"/>
              <w:jc w:val="both"/>
              <w:rPr>
                <w:b/>
                <w:bCs/>
                <w:lang w:val="en-GB"/>
              </w:rPr>
            </w:pPr>
            <w:r>
              <w:rPr>
                <w:b/>
                <w:bCs/>
                <w:lang w:val="en-GB"/>
              </w:rPr>
              <w:t>Bosch, MIBP, (2017)</w:t>
            </w:r>
          </w:p>
        </w:tc>
        <w:tc>
          <w:tcPr>
            <w:tcW w:w="3402" w:type="dxa"/>
            <w:shd w:val="clear" w:color="auto" w:fill="D6DCE4" w:themeFill="text2" w:themeFillTint="33"/>
            <w:vAlign w:val="center"/>
          </w:tcPr>
          <w:p w14:paraId="21DE3354">
            <w:pPr>
              <w:tabs>
                <w:tab w:val="left" w:pos="709"/>
              </w:tabs>
              <w:spacing w:line="240" w:lineRule="auto"/>
              <w:jc w:val="both"/>
              <w:rPr>
                <w:b/>
                <w:bCs/>
                <w:lang w:val="en-GB"/>
              </w:rPr>
            </w:pPr>
            <w:r>
              <w:rPr>
                <w:b/>
                <w:bCs/>
                <w:lang w:val="en-GB"/>
              </w:rPr>
              <w:t>Sanitation Assessment Report (2021)</w:t>
            </w:r>
          </w:p>
        </w:tc>
      </w:tr>
      <w:tr w14:paraId="64720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2127" w:type="dxa"/>
            <w:shd w:val="clear" w:color="auto" w:fill="auto"/>
            <w:vAlign w:val="center"/>
          </w:tcPr>
          <w:p w14:paraId="670752E8">
            <w:pPr>
              <w:tabs>
                <w:tab w:val="left" w:pos="709"/>
              </w:tabs>
              <w:spacing w:line="240" w:lineRule="auto"/>
              <w:jc w:val="both"/>
              <w:rPr>
                <w:lang w:val="en-GB"/>
              </w:rPr>
            </w:pPr>
            <w:r>
              <w:rPr>
                <w:lang w:val="en-GB"/>
              </w:rPr>
              <w:t>Sewer System</w:t>
            </w:r>
          </w:p>
        </w:tc>
        <w:tc>
          <w:tcPr>
            <w:tcW w:w="1984" w:type="dxa"/>
            <w:shd w:val="clear" w:color="auto" w:fill="auto"/>
            <w:vAlign w:val="center"/>
          </w:tcPr>
          <w:p w14:paraId="1F047011">
            <w:pPr>
              <w:tabs>
                <w:tab w:val="left" w:pos="709"/>
              </w:tabs>
              <w:spacing w:line="240" w:lineRule="auto"/>
              <w:jc w:val="both"/>
              <w:rPr>
                <w:b/>
                <w:bCs/>
                <w:lang w:val="en-GB"/>
              </w:rPr>
            </w:pPr>
            <w:r>
              <w:rPr>
                <w:b/>
                <w:bCs/>
                <w:lang w:val="en-GB"/>
              </w:rPr>
              <w:t>0%</w:t>
            </w:r>
          </w:p>
        </w:tc>
        <w:tc>
          <w:tcPr>
            <w:tcW w:w="3402" w:type="dxa"/>
            <w:shd w:val="clear" w:color="auto" w:fill="auto"/>
            <w:vAlign w:val="center"/>
          </w:tcPr>
          <w:p w14:paraId="084BF13B">
            <w:pPr>
              <w:tabs>
                <w:tab w:val="left" w:pos="709"/>
              </w:tabs>
              <w:spacing w:line="240" w:lineRule="auto"/>
              <w:jc w:val="both"/>
              <w:rPr>
                <w:lang w:val="en-GB"/>
              </w:rPr>
            </w:pPr>
            <w:r>
              <w:rPr>
                <w:lang w:val="en-GB"/>
              </w:rPr>
              <w:t>0%</w:t>
            </w:r>
          </w:p>
        </w:tc>
      </w:tr>
      <w:tr w14:paraId="0A8CF3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2127" w:type="dxa"/>
            <w:shd w:val="clear" w:color="auto" w:fill="auto"/>
            <w:vAlign w:val="center"/>
          </w:tcPr>
          <w:p w14:paraId="05C1B1B4">
            <w:pPr>
              <w:tabs>
                <w:tab w:val="left" w:pos="709"/>
              </w:tabs>
              <w:spacing w:line="240" w:lineRule="auto"/>
              <w:jc w:val="both"/>
              <w:rPr>
                <w:lang w:val="en-GB"/>
              </w:rPr>
            </w:pPr>
            <w:r>
              <w:rPr>
                <w:lang w:val="en-GB"/>
              </w:rPr>
              <w:t>Septic tank</w:t>
            </w:r>
          </w:p>
        </w:tc>
        <w:tc>
          <w:tcPr>
            <w:tcW w:w="1984" w:type="dxa"/>
            <w:shd w:val="clear" w:color="auto" w:fill="auto"/>
            <w:vAlign w:val="center"/>
          </w:tcPr>
          <w:p w14:paraId="72CAF61E">
            <w:pPr>
              <w:tabs>
                <w:tab w:val="left" w:pos="709"/>
              </w:tabs>
              <w:spacing w:line="240" w:lineRule="auto"/>
              <w:jc w:val="both"/>
              <w:rPr>
                <w:lang w:val="en-GB"/>
              </w:rPr>
            </w:pPr>
            <w:r>
              <w:rPr>
                <w:lang w:val="en-GB"/>
              </w:rPr>
              <w:t>9%</w:t>
            </w:r>
          </w:p>
        </w:tc>
        <w:tc>
          <w:tcPr>
            <w:tcW w:w="3402" w:type="dxa"/>
            <w:shd w:val="clear" w:color="auto" w:fill="auto"/>
            <w:vAlign w:val="center"/>
          </w:tcPr>
          <w:p w14:paraId="6F50D1C9">
            <w:pPr>
              <w:tabs>
                <w:tab w:val="left" w:pos="709"/>
              </w:tabs>
              <w:spacing w:line="240" w:lineRule="auto"/>
              <w:jc w:val="both"/>
              <w:rPr>
                <w:lang w:val="en-GB"/>
              </w:rPr>
            </w:pPr>
            <w:r>
              <w:rPr>
                <w:lang w:val="en-GB"/>
              </w:rPr>
              <w:t>11%</w:t>
            </w:r>
          </w:p>
        </w:tc>
      </w:tr>
      <w:tr w14:paraId="7E3E9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2127" w:type="dxa"/>
            <w:shd w:val="clear" w:color="auto" w:fill="auto"/>
            <w:vAlign w:val="center"/>
          </w:tcPr>
          <w:p w14:paraId="5C6BE2DF">
            <w:pPr>
              <w:tabs>
                <w:tab w:val="left" w:pos="709"/>
              </w:tabs>
              <w:spacing w:line="240" w:lineRule="auto"/>
              <w:jc w:val="both"/>
              <w:rPr>
                <w:lang w:val="en-GB"/>
              </w:rPr>
            </w:pPr>
            <w:r>
              <w:rPr>
                <w:lang w:val="en-GB"/>
              </w:rPr>
              <w:t>Bucket toilets</w:t>
            </w:r>
          </w:p>
        </w:tc>
        <w:tc>
          <w:tcPr>
            <w:tcW w:w="1984" w:type="dxa"/>
            <w:shd w:val="clear" w:color="auto" w:fill="auto"/>
            <w:vAlign w:val="center"/>
          </w:tcPr>
          <w:p w14:paraId="31EB6E5D">
            <w:pPr>
              <w:tabs>
                <w:tab w:val="left" w:pos="709"/>
              </w:tabs>
              <w:spacing w:line="240" w:lineRule="auto"/>
              <w:jc w:val="both"/>
              <w:rPr>
                <w:lang w:val="en-GB"/>
              </w:rPr>
            </w:pPr>
            <w:r>
              <w:rPr>
                <w:lang w:val="en-GB"/>
              </w:rPr>
              <w:t>50%</w:t>
            </w:r>
          </w:p>
        </w:tc>
        <w:tc>
          <w:tcPr>
            <w:tcW w:w="3402" w:type="dxa"/>
            <w:shd w:val="clear" w:color="auto" w:fill="auto"/>
            <w:vAlign w:val="center"/>
          </w:tcPr>
          <w:p w14:paraId="2FF5A819">
            <w:pPr>
              <w:tabs>
                <w:tab w:val="left" w:pos="709"/>
              </w:tabs>
              <w:spacing w:line="240" w:lineRule="auto"/>
              <w:jc w:val="both"/>
              <w:rPr>
                <w:lang w:val="en-GB"/>
              </w:rPr>
            </w:pPr>
            <w:r>
              <w:rPr>
                <w:lang w:val="en-GB"/>
              </w:rPr>
              <w:t>76%</w:t>
            </w:r>
          </w:p>
        </w:tc>
      </w:tr>
      <w:tr w14:paraId="3C3035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2127" w:type="dxa"/>
            <w:shd w:val="clear" w:color="auto" w:fill="auto"/>
            <w:vAlign w:val="center"/>
          </w:tcPr>
          <w:p w14:paraId="42433FD5">
            <w:pPr>
              <w:tabs>
                <w:tab w:val="left" w:pos="709"/>
              </w:tabs>
              <w:spacing w:line="240" w:lineRule="auto"/>
              <w:jc w:val="both"/>
              <w:rPr>
                <w:lang w:val="en-GB"/>
              </w:rPr>
            </w:pPr>
            <w:r>
              <w:rPr>
                <w:lang w:val="en-GB"/>
              </w:rPr>
              <w:t>Improved Toilet</w:t>
            </w:r>
          </w:p>
        </w:tc>
        <w:tc>
          <w:tcPr>
            <w:tcW w:w="1984" w:type="dxa"/>
            <w:shd w:val="clear" w:color="auto" w:fill="auto"/>
            <w:vAlign w:val="center"/>
          </w:tcPr>
          <w:p w14:paraId="28F49A22">
            <w:pPr>
              <w:tabs>
                <w:tab w:val="left" w:pos="709"/>
              </w:tabs>
              <w:spacing w:line="240" w:lineRule="auto"/>
              <w:jc w:val="both"/>
              <w:rPr>
                <w:lang w:val="en-GB"/>
              </w:rPr>
            </w:pPr>
            <w:r>
              <w:rPr>
                <w:lang w:val="en-GB"/>
              </w:rPr>
              <w:t>3%</w:t>
            </w:r>
          </w:p>
        </w:tc>
        <w:tc>
          <w:tcPr>
            <w:tcW w:w="3402" w:type="dxa"/>
            <w:shd w:val="clear" w:color="auto" w:fill="auto"/>
            <w:vAlign w:val="center"/>
          </w:tcPr>
          <w:p w14:paraId="4AC9D654">
            <w:pPr>
              <w:tabs>
                <w:tab w:val="left" w:pos="709"/>
              </w:tabs>
              <w:spacing w:line="240" w:lineRule="auto"/>
              <w:jc w:val="both"/>
              <w:rPr>
                <w:lang w:val="en-GB"/>
              </w:rPr>
            </w:pPr>
            <w:r>
              <w:rPr>
                <w:lang w:val="en-GB"/>
              </w:rPr>
              <w:t>2%</w:t>
            </w:r>
          </w:p>
        </w:tc>
      </w:tr>
      <w:tr w14:paraId="163FD8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2127" w:type="dxa"/>
            <w:shd w:val="clear" w:color="auto" w:fill="auto"/>
            <w:vAlign w:val="center"/>
          </w:tcPr>
          <w:p w14:paraId="207D5E93">
            <w:pPr>
              <w:tabs>
                <w:tab w:val="left" w:pos="709"/>
              </w:tabs>
              <w:spacing w:line="240" w:lineRule="auto"/>
              <w:jc w:val="both"/>
              <w:rPr>
                <w:lang w:val="en-GB"/>
              </w:rPr>
            </w:pPr>
            <w:r>
              <w:rPr>
                <w:lang w:val="en-GB"/>
              </w:rPr>
              <w:t>Unlined Pit</w:t>
            </w:r>
          </w:p>
        </w:tc>
        <w:tc>
          <w:tcPr>
            <w:tcW w:w="1984" w:type="dxa"/>
            <w:shd w:val="clear" w:color="auto" w:fill="auto"/>
            <w:vAlign w:val="center"/>
          </w:tcPr>
          <w:p w14:paraId="04A2030D">
            <w:pPr>
              <w:tabs>
                <w:tab w:val="left" w:pos="709"/>
              </w:tabs>
              <w:spacing w:line="240" w:lineRule="auto"/>
              <w:ind w:left="709"/>
              <w:jc w:val="both"/>
              <w:rPr>
                <w:lang w:val="en-GB"/>
              </w:rPr>
            </w:pPr>
            <w:r>
              <w:rPr>
                <w:lang w:val="en-GB"/>
              </w:rPr>
              <w:t> </w:t>
            </w:r>
          </w:p>
        </w:tc>
        <w:tc>
          <w:tcPr>
            <w:tcW w:w="3402" w:type="dxa"/>
            <w:shd w:val="clear" w:color="auto" w:fill="auto"/>
            <w:vAlign w:val="center"/>
          </w:tcPr>
          <w:p w14:paraId="565BAE70">
            <w:pPr>
              <w:tabs>
                <w:tab w:val="left" w:pos="709"/>
              </w:tabs>
              <w:spacing w:line="240" w:lineRule="auto"/>
              <w:jc w:val="both"/>
              <w:rPr>
                <w:lang w:val="en-GB"/>
              </w:rPr>
            </w:pPr>
            <w:r>
              <w:rPr>
                <w:lang w:val="en-GB"/>
              </w:rPr>
              <w:t>6%</w:t>
            </w:r>
          </w:p>
        </w:tc>
      </w:tr>
      <w:tr w14:paraId="043414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0" w:hRule="atLeast"/>
          <w:jc w:val="center"/>
        </w:trPr>
        <w:tc>
          <w:tcPr>
            <w:tcW w:w="2127" w:type="dxa"/>
            <w:shd w:val="clear" w:color="auto" w:fill="auto"/>
            <w:vAlign w:val="center"/>
          </w:tcPr>
          <w:p w14:paraId="2A684475">
            <w:pPr>
              <w:tabs>
                <w:tab w:val="left" w:pos="709"/>
              </w:tabs>
              <w:spacing w:line="240" w:lineRule="auto"/>
              <w:jc w:val="both"/>
              <w:rPr>
                <w:lang w:val="en-GB"/>
              </w:rPr>
            </w:pPr>
            <w:r>
              <w:rPr>
                <w:lang w:val="en-GB"/>
              </w:rPr>
              <w:t>Open defecation</w:t>
            </w:r>
          </w:p>
        </w:tc>
        <w:tc>
          <w:tcPr>
            <w:tcW w:w="1984" w:type="dxa"/>
            <w:shd w:val="clear" w:color="auto" w:fill="auto"/>
            <w:vAlign w:val="center"/>
          </w:tcPr>
          <w:p w14:paraId="7D170DA6">
            <w:pPr>
              <w:tabs>
                <w:tab w:val="left" w:pos="709"/>
              </w:tabs>
              <w:spacing w:line="240" w:lineRule="auto"/>
              <w:jc w:val="both"/>
              <w:rPr>
                <w:lang w:val="en-GB"/>
              </w:rPr>
            </w:pPr>
            <w:r>
              <w:rPr>
                <w:lang w:val="en-GB"/>
              </w:rPr>
              <w:t>38%</w:t>
            </w:r>
          </w:p>
        </w:tc>
        <w:tc>
          <w:tcPr>
            <w:tcW w:w="3402" w:type="dxa"/>
            <w:shd w:val="clear" w:color="auto" w:fill="auto"/>
            <w:vAlign w:val="center"/>
          </w:tcPr>
          <w:p w14:paraId="78738EA4">
            <w:pPr>
              <w:tabs>
                <w:tab w:val="left" w:pos="709"/>
              </w:tabs>
              <w:spacing w:line="240" w:lineRule="auto"/>
              <w:jc w:val="both"/>
              <w:rPr>
                <w:lang w:val="en-GB"/>
              </w:rPr>
            </w:pPr>
            <w:r>
              <w:rPr>
                <w:lang w:val="en-GB"/>
              </w:rPr>
              <w:t>5%</w:t>
            </w:r>
          </w:p>
        </w:tc>
      </w:tr>
      <w:tr w14:paraId="2C1AA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0" w:hRule="atLeast"/>
          <w:jc w:val="center"/>
        </w:trPr>
        <w:tc>
          <w:tcPr>
            <w:tcW w:w="2127" w:type="dxa"/>
            <w:shd w:val="clear" w:color="auto" w:fill="auto"/>
            <w:vAlign w:val="center"/>
          </w:tcPr>
          <w:p w14:paraId="5D0ED39D">
            <w:pPr>
              <w:tabs>
                <w:tab w:val="left" w:pos="709"/>
              </w:tabs>
              <w:spacing w:line="240" w:lineRule="auto"/>
              <w:ind w:left="709"/>
              <w:jc w:val="both"/>
              <w:rPr>
                <w:lang w:val="en-GB"/>
              </w:rPr>
            </w:pPr>
            <w:r>
              <w:rPr>
                <w:lang w:val="en-GB"/>
              </w:rPr>
              <w:t> </w:t>
            </w:r>
          </w:p>
        </w:tc>
        <w:tc>
          <w:tcPr>
            <w:tcW w:w="1984" w:type="dxa"/>
            <w:shd w:val="clear" w:color="auto" w:fill="auto"/>
            <w:vAlign w:val="center"/>
          </w:tcPr>
          <w:p w14:paraId="1CD91164">
            <w:pPr>
              <w:tabs>
                <w:tab w:val="left" w:pos="709"/>
              </w:tabs>
              <w:spacing w:line="240" w:lineRule="auto"/>
              <w:jc w:val="both"/>
              <w:rPr>
                <w:lang w:val="en-GB"/>
              </w:rPr>
            </w:pPr>
            <w:r>
              <w:rPr>
                <w:lang w:val="en-GB"/>
              </w:rPr>
              <w:t>100%</w:t>
            </w:r>
          </w:p>
        </w:tc>
        <w:tc>
          <w:tcPr>
            <w:tcW w:w="3402" w:type="dxa"/>
            <w:shd w:val="clear" w:color="auto" w:fill="auto"/>
            <w:vAlign w:val="center"/>
          </w:tcPr>
          <w:p w14:paraId="4E7CFD9F">
            <w:pPr>
              <w:tabs>
                <w:tab w:val="left" w:pos="709"/>
              </w:tabs>
              <w:spacing w:line="240" w:lineRule="auto"/>
              <w:jc w:val="both"/>
              <w:rPr>
                <w:lang w:val="en-GB"/>
              </w:rPr>
            </w:pPr>
            <w:r>
              <w:rPr>
                <w:lang w:val="en-GB"/>
              </w:rPr>
              <w:t>100%</w:t>
            </w:r>
          </w:p>
        </w:tc>
      </w:tr>
    </w:tbl>
    <w:p w14:paraId="150D2CBB">
      <w:pPr>
        <w:tabs>
          <w:tab w:val="left" w:pos="709"/>
        </w:tabs>
        <w:spacing w:line="240" w:lineRule="auto"/>
        <w:ind w:left="709"/>
        <w:jc w:val="both"/>
      </w:pPr>
      <w:r>
        <w:pict>
          <v:shape id="_x0000_i1029" o:spt="75" type="#_x0000_t75" style="height:294pt;width:424.5pt;" filled="f" o:preferrelative="t" stroked="f" coordsize="21600,21600">
            <v:path/>
            <v:fill on="f" focussize="0,0"/>
            <v:stroke on="f" joinstyle="miter"/>
            <v:imagedata r:id="rId67" croptop="16258f" cropbottom="18018f" o:title="WhatsApp Image 2024-08-04 at 12"/>
            <o:lock v:ext="edit" aspectratio="t"/>
            <w10:wrap type="none"/>
            <w10:anchorlock/>
          </v:shape>
        </w:pict>
      </w:r>
    </w:p>
    <w:p w14:paraId="3579B470">
      <w:pPr>
        <w:pStyle w:val="23"/>
      </w:pPr>
      <w:bookmarkStart w:id="232" w:name="_Toc179551694"/>
      <w:r>
        <w:t xml:space="preserve">Figure </w:t>
      </w:r>
      <w:r>
        <w:fldChar w:fldCharType="begin"/>
      </w:r>
      <w:r>
        <w:instrText xml:space="preserve"> SEQ Figure \* ARABIC </w:instrText>
      </w:r>
      <w:r>
        <w:fldChar w:fldCharType="separate"/>
      </w:r>
      <w:r>
        <w:t>9</w:t>
      </w:r>
      <w:r>
        <w:fldChar w:fldCharType="end"/>
      </w:r>
      <w:r>
        <w:t>: Bucket toilet</w:t>
      </w:r>
      <w:bookmarkEnd w:id="232"/>
    </w:p>
    <w:p w14:paraId="190BF080">
      <w:pPr>
        <w:tabs>
          <w:tab w:val="left" w:pos="709"/>
        </w:tabs>
        <w:ind w:left="709"/>
        <w:jc w:val="both"/>
      </w:pPr>
      <w:r>
        <w:pict>
          <v:shape id="_x0000_i1030" o:spt="75" type="#_x0000_t75" style="height:196.5pt;width:424.5pt;" filled="f" o:preferrelative="t" stroked="f" coordsize="21600,21600">
            <v:path/>
            <v:fill on="f" focussize="0,0"/>
            <v:stroke on="f" joinstyle="miter"/>
            <v:imagedata r:id="rId68" o:title="WhatsApp Image 2024-08-04 at 12"/>
            <o:lock v:ext="edit" aspectratio="t"/>
            <w10:wrap type="none"/>
            <w10:anchorlock/>
          </v:shape>
        </w:pict>
      </w:r>
    </w:p>
    <w:p w14:paraId="7A1620BC">
      <w:pPr>
        <w:pStyle w:val="23"/>
      </w:pPr>
      <w:bookmarkStart w:id="233" w:name="_Toc179551695"/>
      <w:r>
        <w:t xml:space="preserve">Figure </w:t>
      </w:r>
      <w:r>
        <w:fldChar w:fldCharType="begin"/>
      </w:r>
      <w:r>
        <w:instrText xml:space="preserve"> SEQ Figure \* ARABIC </w:instrText>
      </w:r>
      <w:r>
        <w:fldChar w:fldCharType="separate"/>
      </w:r>
      <w:r>
        <w:t>10</w:t>
      </w:r>
      <w:r>
        <w:fldChar w:fldCharType="end"/>
      </w:r>
      <w:r>
        <w:t>: Open transport truck</w:t>
      </w:r>
      <w:bookmarkEnd w:id="233"/>
    </w:p>
    <w:p w14:paraId="3DF2BC04">
      <w:pPr>
        <w:tabs>
          <w:tab w:val="left" w:pos="709"/>
        </w:tabs>
        <w:ind w:left="709"/>
        <w:jc w:val="both"/>
      </w:pPr>
      <w:r>
        <w:pict>
          <v:shape id="_x0000_i1031" o:spt="75" type="#_x0000_t75" style="height:196.5pt;width:425.5pt;" filled="f" o:preferrelative="t" stroked="f" coordsize="21600,21600">
            <v:path/>
            <v:fill on="f" focussize="0,0"/>
            <v:stroke on="f" joinstyle="miter"/>
            <v:imagedata r:id="rId69" o:title="WhatsApp Image 2024-08-04 at 12"/>
            <o:lock v:ext="edit" aspectratio="t"/>
            <w10:wrap type="none"/>
            <w10:anchorlock/>
          </v:shape>
        </w:pict>
      </w:r>
    </w:p>
    <w:p w14:paraId="2423B8B3">
      <w:pPr>
        <w:pStyle w:val="23"/>
      </w:pPr>
      <w:bookmarkStart w:id="234" w:name="_Toc179551696"/>
      <w:r>
        <w:t xml:space="preserve">Figure </w:t>
      </w:r>
      <w:r>
        <w:fldChar w:fldCharType="begin"/>
      </w:r>
      <w:r>
        <w:instrText xml:space="preserve"> SEQ Figure \* ARABIC </w:instrText>
      </w:r>
      <w:r>
        <w:fldChar w:fldCharType="separate"/>
      </w:r>
      <w:r>
        <w:t>11</w:t>
      </w:r>
      <w:r>
        <w:fldChar w:fldCharType="end"/>
      </w:r>
      <w:r>
        <w:t>: Existing dumpsite in Alimaow</w:t>
      </w:r>
      <w:bookmarkEnd w:id="234"/>
    </w:p>
    <w:p w14:paraId="7E99A166">
      <w:pPr>
        <w:ind w:left="709"/>
      </w:pPr>
      <w:r>
        <w:t>From the survey, most of the solid wastes are burned and disposed irregularly, with the least disposed to landfills.</w:t>
      </w:r>
    </w:p>
    <w:p w14:paraId="1A9CC5C4">
      <w:pPr>
        <w:ind w:left="709"/>
      </w:pPr>
      <w:r>
        <w:drawing>
          <wp:inline distT="0" distB="0" distL="0" distR="0">
            <wp:extent cx="4419600" cy="1971675"/>
            <wp:effectExtent l="0" t="0" r="0" b="952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6464892E">
      <w:pPr>
        <w:pStyle w:val="23"/>
      </w:pPr>
      <w:bookmarkStart w:id="235" w:name="_Toc179551697"/>
      <w:r>
        <w:t xml:space="preserve">Figure </w:t>
      </w:r>
      <w:r>
        <w:fldChar w:fldCharType="begin"/>
      </w:r>
      <w:r>
        <w:instrText xml:space="preserve"> SEQ Figure \* ARABIC </w:instrText>
      </w:r>
      <w:r>
        <w:fldChar w:fldCharType="separate"/>
      </w:r>
      <w:r>
        <w:t>12</w:t>
      </w:r>
      <w:r>
        <w:fldChar w:fldCharType="end"/>
      </w:r>
      <w:r>
        <w:t>: Solid waste management</w:t>
      </w:r>
      <w:bookmarkEnd w:id="235"/>
    </w:p>
    <w:p w14:paraId="09717D4D">
      <w:pPr>
        <w:pStyle w:val="4"/>
      </w:pPr>
      <w:bookmarkStart w:id="236" w:name="_Toc179904066"/>
      <w:bookmarkStart w:id="237" w:name="_Toc170722982"/>
      <w:r>
        <w:t xml:space="preserve">5.2.7 </w:t>
      </w:r>
      <w:r>
        <w:tab/>
      </w:r>
      <w:r>
        <w:t>Water resources</w:t>
      </w:r>
      <w:bookmarkEnd w:id="236"/>
    </w:p>
    <w:p w14:paraId="61E0B761">
      <w:pPr>
        <w:tabs>
          <w:tab w:val="left" w:pos="709"/>
        </w:tabs>
        <w:ind w:left="709"/>
        <w:jc w:val="both"/>
      </w:pPr>
      <w:r>
        <w:t>In Wajir County, 49 % of residents use improved (safe) sources of water, with the rest relying on unimproved water sources. There is a significant variation in safe drinking water where 55.4 percent of rural and 35.7 of urban use unsafe water. Safe/Improved sources of water comprise protected spring, protected well, borehole, piped into dwelling, piped and rainwater collection while unimproved sources include pond, dam, lake, stream/river, unprotected spring, unprotected well, jabia, water vendor and others.</w:t>
      </w:r>
    </w:p>
    <w:p w14:paraId="04E7FE3A">
      <w:pPr>
        <w:tabs>
          <w:tab w:val="left" w:pos="709"/>
        </w:tabs>
        <w:ind w:left="709"/>
        <w:jc w:val="both"/>
      </w:pPr>
      <w:r>
        <w:t>Bute town has a serious problem operating without a water supply system and relying on water pans for most part of the Year. The proposed Bute dam to be implemented by the National Government is expected to solve this problem once it is constructed. Habaswein and Eldas towns have existing water supply systems although they do not cover 100 percent of the townships. Eldas has an ongoing flagship water project, that is, Anole Water Supply that is aimed at extending the current system to the outskirts of the town. The flagship project is implemented by the National Government. On the other hand, Habaswein will have to be prioritized</w:t>
      </w:r>
      <w:r>
        <w:rPr>
          <w:rFonts w:eastAsia="Microsoft Sans Serif" w:cs="Microsoft Sans Serif"/>
          <w:w w:val="80"/>
        </w:rPr>
        <w:t xml:space="preserve"> </w:t>
      </w:r>
      <w:r>
        <w:t>in this current plan to be able to increase the water supply coverage as well as respond to the expected future growth. Griftu Town has an existing supply system, with a relatively high yielding borehole as the main source. However, the peripheral settlements in the town remain underserved with residents walking long distances and spending long hours to collect water for both domestic and livestock use. Tarbaj has a supply system that is sourced from Sarman. The borehole supplying the town has relatively good yield to sustain the town while the water pipeline system has a problem that needs to be repaired well. Frequent breakages are reported on the pipeline making the town go without water for long periods.</w:t>
      </w:r>
    </w:p>
    <w:p w14:paraId="3429827B">
      <w:pPr>
        <w:tabs>
          <w:tab w:val="left" w:pos="709"/>
        </w:tabs>
        <w:ind w:left="709"/>
        <w:jc w:val="both"/>
      </w:pPr>
      <w:r>
        <w:drawing>
          <wp:inline distT="0" distB="0" distL="0" distR="0">
            <wp:extent cx="4572000" cy="2743200"/>
            <wp:effectExtent l="0" t="0" r="0" b="0"/>
            <wp:docPr id="9" name="Char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p w14:paraId="46FA46D6">
      <w:pPr>
        <w:pStyle w:val="23"/>
      </w:pPr>
      <w:bookmarkStart w:id="238" w:name="_Toc179551698"/>
      <w:r>
        <w:t xml:space="preserve">Figure </w:t>
      </w:r>
      <w:r>
        <w:fldChar w:fldCharType="begin"/>
      </w:r>
      <w:r>
        <w:instrText xml:space="preserve"> SEQ Figure \* ARABIC </w:instrText>
      </w:r>
      <w:r>
        <w:fldChar w:fldCharType="separate"/>
      </w:r>
      <w:r>
        <w:t>13</w:t>
      </w:r>
      <w:r>
        <w:fldChar w:fldCharType="end"/>
      </w:r>
      <w:r>
        <w:t>: Water sources</w:t>
      </w:r>
      <w:bookmarkEnd w:id="238"/>
    </w:p>
    <w:p w14:paraId="3E4CDE53">
      <w:pPr>
        <w:tabs>
          <w:tab w:val="left" w:pos="709"/>
        </w:tabs>
        <w:ind w:left="709"/>
        <w:jc w:val="both"/>
      </w:pPr>
      <w:r>
        <w:t>According to the bar graph above, the data collected from the sample population shows that 10% of the people buy water from water vendors, 10% from water pumps, 70% from boreholes and wells, including shallow wells, 5% from rain water and 5% from tap water. Most of the people are not satisfied with the water supply system in the community, as the water is not clean and salty apart from it being inaccessible as people have to walk long distances of up to 5km to access water.</w:t>
      </w:r>
    </w:p>
    <w:bookmarkEnd w:id="237"/>
    <w:p w14:paraId="53109F75">
      <w:pPr>
        <w:pStyle w:val="4"/>
      </w:pPr>
      <w:bookmarkStart w:id="239" w:name="_Toc179904067"/>
      <w:bookmarkStart w:id="240" w:name="_Toc173301435"/>
      <w:r>
        <w:t xml:space="preserve">5.2.8 </w:t>
      </w:r>
      <w:r>
        <w:tab/>
      </w:r>
      <w:r>
        <w:t>Land Use and Land Tenure</w:t>
      </w:r>
      <w:bookmarkEnd w:id="239"/>
      <w:bookmarkEnd w:id="240"/>
    </w:p>
    <w:p w14:paraId="3FC221AC">
      <w:pPr>
        <w:keepNext/>
        <w:keepLines/>
        <w:tabs>
          <w:tab w:val="left" w:pos="709"/>
        </w:tabs>
        <w:ind w:left="709"/>
        <w:jc w:val="both"/>
        <w:rPr>
          <w:lang w:val="en-GB"/>
        </w:rPr>
      </w:pPr>
      <w:r>
        <w:rPr>
          <w:lang w:val="en-GB"/>
        </w:rPr>
        <w:t xml:space="preserve">Urban Land use refers to spatial distribution of social and economic activities. Accordingly, an up-to-date land use inventory is frequently required to facilitate urban planning and growth patterns as well as monitoring urban expansion. </w:t>
      </w:r>
      <w:r>
        <w:t>The entire county is categorized as trust land apart from a small percentage of the total area occupied by townships. The survey process for part of Wajir town was done and owners’ allotment letters issued. The county is also in the process of preparing physical development Plans for seven towns namely Habaswein, Griftu, Eldas, Bute, Tarbaj, Khorof Harar and Hadado and County Spatial Plan to guide development planning. The land is mostly used communally for nomadic pastoralism. However, some small areas are under small-scale agriculture by individuals or groups. The land survey process should be fast tracked with the view of enhancing gender equity.</w:t>
      </w:r>
    </w:p>
    <w:p w14:paraId="159298FB">
      <w:pPr>
        <w:pStyle w:val="4"/>
      </w:pPr>
      <w:bookmarkStart w:id="241" w:name="_Toc179904068"/>
      <w:r>
        <w:t xml:space="preserve">5.2.9 </w:t>
      </w:r>
      <w:r>
        <w:tab/>
      </w:r>
      <w:r>
        <w:t>Housing</w:t>
      </w:r>
      <w:bookmarkEnd w:id="241"/>
    </w:p>
    <w:p w14:paraId="390D3A0D">
      <w:pPr>
        <w:tabs>
          <w:tab w:val="left" w:pos="709"/>
        </w:tabs>
        <w:spacing w:line="240" w:lineRule="auto"/>
        <w:ind w:left="709"/>
        <w:jc w:val="both"/>
      </w:pPr>
      <w:r>
        <w:t xml:space="preserve">In terms of housing, there is no data available that disaggregated by rural and urban statistics. The KPHC 2019 statistics show that 120,367 of the households (HH 94.9 percent) in the county own the dwelling unit they live in, only 5.1 percent live in rented units translating into 6,503 households. Of the rented units, 51 percent are found in Wajir East, essentially within the Municipality. Individuals have the highest proportion of units available for rental accounting for 74.8 percent. The National Government accounts for 10.3 percent of the rental units, County Government 6.2 percent of the units, parastatals 1.6 percent, private companies’ 6.4 percent and NGOs/FBOs/ Mosque/Church accounting for the remaining 0.7 percent. </w:t>
      </w:r>
    </w:p>
    <w:p w14:paraId="0998A9F0">
      <w:pPr>
        <w:tabs>
          <w:tab w:val="left" w:pos="709"/>
        </w:tabs>
        <w:spacing w:line="240" w:lineRule="auto"/>
        <w:ind w:left="709"/>
        <w:jc w:val="both"/>
      </w:pPr>
      <w:r>
        <w:t>As the general population and the density grows, it becomes imperative to have a spatial plan to secure the rangelands and grazing resources that are a backbone to the livelihoods of the majority of the residents. In most community discussions, new settlements have been identified as the biggest single threat to the sustainability of livestock production as currently structured. There is general agreement that new settlements are politically driven and there is need for both the county and national administrations to reign on the haphazard manner in which new settlements are established. The spatial plan will provide an important basis for evidence-based policies in controlling rampant establishment of new settlements that can be a threat to the environment, rangelands, grazing and other natural resources.</w:t>
      </w:r>
    </w:p>
    <w:p w14:paraId="34039253">
      <w:pPr>
        <w:tabs>
          <w:tab w:val="left" w:pos="709"/>
        </w:tabs>
        <w:spacing w:line="240" w:lineRule="auto"/>
        <w:ind w:left="709"/>
        <w:jc w:val="both"/>
      </w:pPr>
      <w:r>
        <w:t>The houses in the proposed project area and Wajir County as a whole are a mixture of Manyattas, semi-permanent and permanent houses.</w:t>
      </w:r>
    </w:p>
    <w:p w14:paraId="08115C63">
      <w:pPr>
        <w:tabs>
          <w:tab w:val="left" w:pos="709"/>
        </w:tabs>
        <w:spacing w:line="240" w:lineRule="auto"/>
        <w:ind w:left="709"/>
        <w:jc w:val="both"/>
      </w:pPr>
      <w:r>
        <w:t>With the Manyattas made of stick, mud and fabric. Permanent houses made of stone walls and corrugated iron sheets.</w:t>
      </w:r>
      <w:bookmarkStart w:id="242" w:name="_Toc173301439"/>
    </w:p>
    <w:p w14:paraId="1D11FA77">
      <w:pPr>
        <w:tabs>
          <w:tab w:val="left" w:pos="709"/>
        </w:tabs>
        <w:spacing w:line="240" w:lineRule="auto"/>
        <w:ind w:left="709"/>
        <w:jc w:val="both"/>
      </w:pPr>
      <w:r>
        <w:pict>
          <v:shape id="_x0000_i1032" o:spt="75" type="#_x0000_t75" style="height:238pt;width:357pt;" filled="f" o:preferrelative="t" stroked="f" coordsize="21600,21600">
            <v:path/>
            <v:fill on="f" focussize="0,0"/>
            <v:stroke on="f" joinstyle="miter"/>
            <v:imagedata r:id="rId72" o:title="WhatsApp Image 2024-08-04 at 12"/>
            <o:lock v:ext="edit" aspectratio="t"/>
            <w10:wrap type="none"/>
            <w10:anchorlock/>
          </v:shape>
        </w:pict>
      </w:r>
    </w:p>
    <w:p w14:paraId="6DCCAD59">
      <w:pPr>
        <w:pStyle w:val="23"/>
      </w:pPr>
      <w:bookmarkStart w:id="243" w:name="_Toc179551699"/>
      <w:r>
        <w:t xml:space="preserve">Figure </w:t>
      </w:r>
      <w:r>
        <w:fldChar w:fldCharType="begin"/>
      </w:r>
      <w:r>
        <w:instrText xml:space="preserve"> SEQ Figure \* ARABIC </w:instrText>
      </w:r>
      <w:r>
        <w:fldChar w:fldCharType="separate"/>
      </w:r>
      <w:r>
        <w:t>14</w:t>
      </w:r>
      <w:r>
        <w:fldChar w:fldCharType="end"/>
      </w:r>
      <w:r>
        <w:t>: Manyatta house at homestead.</w:t>
      </w:r>
      <w:bookmarkEnd w:id="242"/>
      <w:bookmarkEnd w:id="243"/>
    </w:p>
    <w:p w14:paraId="6E614D5C">
      <w:pPr>
        <w:pStyle w:val="4"/>
        <w:rPr>
          <w:lang w:val="en-GB" w:eastAsia="ja-JP"/>
        </w:rPr>
      </w:pPr>
      <w:bookmarkStart w:id="244" w:name="_Toc179904069"/>
      <w:r>
        <w:rPr>
          <w:lang w:val="en-GB" w:eastAsia="ja-JP"/>
        </w:rPr>
        <w:t xml:space="preserve">5.2.10 </w:t>
      </w:r>
      <w:r>
        <w:rPr>
          <w:lang w:val="en-GB" w:eastAsia="ja-JP"/>
        </w:rPr>
        <w:tab/>
      </w:r>
      <w:r>
        <w:rPr>
          <w:lang w:val="en-GB" w:eastAsia="ja-JP"/>
        </w:rPr>
        <w:t>Youth</w:t>
      </w:r>
      <w:bookmarkEnd w:id="244"/>
      <w:r>
        <w:rPr>
          <w:lang w:val="en-GB" w:eastAsia="ja-JP"/>
        </w:rPr>
        <w:t xml:space="preserve"> </w:t>
      </w:r>
    </w:p>
    <w:p w14:paraId="3D3480C9">
      <w:pPr>
        <w:ind w:left="709"/>
        <w:rPr>
          <w:lang w:val="en-GB" w:eastAsia="ja-JP"/>
        </w:rPr>
      </w:pPr>
      <w:r>
        <w:rPr>
          <w:lang w:eastAsia="ja-JP"/>
        </w:rPr>
        <w:t>The youth population is faced with myriad of challenges that include: high unemployment, illiteracy, drug abuse, radicalization and lack of basic life skills. The multidimensional poverty incidence for the youth between age 18-34 years is 87.4 percent. The government shall institute policies to upscale programs for youth job creation and empowerment initiatives, as well as programs for family affairs, eradication of drug abuse and counter violent extremism</w:t>
      </w:r>
      <w:r>
        <w:rPr>
          <w:lang w:val="en-GB" w:eastAsia="ja-JP"/>
        </w:rPr>
        <w:t>.</w:t>
      </w:r>
    </w:p>
    <w:p w14:paraId="4A4A1032">
      <w:pPr>
        <w:pStyle w:val="117"/>
      </w:pPr>
      <w:bookmarkStart w:id="245" w:name="_Toc179904070"/>
      <w:r>
        <w:t xml:space="preserve">5.3 </w:t>
      </w:r>
      <w:r>
        <w:tab/>
      </w:r>
      <w:r>
        <w:t>Cultural and archeological baseline</w:t>
      </w:r>
      <w:bookmarkEnd w:id="245"/>
    </w:p>
    <w:p w14:paraId="2A712538">
      <w:pPr>
        <w:pStyle w:val="4"/>
      </w:pPr>
      <w:bookmarkStart w:id="246" w:name="_Toc179904071"/>
      <w:r>
        <w:t xml:space="preserve">5.3.1 </w:t>
      </w:r>
      <w:r>
        <w:tab/>
      </w:r>
      <w:r>
        <w:t>Cultural baseline</w:t>
      </w:r>
      <w:bookmarkEnd w:id="246"/>
    </w:p>
    <w:p w14:paraId="565C96A8">
      <w:pPr>
        <w:tabs>
          <w:tab w:val="left" w:pos="709"/>
        </w:tabs>
        <w:ind w:left="709"/>
        <w:jc w:val="both"/>
        <w:rPr>
          <w:lang w:eastAsia="ja-JP"/>
        </w:rPr>
      </w:pPr>
      <w:r>
        <w:rPr>
          <w:lang w:eastAsia="ja-JP"/>
        </w:rPr>
        <w:t>Wajir, located in northeastern Kenya, is a region rich in cultural and archaeological significance, with a deep history influenced by various factors, including its geographic location and the diverse communities that have lived there.</w:t>
      </w:r>
    </w:p>
    <w:p w14:paraId="1B6FF0C5">
      <w:pPr>
        <w:tabs>
          <w:tab w:val="left" w:pos="709"/>
        </w:tabs>
        <w:ind w:left="709"/>
        <w:jc w:val="both"/>
        <w:rPr>
          <w:lang w:eastAsia="ja-JP"/>
        </w:rPr>
      </w:pPr>
      <w:r>
        <w:rPr>
          <w:lang w:eastAsia="ja-JP"/>
        </w:rPr>
        <w:t>Wajir is predominantly inhabited by Somali ethnic groups, primarily the Ogaden, Ajuran, and Degodia clans. The Somali culture in Wajir is characterized by a nomadic pastoralist lifestyle, where livestock herding, particularly of camels, goats, and sheep, is central to their way of life. The Somali language is widely spoken in Wajir, alongside Swahili, which is common across Kenya. Islam is the predominant religion, with the majority of the population adhering to Sunni Islam, which plays a significant role in shaping the cultural practices, social norms, and daily life in the region.</w:t>
      </w:r>
    </w:p>
    <w:p w14:paraId="3074776E">
      <w:pPr>
        <w:tabs>
          <w:tab w:val="left" w:pos="709"/>
        </w:tabs>
        <w:ind w:left="709"/>
        <w:jc w:val="both"/>
        <w:rPr>
          <w:lang w:eastAsia="ja-JP"/>
        </w:rPr>
      </w:pPr>
      <w:r>
        <w:rPr>
          <w:lang w:eastAsia="ja-JP"/>
        </w:rPr>
        <w:t>The people of Wajir maintain a strong connection to their traditional practices, including oral literature, poetry, and traditional music. The region is also known for its traditional conflict resolution mechanisms, such as the "Xeer" system, which is a customary law practiced among the Somali people.</w:t>
      </w:r>
    </w:p>
    <w:p w14:paraId="7F1683D5">
      <w:pPr>
        <w:pStyle w:val="4"/>
      </w:pPr>
      <w:bookmarkStart w:id="247" w:name="_Toc179904072"/>
      <w:r>
        <w:t xml:space="preserve">5.3.2 </w:t>
      </w:r>
      <w:r>
        <w:tab/>
      </w:r>
      <w:r>
        <w:t>Archaeological Baseline</w:t>
      </w:r>
      <w:bookmarkEnd w:id="247"/>
    </w:p>
    <w:p w14:paraId="4496E686">
      <w:pPr>
        <w:tabs>
          <w:tab w:val="left" w:pos="709"/>
        </w:tabs>
        <w:ind w:left="709"/>
        <w:jc w:val="both"/>
        <w:rPr>
          <w:lang w:eastAsia="ja-JP"/>
        </w:rPr>
      </w:pPr>
    </w:p>
    <w:p w14:paraId="5AD7C644">
      <w:pPr>
        <w:tabs>
          <w:tab w:val="left" w:pos="709"/>
        </w:tabs>
        <w:ind w:left="709"/>
        <w:jc w:val="both"/>
        <w:rPr>
          <w:lang w:eastAsia="ja-JP"/>
        </w:rPr>
      </w:pPr>
      <w:r>
        <w:rPr>
          <w:lang w:eastAsia="ja-JP"/>
        </w:rPr>
        <w:t>Wajir has a rich history that dates back centuries. The county has several archaeological sites that indicate early human settlement and activity. Located in Wajir town, there is a museum showcases artifacts and exhibits that highlight the cultural history of the region, including traditional tools, weapons, and household items used by the local communities.</w:t>
      </w:r>
    </w:p>
    <w:p w14:paraId="4BD107D2">
      <w:pPr>
        <w:tabs>
          <w:tab w:val="left" w:pos="709"/>
        </w:tabs>
        <w:ind w:left="709"/>
        <w:jc w:val="both"/>
        <w:rPr>
          <w:lang w:eastAsia="ja-JP"/>
        </w:rPr>
      </w:pPr>
      <w:r>
        <w:rPr>
          <w:lang w:eastAsia="ja-JP"/>
        </w:rPr>
        <w:t>The region contains several rock art sites, which are important archaeological and cultural landmarks. These rock paintings and carvings are thought to represent the lives and beliefs of the early inhabitants of the region.</w:t>
      </w:r>
    </w:p>
    <w:p w14:paraId="2D25E466">
      <w:pPr>
        <w:tabs>
          <w:tab w:val="left" w:pos="709"/>
        </w:tabs>
        <w:ind w:left="709"/>
        <w:jc w:val="both"/>
        <w:rPr>
          <w:lang w:eastAsia="ja-JP"/>
        </w:rPr>
      </w:pPr>
      <w:r>
        <w:rPr>
          <w:lang w:eastAsia="ja-JP"/>
        </w:rPr>
        <w:t>Archaeological evidence in Wajir also points to the influence of Islamic culture, which arrived in the region through trade routes from the coast. This is evident in the ruins of old mosques and Islamic graves, which are part of the region’s historical heritage.</w:t>
      </w:r>
    </w:p>
    <w:p w14:paraId="7F18E438">
      <w:pPr>
        <w:tabs>
          <w:tab w:val="left" w:pos="709"/>
        </w:tabs>
        <w:ind w:left="709"/>
        <w:jc w:val="both"/>
        <w:rPr>
          <w:lang w:eastAsia="ja-JP"/>
        </w:rPr>
      </w:pPr>
      <w:r>
        <w:rPr>
          <w:lang w:eastAsia="ja-JP"/>
        </w:rPr>
        <w:fldChar w:fldCharType="begin"/>
      </w:r>
      <w:r>
        <w:rPr>
          <w:lang w:eastAsia="ja-JP"/>
        </w:rPr>
        <w:instrText xml:space="preserve"> REF _Ref179556623 \h  \* MERGEFORMAT </w:instrText>
      </w:r>
      <w:r>
        <w:rPr>
          <w:lang w:eastAsia="ja-JP"/>
        </w:rPr>
        <w:fldChar w:fldCharType="separate"/>
      </w:r>
      <w:r>
        <w:t>Appendix 9</w:t>
      </w:r>
      <w:r>
        <w:rPr>
          <w:lang w:eastAsia="ja-JP"/>
        </w:rPr>
        <w:fldChar w:fldCharType="end"/>
      </w:r>
      <w:r>
        <w:rPr>
          <w:lang w:eastAsia="ja-JP"/>
        </w:rPr>
        <w:t xml:space="preserve"> Presents the procedure to be followed in the event of a chance find within the project sites.</w:t>
      </w:r>
    </w:p>
    <w:p w14:paraId="64923ABB">
      <w:pPr>
        <w:tabs>
          <w:tab w:val="left" w:pos="709"/>
        </w:tabs>
        <w:ind w:left="709"/>
        <w:jc w:val="both"/>
        <w:rPr>
          <w:lang w:eastAsia="ja-JP"/>
        </w:rPr>
      </w:pPr>
      <w:r>
        <w:rPr>
          <w:lang w:eastAsia="ja-JP"/>
        </w:rPr>
        <w:pict>
          <v:shape id="_x0000_i1033" o:spt="75" type="#_x0000_t75" style="height:249.5pt;width:362pt;" filled="f" o:preferrelative="t" stroked="f" coordsize="21600,21600">
            <v:path/>
            <v:fill on="f" focussize="0,0"/>
            <v:stroke on="f" joinstyle="miter"/>
            <v:imagedata r:id="rId73" o:title="WhatsApp Image 2024-08-29 at 17"/>
            <o:lock v:ext="edit" aspectratio="t"/>
            <w10:wrap type="none"/>
            <w10:anchorlock/>
          </v:shape>
        </w:pict>
      </w:r>
    </w:p>
    <w:p w14:paraId="5D1BAF2C">
      <w:pPr>
        <w:pStyle w:val="23"/>
      </w:pPr>
      <w:bookmarkStart w:id="248" w:name="_Toc179551700"/>
      <w:r>
        <w:t xml:space="preserve">Figure </w:t>
      </w:r>
      <w:r>
        <w:fldChar w:fldCharType="begin"/>
      </w:r>
      <w:r>
        <w:instrText xml:space="preserve"> SEQ Figure \* ARABIC </w:instrText>
      </w:r>
      <w:r>
        <w:fldChar w:fldCharType="separate"/>
      </w:r>
      <w:r>
        <w:t>15</w:t>
      </w:r>
      <w:r>
        <w:fldChar w:fldCharType="end"/>
      </w:r>
      <w:r>
        <w:t>: Old buildings in the Wajir prisons compound</w:t>
      </w:r>
      <w:bookmarkEnd w:id="248"/>
    </w:p>
    <w:p w14:paraId="3717DD7F">
      <w:pPr>
        <w:ind w:left="709"/>
        <w:jc w:val="both"/>
        <w:rPr>
          <w:lang w:eastAsia="ja-JP"/>
        </w:rPr>
      </w:pPr>
      <w:r>
        <w:rPr>
          <w:lang w:eastAsia="ja-JP"/>
        </w:rPr>
        <w:t>There is the small Wajir War Cemetery containing only two graves, which measures approximately 78 square meters, which is a pale shadow of the far-reaching history of wars witnessed in Wajir. It contains one of the two graves that was brought in during 1929 from Rhamu, found 318 km further north. The war cemetery is attached to a Government station (formerly known as Archer’s Post) set close to the boundary of Italian Somaliland (Somalia).</w:t>
      </w:r>
    </w:p>
    <w:p w14:paraId="02E233CE">
      <w:pPr>
        <w:tabs>
          <w:tab w:val="left" w:pos="709"/>
          <w:tab w:val="left" w:pos="5245"/>
        </w:tabs>
        <w:ind w:left="709"/>
        <w:rPr>
          <w:lang w:eastAsia="ja-JP"/>
        </w:rPr>
      </w:pPr>
      <w:r>
        <w:rPr>
          <w:lang w:eastAsia="ja-JP"/>
        </w:rPr>
        <w:pict>
          <v:shape id="_x0000_i1034" o:spt="75" type="#_x0000_t75" style="height:239.5pt;width:408pt;" filled="f" o:preferrelative="t" stroked="f" coordsize="21600,21600">
            <v:path/>
            <v:fill on="f" focussize="0,0"/>
            <v:stroke on="f" joinstyle="miter"/>
            <v:imagedata r:id="rId74" o:title="WhatsApp Image 2024-08-29 at 17"/>
            <o:lock v:ext="edit" aspectratio="t"/>
            <w10:wrap type="none"/>
            <w10:anchorlock/>
          </v:shape>
        </w:pict>
      </w:r>
    </w:p>
    <w:p w14:paraId="40D5DA0B">
      <w:pPr>
        <w:pStyle w:val="23"/>
      </w:pPr>
      <w:bookmarkStart w:id="249" w:name="_Toc179551701"/>
      <w:r>
        <w:t xml:space="preserve">Figure </w:t>
      </w:r>
      <w:r>
        <w:fldChar w:fldCharType="begin"/>
      </w:r>
      <w:r>
        <w:instrText xml:space="preserve"> SEQ Figure \* ARABIC </w:instrText>
      </w:r>
      <w:r>
        <w:fldChar w:fldCharType="separate"/>
      </w:r>
      <w:r>
        <w:t>16</w:t>
      </w:r>
      <w:r>
        <w:fldChar w:fldCharType="end"/>
      </w:r>
      <w:r>
        <w:t>: Common wealth war graves</w:t>
      </w:r>
      <w:bookmarkEnd w:id="249"/>
      <w:r>
        <w:t xml:space="preserve"> </w:t>
      </w:r>
    </w:p>
    <w:p w14:paraId="26477BFD">
      <w:pPr>
        <w:ind w:left="709"/>
        <w:rPr>
          <w:lang w:eastAsia="ja-JP"/>
        </w:rPr>
      </w:pPr>
      <w:r>
        <w:drawing>
          <wp:inline distT="0" distB="0" distL="0" distR="0">
            <wp:extent cx="5133975" cy="3057525"/>
            <wp:effectExtent l="0" t="0" r="9525" b="9525"/>
            <wp:docPr id="13" name="Picture 13" descr="wajir muse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wajir museum"/>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133975" cy="3057525"/>
                    </a:xfrm>
                    <a:prstGeom prst="rect">
                      <a:avLst/>
                    </a:prstGeom>
                    <a:noFill/>
                    <a:ln>
                      <a:noFill/>
                    </a:ln>
                  </pic:spPr>
                </pic:pic>
              </a:graphicData>
            </a:graphic>
          </wp:inline>
        </w:drawing>
      </w:r>
    </w:p>
    <w:p w14:paraId="08645206">
      <w:pPr>
        <w:pStyle w:val="23"/>
        <w:sectPr>
          <w:headerReference r:id="rId25" w:type="default"/>
          <w:pgSz w:w="11906" w:h="16838"/>
          <w:pgMar w:top="1440" w:right="1440" w:bottom="1440" w:left="1440" w:header="708" w:footer="708" w:gutter="0"/>
          <w:cols w:space="708" w:num="1"/>
          <w:docGrid w:linePitch="360" w:charSpace="0"/>
        </w:sectPr>
      </w:pPr>
      <w:bookmarkStart w:id="250" w:name="_Toc179551702"/>
      <w:r>
        <w:t xml:space="preserve">Figure </w:t>
      </w:r>
      <w:r>
        <w:fldChar w:fldCharType="begin"/>
      </w:r>
      <w:r>
        <w:instrText xml:space="preserve"> SEQ Figure \* ARABIC </w:instrText>
      </w:r>
      <w:r>
        <w:fldChar w:fldCharType="separate"/>
      </w:r>
      <w:r>
        <w:t>17</w:t>
      </w:r>
      <w:r>
        <w:fldChar w:fldCharType="end"/>
      </w:r>
      <w:r>
        <w:t>: Wajir museum</w:t>
      </w:r>
      <w:bookmarkEnd w:id="250"/>
    </w:p>
    <w:p w14:paraId="60231AA1">
      <w:pPr>
        <w:pStyle w:val="2"/>
      </w:pPr>
      <w:bookmarkStart w:id="251" w:name="_Toc173301447"/>
      <w:bookmarkStart w:id="252" w:name="_Toc179904073"/>
      <w:bookmarkStart w:id="253" w:name="_Toc171493329"/>
      <w:bookmarkStart w:id="254" w:name="_Toc170723015"/>
      <w:bookmarkStart w:id="255" w:name="_Toc165561325"/>
      <w:bookmarkStart w:id="256" w:name="_Toc163820045"/>
      <w:r>
        <w:t>6.</w:t>
      </w:r>
      <w:r>
        <w:tab/>
      </w:r>
      <w:r>
        <w:t>POLICIES, LEGAL AND INSTITUTIONAL FRAMEWORKS</w:t>
      </w:r>
      <w:bookmarkEnd w:id="251"/>
      <w:bookmarkEnd w:id="252"/>
      <w:bookmarkEnd w:id="253"/>
    </w:p>
    <w:p w14:paraId="41069CF2">
      <w:pPr>
        <w:pStyle w:val="117"/>
      </w:pPr>
      <w:bookmarkStart w:id="257" w:name="_Toc171493330"/>
      <w:bookmarkStart w:id="258" w:name="_Toc163483534"/>
      <w:bookmarkStart w:id="259" w:name="_Toc173301448"/>
      <w:bookmarkStart w:id="260" w:name="_Toc163416649"/>
      <w:bookmarkStart w:id="261" w:name="_Toc179904074"/>
      <w:r>
        <w:t>6.1</w:t>
      </w:r>
      <w:r>
        <w:tab/>
      </w:r>
      <w:r>
        <w:t>National Laws and Regulations</w:t>
      </w:r>
      <w:bookmarkEnd w:id="257"/>
      <w:bookmarkEnd w:id="258"/>
      <w:bookmarkEnd w:id="259"/>
      <w:bookmarkEnd w:id="260"/>
      <w:bookmarkEnd w:id="261"/>
    </w:p>
    <w:p w14:paraId="35BFC8B4">
      <w:pPr>
        <w:pStyle w:val="23"/>
      </w:pPr>
      <w:bookmarkStart w:id="262" w:name="_Toc179556821"/>
      <w:bookmarkStart w:id="263" w:name="_Toc173252898"/>
      <w:bookmarkStart w:id="264" w:name="_Toc171493377"/>
      <w:bookmarkStart w:id="265" w:name="_Toc172277333"/>
      <w:bookmarkStart w:id="266" w:name="_Toc163468680"/>
      <w:r>
        <w:t xml:space="preserve">Table </w:t>
      </w:r>
      <w:r>
        <w:fldChar w:fldCharType="begin"/>
      </w:r>
      <w:r>
        <w:instrText xml:space="preserve"> SEQ Table \* ARABIC </w:instrText>
      </w:r>
      <w:r>
        <w:fldChar w:fldCharType="separate"/>
      </w:r>
      <w:r>
        <w:t>10</w:t>
      </w:r>
      <w:r>
        <w:fldChar w:fldCharType="end"/>
      </w:r>
      <w:r>
        <w:t>: Applicable National Laws and Regulations</w:t>
      </w:r>
      <w:bookmarkEnd w:id="262"/>
      <w:bookmarkEnd w:id="263"/>
      <w:bookmarkEnd w:id="264"/>
      <w:bookmarkEnd w:id="265"/>
      <w:bookmarkEnd w:id="266"/>
    </w:p>
    <w:tbl>
      <w:tblPr>
        <w:tblStyle w:val="86"/>
        <w:tblW w:w="8789" w:type="dxa"/>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268"/>
        <w:gridCol w:w="2977"/>
        <w:gridCol w:w="3544"/>
      </w:tblGrid>
      <w:tr w14:paraId="7FE8E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268" w:type="dxa"/>
            <w:shd w:val="clear" w:color="auto" w:fill="DBE5F1"/>
          </w:tcPr>
          <w:p w14:paraId="19838499">
            <w:pPr>
              <w:tabs>
                <w:tab w:val="left" w:pos="709"/>
              </w:tabs>
              <w:spacing w:after="240"/>
              <w:jc w:val="both"/>
              <w:rPr>
                <w:rFonts w:cstheme="minorHAnsi"/>
                <w:b/>
                <w:bCs/>
              </w:rPr>
            </w:pPr>
            <w:r>
              <w:rPr>
                <w:rFonts w:cstheme="minorHAnsi"/>
                <w:b/>
                <w:bCs/>
              </w:rPr>
              <w:t>Law/Regulation</w:t>
            </w:r>
          </w:p>
        </w:tc>
        <w:tc>
          <w:tcPr>
            <w:tcW w:w="2977" w:type="dxa"/>
            <w:shd w:val="clear" w:color="auto" w:fill="DBE5F1"/>
          </w:tcPr>
          <w:p w14:paraId="6582A7F0">
            <w:pPr>
              <w:tabs>
                <w:tab w:val="left" w:pos="709"/>
              </w:tabs>
              <w:spacing w:after="240"/>
              <w:jc w:val="both"/>
              <w:rPr>
                <w:rFonts w:cstheme="minorHAnsi"/>
                <w:b/>
                <w:bCs/>
              </w:rPr>
            </w:pPr>
            <w:r>
              <w:rPr>
                <w:rFonts w:cstheme="minorHAnsi"/>
                <w:b/>
                <w:bCs/>
              </w:rPr>
              <w:t>Objective</w:t>
            </w:r>
          </w:p>
        </w:tc>
        <w:tc>
          <w:tcPr>
            <w:tcW w:w="3544" w:type="dxa"/>
            <w:shd w:val="clear" w:color="auto" w:fill="DBE5F1"/>
          </w:tcPr>
          <w:p w14:paraId="60719187">
            <w:pPr>
              <w:tabs>
                <w:tab w:val="left" w:pos="709"/>
              </w:tabs>
              <w:spacing w:after="240"/>
              <w:jc w:val="both"/>
              <w:rPr>
                <w:rFonts w:cstheme="minorHAnsi"/>
                <w:b/>
                <w:bCs/>
              </w:rPr>
            </w:pPr>
            <w:r>
              <w:rPr>
                <w:rFonts w:cstheme="minorHAnsi"/>
                <w:b/>
                <w:bCs/>
              </w:rPr>
              <w:t xml:space="preserve">Application </w:t>
            </w:r>
          </w:p>
        </w:tc>
      </w:tr>
      <w:tr w14:paraId="3BE7ED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24A9CFFE">
            <w:pPr>
              <w:tabs>
                <w:tab w:val="left" w:pos="709"/>
              </w:tabs>
              <w:spacing w:after="240"/>
              <w:jc w:val="both"/>
              <w:rPr>
                <w:rFonts w:cstheme="minorHAnsi"/>
                <w:b/>
                <w:bCs/>
              </w:rPr>
            </w:pPr>
            <w:r>
              <w:rPr>
                <w:rFonts w:cstheme="minorHAnsi"/>
                <w:bCs/>
              </w:rPr>
              <w:t>The Environmental Management and Co-ordination Act, (EMCA) 1999 and amended in 2015 and subsequent Regulations.</w:t>
            </w:r>
          </w:p>
        </w:tc>
        <w:tc>
          <w:tcPr>
            <w:tcW w:w="2977" w:type="dxa"/>
          </w:tcPr>
          <w:p w14:paraId="219D09EF">
            <w:pPr>
              <w:tabs>
                <w:tab w:val="left" w:pos="709"/>
              </w:tabs>
              <w:spacing w:after="240"/>
              <w:jc w:val="both"/>
              <w:rPr>
                <w:rFonts w:cstheme="minorHAnsi"/>
                <w:bCs/>
              </w:rPr>
            </w:pPr>
            <w:r>
              <w:rPr>
                <w:rFonts w:cstheme="minorHAnsi"/>
                <w:bCs/>
              </w:rPr>
              <w:t>Supervision and coordination of all matters relating to the environment</w:t>
            </w:r>
          </w:p>
        </w:tc>
        <w:tc>
          <w:tcPr>
            <w:tcW w:w="3544" w:type="dxa"/>
          </w:tcPr>
          <w:p w14:paraId="2092D451">
            <w:pPr>
              <w:tabs>
                <w:tab w:val="left" w:pos="709"/>
              </w:tabs>
              <w:spacing w:after="240"/>
              <w:jc w:val="both"/>
              <w:rPr>
                <w:rFonts w:cstheme="minorHAnsi"/>
                <w:bCs/>
              </w:rPr>
            </w:pPr>
            <w:r>
              <w:rPr>
                <w:rFonts w:cstheme="minorHAnsi"/>
                <w:bCs/>
              </w:rPr>
              <w:t>Guidelines for mitigating adverse environmental impacts</w:t>
            </w:r>
          </w:p>
        </w:tc>
      </w:tr>
      <w:tr w14:paraId="43234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4B944142">
            <w:pPr>
              <w:tabs>
                <w:tab w:val="left" w:pos="709"/>
              </w:tabs>
              <w:spacing w:after="240"/>
              <w:jc w:val="both"/>
              <w:rPr>
                <w:rFonts w:cstheme="minorHAnsi"/>
                <w:b/>
                <w:bCs/>
              </w:rPr>
            </w:pPr>
            <w:r>
              <w:rPr>
                <w:rFonts w:cstheme="minorHAnsi"/>
                <w:bCs/>
              </w:rPr>
              <w:t>Occupational Health and Safety Act 2007 CAP 514</w:t>
            </w:r>
          </w:p>
        </w:tc>
        <w:tc>
          <w:tcPr>
            <w:tcW w:w="2977" w:type="dxa"/>
          </w:tcPr>
          <w:p w14:paraId="11985FEA">
            <w:pPr>
              <w:tabs>
                <w:tab w:val="left" w:pos="709"/>
              </w:tabs>
              <w:spacing w:after="240"/>
              <w:jc w:val="both"/>
              <w:rPr>
                <w:rFonts w:cstheme="minorHAnsi"/>
                <w:bCs/>
              </w:rPr>
            </w:pPr>
            <w:r>
              <w:rPr>
                <w:rFonts w:cstheme="minorHAnsi"/>
                <w:bCs/>
              </w:rPr>
              <w:t>Makes provision for the health, safety and welfare of persons employed</w:t>
            </w:r>
          </w:p>
        </w:tc>
        <w:tc>
          <w:tcPr>
            <w:tcW w:w="3544" w:type="dxa"/>
          </w:tcPr>
          <w:p w14:paraId="1DA44CCE">
            <w:pPr>
              <w:tabs>
                <w:tab w:val="left" w:pos="709"/>
              </w:tabs>
              <w:spacing w:after="240"/>
              <w:jc w:val="both"/>
              <w:rPr>
                <w:rFonts w:cstheme="minorHAnsi"/>
                <w:bCs/>
              </w:rPr>
            </w:pPr>
            <w:r>
              <w:rPr>
                <w:rFonts w:cstheme="minorHAnsi"/>
                <w:bCs/>
              </w:rPr>
              <w:t>The contractor will have to follow this law as he is expected to have employees during the project period.</w:t>
            </w:r>
          </w:p>
        </w:tc>
      </w:tr>
      <w:tr w14:paraId="1995C1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3BA29779">
            <w:pPr>
              <w:tabs>
                <w:tab w:val="left" w:pos="709"/>
              </w:tabs>
              <w:spacing w:after="240"/>
              <w:jc w:val="both"/>
              <w:rPr>
                <w:rFonts w:cstheme="minorHAnsi"/>
                <w:b/>
                <w:bCs/>
              </w:rPr>
            </w:pPr>
            <w:r>
              <w:rPr>
                <w:rFonts w:cstheme="minorHAnsi"/>
                <w:bCs/>
              </w:rPr>
              <w:t>The Public Health Act 1986 revised 2012 (Cap 242)</w:t>
            </w:r>
          </w:p>
        </w:tc>
        <w:tc>
          <w:tcPr>
            <w:tcW w:w="2977" w:type="dxa"/>
          </w:tcPr>
          <w:p w14:paraId="6799BF6B">
            <w:pPr>
              <w:tabs>
                <w:tab w:val="left" w:pos="709"/>
              </w:tabs>
              <w:spacing w:after="240"/>
              <w:jc w:val="both"/>
              <w:rPr>
                <w:rFonts w:cstheme="minorHAnsi"/>
                <w:bCs/>
              </w:rPr>
            </w:pPr>
            <w:r>
              <w:rPr>
                <w:rFonts w:cstheme="minorHAnsi"/>
                <w:bCs/>
              </w:rPr>
              <w:t>Principle instrument for ensuring the health and safety of the people.</w:t>
            </w:r>
          </w:p>
        </w:tc>
        <w:tc>
          <w:tcPr>
            <w:tcW w:w="3544" w:type="dxa"/>
          </w:tcPr>
          <w:p w14:paraId="10514A22">
            <w:pPr>
              <w:tabs>
                <w:tab w:val="left" w:pos="709"/>
              </w:tabs>
              <w:spacing w:after="240"/>
              <w:jc w:val="both"/>
              <w:rPr>
                <w:rFonts w:cstheme="minorHAnsi"/>
                <w:bCs/>
              </w:rPr>
            </w:pPr>
            <w:r>
              <w:rPr>
                <w:rFonts w:cstheme="minorHAnsi"/>
                <w:bCs/>
              </w:rPr>
              <w:t>Measures need to be placed to ensure the health and safety of the community during the project period.</w:t>
            </w:r>
          </w:p>
        </w:tc>
      </w:tr>
      <w:tr w14:paraId="6F1091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21200E53">
            <w:pPr>
              <w:tabs>
                <w:tab w:val="left" w:pos="709"/>
              </w:tabs>
              <w:spacing w:after="240"/>
              <w:jc w:val="both"/>
              <w:rPr>
                <w:rFonts w:cstheme="minorHAnsi"/>
                <w:b/>
                <w:bCs/>
              </w:rPr>
            </w:pPr>
            <w:r>
              <w:rPr>
                <w:rFonts w:cstheme="minorHAnsi"/>
                <w:bCs/>
              </w:rPr>
              <w:t>The Physical and Land Use Planning Act, (PLUPA) 2019</w:t>
            </w:r>
          </w:p>
        </w:tc>
        <w:tc>
          <w:tcPr>
            <w:tcW w:w="2977" w:type="dxa"/>
          </w:tcPr>
          <w:p w14:paraId="65D2441E">
            <w:pPr>
              <w:tabs>
                <w:tab w:val="left" w:pos="709"/>
              </w:tabs>
              <w:spacing w:after="240"/>
              <w:jc w:val="both"/>
              <w:rPr>
                <w:rFonts w:cstheme="minorHAnsi"/>
                <w:bCs/>
              </w:rPr>
            </w:pPr>
            <w:r>
              <w:rPr>
                <w:rFonts w:cstheme="minorHAnsi"/>
                <w:bCs/>
              </w:rPr>
              <w:t>Provides for the preparation and implementation of physical and land use development plans</w:t>
            </w:r>
          </w:p>
        </w:tc>
        <w:tc>
          <w:tcPr>
            <w:tcW w:w="3544" w:type="dxa"/>
          </w:tcPr>
          <w:p w14:paraId="4E8C150E">
            <w:pPr>
              <w:tabs>
                <w:tab w:val="left" w:pos="709"/>
              </w:tabs>
              <w:spacing w:after="240"/>
              <w:jc w:val="both"/>
              <w:rPr>
                <w:rFonts w:cstheme="minorHAnsi"/>
                <w:bCs/>
              </w:rPr>
            </w:pPr>
            <w:r>
              <w:rPr>
                <w:rFonts w:cstheme="minorHAnsi"/>
                <w:bCs/>
              </w:rPr>
              <w:t>The legislation provides mechanisms for spatial planning and land use management and addresses the management land resources.</w:t>
            </w:r>
          </w:p>
        </w:tc>
      </w:tr>
      <w:tr w14:paraId="782B8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69BD0021">
            <w:pPr>
              <w:tabs>
                <w:tab w:val="left" w:pos="709"/>
              </w:tabs>
              <w:spacing w:after="240"/>
              <w:jc w:val="both"/>
              <w:rPr>
                <w:rFonts w:cstheme="minorHAnsi"/>
                <w:b/>
                <w:bCs/>
              </w:rPr>
            </w:pPr>
            <w:r>
              <w:rPr>
                <w:rFonts w:cstheme="minorHAnsi"/>
                <w:bCs/>
              </w:rPr>
              <w:t>National Construction Authority Act No. 41 of 2011</w:t>
            </w:r>
          </w:p>
        </w:tc>
        <w:tc>
          <w:tcPr>
            <w:tcW w:w="2977" w:type="dxa"/>
          </w:tcPr>
          <w:p w14:paraId="12BAE9CD">
            <w:pPr>
              <w:tabs>
                <w:tab w:val="left" w:pos="709"/>
              </w:tabs>
              <w:spacing w:after="240"/>
              <w:jc w:val="both"/>
              <w:rPr>
                <w:rFonts w:cstheme="minorHAnsi"/>
                <w:bCs/>
              </w:rPr>
            </w:pPr>
            <w:r>
              <w:rPr>
                <w:rFonts w:cstheme="minorHAnsi"/>
                <w:bCs/>
              </w:rPr>
              <w:t>Encourages the standardization and improvement of construction techniques</w:t>
            </w:r>
          </w:p>
        </w:tc>
        <w:tc>
          <w:tcPr>
            <w:tcW w:w="3544" w:type="dxa"/>
          </w:tcPr>
          <w:p w14:paraId="27A821F5">
            <w:pPr>
              <w:tabs>
                <w:tab w:val="left" w:pos="709"/>
              </w:tabs>
              <w:spacing w:after="240"/>
              <w:jc w:val="both"/>
              <w:rPr>
                <w:rFonts w:cstheme="minorHAnsi"/>
                <w:bCs/>
              </w:rPr>
            </w:pPr>
            <w:r>
              <w:rPr>
                <w:rFonts w:cstheme="minorHAnsi"/>
                <w:bCs/>
              </w:rPr>
              <w:t>The project involves construction activities</w:t>
            </w:r>
          </w:p>
        </w:tc>
      </w:tr>
      <w:tr w14:paraId="6B3D6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3A0A27D9">
            <w:pPr>
              <w:tabs>
                <w:tab w:val="left" w:pos="709"/>
              </w:tabs>
              <w:spacing w:after="240"/>
              <w:jc w:val="both"/>
              <w:rPr>
                <w:rFonts w:cstheme="minorHAnsi"/>
                <w:bCs/>
              </w:rPr>
            </w:pPr>
            <w:r>
              <w:rPr>
                <w:rFonts w:cstheme="minorHAnsi"/>
                <w:bCs/>
              </w:rPr>
              <w:t>Sustainable Waste Management Act 2021</w:t>
            </w:r>
          </w:p>
        </w:tc>
        <w:tc>
          <w:tcPr>
            <w:tcW w:w="2977" w:type="dxa"/>
          </w:tcPr>
          <w:p w14:paraId="32A78660">
            <w:pPr>
              <w:tabs>
                <w:tab w:val="left" w:pos="709"/>
              </w:tabs>
              <w:spacing w:after="240"/>
              <w:jc w:val="both"/>
              <w:rPr>
                <w:rFonts w:cstheme="minorHAnsi"/>
                <w:bCs/>
              </w:rPr>
            </w:pPr>
            <w:r>
              <w:rPr>
                <w:rFonts w:cstheme="minorHAnsi"/>
                <w:bCs/>
              </w:rPr>
              <w:t>Provide guidelines on solid waste management on project cycle</w:t>
            </w:r>
          </w:p>
        </w:tc>
        <w:tc>
          <w:tcPr>
            <w:tcW w:w="3544" w:type="dxa"/>
          </w:tcPr>
          <w:p w14:paraId="5FDAE2D8">
            <w:pPr>
              <w:tabs>
                <w:tab w:val="left" w:pos="709"/>
              </w:tabs>
              <w:spacing w:after="240"/>
              <w:jc w:val="both"/>
              <w:rPr>
                <w:rFonts w:cstheme="minorHAnsi"/>
                <w:bCs/>
              </w:rPr>
            </w:pPr>
            <w:r>
              <w:rPr>
                <w:rFonts w:cstheme="minorHAnsi"/>
                <w:bCs/>
              </w:rPr>
              <w:t>Mitigate potential  solid waste productions during construction stages and the entire proposal on waste management systems</w:t>
            </w:r>
          </w:p>
        </w:tc>
      </w:tr>
      <w:tr w14:paraId="2CD633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2EA7830A">
            <w:pPr>
              <w:tabs>
                <w:tab w:val="left" w:pos="709"/>
              </w:tabs>
              <w:spacing w:after="240"/>
              <w:jc w:val="both"/>
              <w:rPr>
                <w:rFonts w:cstheme="minorHAnsi"/>
                <w:bCs/>
              </w:rPr>
            </w:pPr>
            <w:r>
              <w:rPr>
                <w:rFonts w:cstheme="minorHAnsi"/>
              </w:rPr>
              <w:t>Children Act (2001) and revised 2016</w:t>
            </w:r>
          </w:p>
        </w:tc>
        <w:tc>
          <w:tcPr>
            <w:tcW w:w="2977" w:type="dxa"/>
          </w:tcPr>
          <w:p w14:paraId="6B5AE3E2">
            <w:pPr>
              <w:tabs>
                <w:tab w:val="left" w:pos="709"/>
              </w:tabs>
              <w:spacing w:after="240"/>
              <w:jc w:val="both"/>
              <w:rPr>
                <w:rFonts w:cstheme="minorHAnsi"/>
                <w:bCs/>
              </w:rPr>
            </w:pPr>
            <w:r>
              <w:rPr>
                <w:rFonts w:cstheme="minorHAnsi"/>
              </w:rPr>
              <w:t>Children are being protected from child labour and all forms of violence</w:t>
            </w:r>
          </w:p>
        </w:tc>
        <w:tc>
          <w:tcPr>
            <w:tcW w:w="3544" w:type="dxa"/>
          </w:tcPr>
          <w:p w14:paraId="18E5395C">
            <w:pPr>
              <w:tabs>
                <w:tab w:val="left" w:pos="709"/>
              </w:tabs>
              <w:spacing w:after="240"/>
              <w:jc w:val="both"/>
              <w:rPr>
                <w:rFonts w:cstheme="minorHAnsi"/>
                <w:bCs/>
              </w:rPr>
            </w:pPr>
            <w:r>
              <w:rPr>
                <w:rFonts w:cstheme="minorHAnsi"/>
                <w:bCs/>
              </w:rPr>
              <w:t>Construction camps are likely to interact with children it is mandatory the follow the law to avoid child exploitation. This act also prevents sexual exploitation and child labour.</w:t>
            </w:r>
          </w:p>
        </w:tc>
      </w:tr>
      <w:tr w14:paraId="2D976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307E93A4">
            <w:pPr>
              <w:tabs>
                <w:tab w:val="left" w:pos="709"/>
              </w:tabs>
              <w:spacing w:after="240"/>
              <w:jc w:val="both"/>
              <w:rPr>
                <w:rFonts w:cstheme="minorHAnsi"/>
              </w:rPr>
            </w:pPr>
            <w:r>
              <w:rPr>
                <w:rFonts w:cstheme="minorHAnsi"/>
              </w:rPr>
              <w:t>County Government Act (2012)</w:t>
            </w:r>
          </w:p>
        </w:tc>
        <w:tc>
          <w:tcPr>
            <w:tcW w:w="2977" w:type="dxa"/>
          </w:tcPr>
          <w:p w14:paraId="35BB067D">
            <w:pPr>
              <w:tabs>
                <w:tab w:val="left" w:pos="709"/>
              </w:tabs>
              <w:spacing w:after="240"/>
              <w:jc w:val="both"/>
              <w:rPr>
                <w:rFonts w:cstheme="minorHAnsi"/>
              </w:rPr>
            </w:pPr>
            <w:r>
              <w:rPr>
                <w:rFonts w:cstheme="minorHAnsi"/>
              </w:rPr>
              <w:t>Outlines the framework for the establishment, functions, and operations of county governments in Kenya.</w:t>
            </w:r>
          </w:p>
          <w:p w14:paraId="02F2CE47">
            <w:pPr>
              <w:tabs>
                <w:tab w:val="left" w:pos="709"/>
              </w:tabs>
              <w:spacing w:after="240"/>
              <w:jc w:val="both"/>
              <w:rPr>
                <w:rFonts w:cstheme="minorHAnsi"/>
              </w:rPr>
            </w:pPr>
            <w:r>
              <w:rPr>
                <w:rFonts w:cstheme="minorHAnsi"/>
              </w:rPr>
              <w:t>It also aims to empower citizens by ensuring inclusive public participation in governance, enhancing transparency and accountability.</w:t>
            </w:r>
          </w:p>
        </w:tc>
        <w:tc>
          <w:tcPr>
            <w:tcW w:w="3544" w:type="dxa"/>
          </w:tcPr>
          <w:p w14:paraId="0AEC5E68">
            <w:pPr>
              <w:tabs>
                <w:tab w:val="left" w:pos="709"/>
              </w:tabs>
              <w:spacing w:after="240"/>
              <w:jc w:val="both"/>
              <w:rPr>
                <w:rFonts w:cstheme="minorHAnsi"/>
              </w:rPr>
            </w:pPr>
            <w:r>
              <w:rPr>
                <w:rFonts w:cstheme="minorHAnsi"/>
              </w:rPr>
              <w:t>Promotes decentralization, enhancing local governance, and fostering sustainable development in Kenya by empowering county governments to effectively manage resources and deliver services to their constituents.</w:t>
            </w:r>
          </w:p>
          <w:p w14:paraId="37E02926">
            <w:pPr>
              <w:tabs>
                <w:tab w:val="left" w:pos="709"/>
              </w:tabs>
              <w:spacing w:after="240"/>
              <w:jc w:val="both"/>
              <w:rPr>
                <w:rFonts w:cstheme="minorHAnsi"/>
                <w:bCs/>
              </w:rPr>
            </w:pPr>
            <w:r>
              <w:rPr>
                <w:rFonts w:cstheme="minorHAnsi"/>
                <w:bCs/>
              </w:rPr>
              <w:t>In the Wajir FSTP project, these provisions can be applied by engaging local communities in planning and decision-making, sharing information, and establishing feedback mechanisms to incorporate their input and concerns.</w:t>
            </w:r>
          </w:p>
        </w:tc>
      </w:tr>
      <w:tr w14:paraId="699658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249E6011">
            <w:pPr>
              <w:tabs>
                <w:tab w:val="left" w:pos="709"/>
              </w:tabs>
              <w:spacing w:after="240"/>
              <w:jc w:val="both"/>
              <w:rPr>
                <w:rFonts w:cstheme="minorHAnsi"/>
              </w:rPr>
            </w:pPr>
            <w:bookmarkStart w:id="267" w:name="_Toc121232368"/>
            <w:r>
              <w:rPr>
                <w:rFonts w:cstheme="minorHAnsi"/>
              </w:rPr>
              <w:t>Work Injury Benefits Act, 2007</w:t>
            </w:r>
            <w:bookmarkEnd w:id="267"/>
          </w:p>
        </w:tc>
        <w:tc>
          <w:tcPr>
            <w:tcW w:w="2977" w:type="dxa"/>
          </w:tcPr>
          <w:p w14:paraId="6AD84317">
            <w:pPr>
              <w:tabs>
                <w:tab w:val="left" w:pos="709"/>
              </w:tabs>
              <w:spacing w:after="240"/>
              <w:jc w:val="both"/>
              <w:rPr>
                <w:rFonts w:cstheme="minorHAnsi"/>
              </w:rPr>
            </w:pPr>
            <w:r>
              <w:rPr>
                <w:rStyle w:val="135"/>
                <w:rFonts w:cstheme="minorHAnsi"/>
              </w:rPr>
              <w:t>Provides for compensation to employees for work related injuries and diseases contracted in the course of their employment and for connected purposes.</w:t>
            </w:r>
          </w:p>
        </w:tc>
        <w:tc>
          <w:tcPr>
            <w:tcW w:w="3544" w:type="dxa"/>
          </w:tcPr>
          <w:p w14:paraId="0592BE2C">
            <w:pPr>
              <w:tabs>
                <w:tab w:val="left" w:pos="709"/>
              </w:tabs>
              <w:spacing w:after="240"/>
              <w:jc w:val="both"/>
              <w:rPr>
                <w:rFonts w:cstheme="minorHAnsi"/>
                <w:bCs/>
              </w:rPr>
            </w:pPr>
            <w:r>
              <w:rPr>
                <w:rFonts w:cstheme="minorHAnsi"/>
                <w:bCs/>
              </w:rPr>
              <w:t xml:space="preserve">During construction works cases like injuries and diseases may occur on site, this law is meant to protect all employees.  </w:t>
            </w:r>
          </w:p>
        </w:tc>
      </w:tr>
      <w:tr w14:paraId="2A60AF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47C861A4">
            <w:pPr>
              <w:tabs>
                <w:tab w:val="left" w:pos="709"/>
              </w:tabs>
              <w:spacing w:after="240"/>
              <w:jc w:val="both"/>
              <w:rPr>
                <w:rFonts w:cstheme="minorHAnsi"/>
              </w:rPr>
            </w:pPr>
            <w:r>
              <w:rPr>
                <w:rFonts w:cstheme="minorHAnsi"/>
              </w:rPr>
              <w:t>Water Act (2016)</w:t>
            </w:r>
          </w:p>
        </w:tc>
        <w:tc>
          <w:tcPr>
            <w:tcW w:w="2977" w:type="dxa"/>
          </w:tcPr>
          <w:p w14:paraId="6D56AE76">
            <w:pPr>
              <w:tabs>
                <w:tab w:val="left" w:pos="709"/>
              </w:tabs>
              <w:spacing w:after="240"/>
              <w:jc w:val="both"/>
              <w:rPr>
                <w:rFonts w:cstheme="minorHAnsi"/>
              </w:rPr>
            </w:pPr>
            <w:r>
              <w:rPr>
                <w:rFonts w:cstheme="minorHAnsi"/>
              </w:rPr>
              <w:t>The Act states that every person in Kenya has the right to clean and safe water in adequate quantities and to reasonable standards of sanitation</w:t>
            </w:r>
          </w:p>
        </w:tc>
        <w:tc>
          <w:tcPr>
            <w:tcW w:w="3544" w:type="dxa"/>
          </w:tcPr>
          <w:p w14:paraId="316FD590">
            <w:pPr>
              <w:tabs>
                <w:tab w:val="left" w:pos="709"/>
              </w:tabs>
              <w:spacing w:after="240"/>
              <w:jc w:val="both"/>
              <w:rPr>
                <w:rFonts w:cstheme="minorHAnsi"/>
                <w:bCs/>
              </w:rPr>
            </w:pPr>
            <w:r>
              <w:rPr>
                <w:rFonts w:cs="Arial"/>
                <w:shd w:val="clear" w:color="auto" w:fill="FFFFFF"/>
              </w:rPr>
              <w:t>The Act </w:t>
            </w:r>
            <w:r>
              <w:rPr>
                <w:rFonts w:cs="Arial"/>
              </w:rPr>
              <w:t>defines ownership of and rights in water resources of Kenya</w:t>
            </w:r>
            <w:r>
              <w:rPr>
                <w:rFonts w:cs="Arial"/>
                <w:color w:val="202124"/>
                <w:shd w:val="clear" w:color="auto" w:fill="FFFFFF"/>
              </w:rPr>
              <w:t>.</w:t>
            </w:r>
          </w:p>
        </w:tc>
      </w:tr>
      <w:tr w14:paraId="07B825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5A4C12A3">
            <w:pPr>
              <w:tabs>
                <w:tab w:val="left" w:pos="709"/>
              </w:tabs>
              <w:spacing w:after="240"/>
              <w:jc w:val="both"/>
              <w:rPr>
                <w:rFonts w:cstheme="minorHAnsi"/>
              </w:rPr>
            </w:pPr>
            <w:r>
              <w:rPr>
                <w:rFonts w:cstheme="minorHAnsi"/>
              </w:rPr>
              <w:t>Sexual Offences Act (2006)</w:t>
            </w:r>
          </w:p>
        </w:tc>
        <w:tc>
          <w:tcPr>
            <w:tcW w:w="2977" w:type="dxa"/>
          </w:tcPr>
          <w:p w14:paraId="13420927">
            <w:pPr>
              <w:tabs>
                <w:tab w:val="left" w:pos="709"/>
              </w:tabs>
              <w:spacing w:after="240"/>
              <w:jc w:val="both"/>
              <w:rPr>
                <w:rFonts w:cstheme="minorHAnsi"/>
              </w:rPr>
            </w:pPr>
            <w:r>
              <w:rPr>
                <w:rFonts w:cstheme="minorHAnsi"/>
              </w:rPr>
              <w:t>Protection of all persons from harm from unlawful sexual acts, and for connected purposes.</w:t>
            </w:r>
          </w:p>
          <w:p w14:paraId="3373EAFB">
            <w:pPr>
              <w:tabs>
                <w:tab w:val="left" w:pos="709"/>
              </w:tabs>
              <w:spacing w:after="240"/>
              <w:jc w:val="both"/>
              <w:rPr>
                <w:rFonts w:cstheme="minorHAnsi"/>
              </w:rPr>
            </w:pPr>
            <w:r>
              <w:rPr>
                <w:rFonts w:cstheme="minorHAnsi"/>
              </w:rPr>
              <w:t>The Act aims to protect individuals from sexual abuse and violence, providing mechanisms for addressing, preventing, and mitigating sexual offenses.</w:t>
            </w:r>
          </w:p>
        </w:tc>
        <w:tc>
          <w:tcPr>
            <w:tcW w:w="3544" w:type="dxa"/>
          </w:tcPr>
          <w:p w14:paraId="526B0547">
            <w:pPr>
              <w:tabs>
                <w:tab w:val="left" w:pos="709"/>
              </w:tabs>
              <w:spacing w:after="240"/>
              <w:jc w:val="both"/>
              <w:rPr>
                <w:rFonts w:cstheme="minorHAnsi"/>
                <w:bCs/>
              </w:rPr>
            </w:pPr>
            <w:r>
              <w:rPr>
                <w:rFonts w:cstheme="minorHAnsi"/>
                <w:bCs/>
              </w:rPr>
              <w:t>Sexual vices are expected to impact the society and as such a law will regulate such Incidences from occurring</w:t>
            </w:r>
          </w:p>
          <w:p w14:paraId="010A6B04">
            <w:pPr>
              <w:tabs>
                <w:tab w:val="left" w:pos="709"/>
              </w:tabs>
              <w:spacing w:after="240"/>
              <w:jc w:val="both"/>
              <w:rPr>
                <w:rFonts w:cstheme="minorHAnsi"/>
                <w:bCs/>
              </w:rPr>
            </w:pPr>
            <w:r>
              <w:rPr>
                <w:rFonts w:cstheme="minorHAnsi"/>
                <w:bCs/>
              </w:rPr>
              <w:t>By implementing these mechanisms under the Sexual Offences Act (2006), the Wajir Faecal Sludge Treatment Plant (WFSTP) can minimize the risks of sexual offenses and ensure the safety and protection of both the project workforce and the surrounding community. Active enforcement, awareness, and support services are key to creating a safe working and living environment during the project's lifecycle.</w:t>
            </w:r>
          </w:p>
        </w:tc>
      </w:tr>
      <w:tr w14:paraId="196430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42" w:hRule="atLeast"/>
        </w:trPr>
        <w:tc>
          <w:tcPr>
            <w:tcW w:w="2268" w:type="dxa"/>
          </w:tcPr>
          <w:p w14:paraId="13627612">
            <w:pPr>
              <w:tabs>
                <w:tab w:val="left" w:pos="709"/>
              </w:tabs>
              <w:spacing w:after="240"/>
              <w:jc w:val="both"/>
              <w:rPr>
                <w:rFonts w:cstheme="minorHAnsi"/>
              </w:rPr>
            </w:pPr>
            <w:r>
              <w:rPr>
                <w:rFonts w:cstheme="minorHAnsi"/>
              </w:rPr>
              <w:t>Climate Act (2016) Revised 2023.</w:t>
            </w:r>
          </w:p>
        </w:tc>
        <w:tc>
          <w:tcPr>
            <w:tcW w:w="2977" w:type="dxa"/>
          </w:tcPr>
          <w:p w14:paraId="435851A7">
            <w:pPr>
              <w:tabs>
                <w:tab w:val="left" w:pos="709"/>
              </w:tabs>
              <w:spacing w:after="240"/>
              <w:jc w:val="both"/>
              <w:rPr>
                <w:rFonts w:cstheme="minorHAnsi"/>
              </w:rPr>
            </w:pPr>
            <w:r>
              <w:rPr>
                <w:rFonts w:cstheme="minorHAnsi"/>
              </w:rPr>
              <w:t>It includes more ambitious greenhouse gas reduction targets, enhanced climate adaptation strategies, and new areas of focus like renewable energy and carbon capture.</w:t>
            </w:r>
          </w:p>
        </w:tc>
        <w:tc>
          <w:tcPr>
            <w:tcW w:w="3544" w:type="dxa"/>
          </w:tcPr>
          <w:p w14:paraId="2E414797">
            <w:pPr>
              <w:tabs>
                <w:tab w:val="left" w:pos="709"/>
              </w:tabs>
              <w:spacing w:after="240"/>
              <w:jc w:val="both"/>
              <w:rPr>
                <w:rFonts w:cstheme="minorHAnsi"/>
                <w:bCs/>
              </w:rPr>
            </w:pPr>
            <w:r>
              <w:rPr>
                <w:rFonts w:cstheme="minorHAnsi"/>
              </w:rPr>
              <w:t>It encourages public and private sector collaboration, public awareness, and aligns national efforts with international climate goals. The aim is to accelerate progress toward mitigating climate change and ensuring sustainability.</w:t>
            </w:r>
          </w:p>
        </w:tc>
      </w:tr>
      <w:tr w14:paraId="5CB86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6A6381C2">
            <w:pPr>
              <w:tabs>
                <w:tab w:val="left" w:pos="709"/>
              </w:tabs>
              <w:spacing w:after="240"/>
              <w:jc w:val="both"/>
              <w:rPr>
                <w:rFonts w:cstheme="minorHAnsi"/>
              </w:rPr>
            </w:pPr>
            <w:r>
              <w:rPr>
                <w:rFonts w:cstheme="minorHAnsi"/>
              </w:rPr>
              <w:t>Urban Areas and Cities Act(2011)</w:t>
            </w:r>
          </w:p>
        </w:tc>
        <w:tc>
          <w:tcPr>
            <w:tcW w:w="2977" w:type="dxa"/>
          </w:tcPr>
          <w:p w14:paraId="0675E904">
            <w:pPr>
              <w:tabs>
                <w:tab w:val="left" w:pos="709"/>
              </w:tabs>
              <w:spacing w:after="240"/>
              <w:jc w:val="both"/>
              <w:rPr>
                <w:rFonts w:cstheme="minorHAnsi"/>
              </w:rPr>
            </w:pPr>
            <w:r>
              <w:rPr>
                <w:rFonts w:cstheme="minorHAnsi"/>
              </w:rPr>
              <w:t xml:space="preserve">Promote efficient governance, sustainable development, and inclusive participation in urban areas. </w:t>
            </w:r>
          </w:p>
        </w:tc>
        <w:tc>
          <w:tcPr>
            <w:tcW w:w="3544" w:type="dxa"/>
          </w:tcPr>
          <w:p w14:paraId="7478E364">
            <w:pPr>
              <w:tabs>
                <w:tab w:val="left" w:pos="709"/>
              </w:tabs>
              <w:spacing w:after="240"/>
              <w:jc w:val="both"/>
              <w:rPr>
                <w:rFonts w:cstheme="minorHAnsi"/>
                <w:bCs/>
              </w:rPr>
            </w:pPr>
            <w:r>
              <w:rPr>
                <w:rFonts w:cstheme="minorHAnsi"/>
                <w:bCs/>
              </w:rPr>
              <w:t xml:space="preserve">The Act </w:t>
            </w:r>
            <w:r>
              <w:rPr>
                <w:rFonts w:cstheme="minorHAnsi"/>
              </w:rPr>
              <w:t>focuses on economic development, infrastructure investment, environmental management, and enforcement of regulations.</w:t>
            </w:r>
          </w:p>
        </w:tc>
      </w:tr>
      <w:tr w14:paraId="2C317B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268" w:type="dxa"/>
          </w:tcPr>
          <w:p w14:paraId="7C52A021">
            <w:pPr>
              <w:tabs>
                <w:tab w:val="left" w:pos="709"/>
              </w:tabs>
              <w:spacing w:after="240"/>
              <w:jc w:val="both"/>
              <w:rPr>
                <w:rFonts w:cstheme="minorHAnsi"/>
              </w:rPr>
            </w:pPr>
            <w:r>
              <w:rPr>
                <w:rFonts w:cstheme="minorHAnsi"/>
              </w:rPr>
              <w:t>EMCA regulations on ( Noise, Waste management, Air Pollution, Excessive Vibrations and Noise, Water Quality Regulations, Extended Producer Responsibility Regulations</w:t>
            </w:r>
          </w:p>
        </w:tc>
        <w:tc>
          <w:tcPr>
            <w:tcW w:w="2977" w:type="dxa"/>
          </w:tcPr>
          <w:p w14:paraId="08D5FB1E">
            <w:pPr>
              <w:tabs>
                <w:tab w:val="left" w:pos="709"/>
              </w:tabs>
              <w:spacing w:after="240"/>
              <w:jc w:val="both"/>
              <w:rPr>
                <w:rFonts w:cstheme="minorHAnsi"/>
              </w:rPr>
            </w:pPr>
            <w:r>
              <w:rPr>
                <w:rFonts w:cstheme="minorHAnsi"/>
              </w:rPr>
              <w:t>The Act provides a framework for regulating various environmental concerns through specific regulations.</w:t>
            </w:r>
          </w:p>
        </w:tc>
        <w:tc>
          <w:tcPr>
            <w:tcW w:w="3544" w:type="dxa"/>
          </w:tcPr>
          <w:p w14:paraId="140F5B62">
            <w:pPr>
              <w:tabs>
                <w:tab w:val="left" w:pos="709"/>
              </w:tabs>
              <w:spacing w:after="240"/>
              <w:jc w:val="both"/>
              <w:rPr>
                <w:rFonts w:cstheme="minorHAnsi"/>
                <w:bCs/>
              </w:rPr>
            </w:pPr>
            <w:r>
              <w:rPr>
                <w:rFonts w:cstheme="minorHAnsi"/>
                <w:bCs/>
              </w:rPr>
              <w:t xml:space="preserve">The Act has </w:t>
            </w:r>
            <w:r>
              <w:rPr>
                <w:rFonts w:cstheme="minorHAnsi"/>
              </w:rPr>
              <w:t>specific procedures and practices aimed at addressing environmental concerns effectively</w:t>
            </w:r>
          </w:p>
        </w:tc>
      </w:tr>
    </w:tbl>
    <w:p w14:paraId="3E71A708">
      <w:pPr>
        <w:pStyle w:val="117"/>
      </w:pPr>
      <w:bookmarkStart w:id="268" w:name="_Toc171493331"/>
      <w:bookmarkStart w:id="269" w:name="_Toc163483535"/>
      <w:bookmarkStart w:id="270" w:name="_Toc163416650"/>
      <w:bookmarkStart w:id="271" w:name="_Toc173301449"/>
      <w:bookmarkStart w:id="272" w:name="_Toc179904075"/>
      <w:r>
        <w:t xml:space="preserve">6.2 </w:t>
      </w:r>
      <w:r>
        <w:tab/>
      </w:r>
      <w:r>
        <w:t>County Laws and Regulation</w:t>
      </w:r>
      <w:bookmarkEnd w:id="268"/>
      <w:bookmarkEnd w:id="269"/>
      <w:bookmarkEnd w:id="270"/>
      <w:bookmarkEnd w:id="271"/>
      <w:bookmarkEnd w:id="272"/>
    </w:p>
    <w:p w14:paraId="2921BE4E">
      <w:pPr>
        <w:pStyle w:val="23"/>
      </w:pPr>
      <w:bookmarkStart w:id="273" w:name="_Toc179556822"/>
      <w:bookmarkStart w:id="274" w:name="_Toc163468681"/>
      <w:bookmarkStart w:id="275" w:name="_Toc171493378"/>
      <w:bookmarkStart w:id="276" w:name="_Toc173252899"/>
      <w:bookmarkStart w:id="277" w:name="_Toc172277334"/>
      <w:r>
        <w:t xml:space="preserve">Table </w:t>
      </w:r>
      <w:r>
        <w:fldChar w:fldCharType="begin"/>
      </w:r>
      <w:r>
        <w:instrText xml:space="preserve"> SEQ Table \* ARABIC </w:instrText>
      </w:r>
      <w:r>
        <w:fldChar w:fldCharType="separate"/>
      </w:r>
      <w:r>
        <w:t>11</w:t>
      </w:r>
      <w:r>
        <w:fldChar w:fldCharType="end"/>
      </w:r>
      <w:r>
        <w:t>: County Laws and Regulations</w:t>
      </w:r>
      <w:bookmarkEnd w:id="273"/>
      <w:bookmarkEnd w:id="274"/>
      <w:bookmarkEnd w:id="275"/>
      <w:bookmarkEnd w:id="276"/>
      <w:bookmarkEnd w:id="277"/>
    </w:p>
    <w:tbl>
      <w:tblPr>
        <w:tblStyle w:val="86"/>
        <w:tblW w:w="0" w:type="auto"/>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1"/>
        <w:gridCol w:w="2885"/>
        <w:gridCol w:w="2886"/>
      </w:tblGrid>
      <w:tr w14:paraId="0AC8EF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2541" w:type="dxa"/>
            <w:shd w:val="clear" w:color="auto" w:fill="DEEAF6" w:themeFill="accent1" w:themeFillTint="33"/>
          </w:tcPr>
          <w:p w14:paraId="0E8E70C9">
            <w:pPr>
              <w:tabs>
                <w:tab w:val="left" w:pos="709"/>
              </w:tabs>
              <w:spacing w:after="240"/>
              <w:jc w:val="both"/>
              <w:rPr>
                <w:rFonts w:cstheme="minorHAnsi"/>
                <w:b/>
              </w:rPr>
            </w:pPr>
            <w:r>
              <w:rPr>
                <w:rFonts w:cstheme="minorHAnsi"/>
                <w:b/>
              </w:rPr>
              <w:t xml:space="preserve">Law </w:t>
            </w:r>
          </w:p>
        </w:tc>
        <w:tc>
          <w:tcPr>
            <w:tcW w:w="2885" w:type="dxa"/>
            <w:shd w:val="clear" w:color="auto" w:fill="DEEAF6" w:themeFill="accent1" w:themeFillTint="33"/>
          </w:tcPr>
          <w:p w14:paraId="09897636">
            <w:pPr>
              <w:tabs>
                <w:tab w:val="left" w:pos="709"/>
              </w:tabs>
              <w:spacing w:after="240"/>
              <w:jc w:val="both"/>
              <w:rPr>
                <w:rFonts w:cstheme="minorHAnsi"/>
                <w:b/>
              </w:rPr>
            </w:pPr>
            <w:r>
              <w:rPr>
                <w:rFonts w:cstheme="minorHAnsi"/>
                <w:b/>
              </w:rPr>
              <w:t>Objective</w:t>
            </w:r>
          </w:p>
        </w:tc>
        <w:tc>
          <w:tcPr>
            <w:tcW w:w="2886" w:type="dxa"/>
            <w:shd w:val="clear" w:color="auto" w:fill="DEEAF6" w:themeFill="accent1" w:themeFillTint="33"/>
          </w:tcPr>
          <w:p w14:paraId="7988A904">
            <w:pPr>
              <w:tabs>
                <w:tab w:val="left" w:pos="709"/>
              </w:tabs>
              <w:spacing w:after="240"/>
              <w:jc w:val="both"/>
              <w:rPr>
                <w:rFonts w:cstheme="minorHAnsi"/>
                <w:b/>
              </w:rPr>
            </w:pPr>
            <w:r>
              <w:rPr>
                <w:rFonts w:cstheme="minorHAnsi"/>
                <w:b/>
              </w:rPr>
              <w:t xml:space="preserve">Application </w:t>
            </w:r>
          </w:p>
        </w:tc>
      </w:tr>
      <w:tr w14:paraId="189602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Pr>
        <w:tc>
          <w:tcPr>
            <w:tcW w:w="2541" w:type="dxa"/>
          </w:tcPr>
          <w:p w14:paraId="59999EE7">
            <w:pPr>
              <w:tabs>
                <w:tab w:val="left" w:pos="709"/>
              </w:tabs>
              <w:spacing w:after="0"/>
              <w:jc w:val="both"/>
              <w:rPr>
                <w:rFonts w:cstheme="minorHAnsi"/>
              </w:rPr>
            </w:pPr>
            <w:bookmarkStart w:id="278" w:name="_Toc163416651"/>
            <w:bookmarkStart w:id="279" w:name="_Toc163483536"/>
            <w:bookmarkStart w:id="280" w:name="_Toc162313397"/>
            <w:bookmarkStart w:id="281" w:name="_Toc162247463"/>
            <w:r>
              <w:rPr>
                <w:rFonts w:cstheme="minorHAnsi"/>
              </w:rPr>
              <w:t>County Government Act</w:t>
            </w:r>
            <w:bookmarkEnd w:id="278"/>
            <w:bookmarkEnd w:id="279"/>
            <w:r>
              <w:rPr>
                <w:rFonts w:cstheme="minorHAnsi"/>
              </w:rPr>
              <w:t xml:space="preserve"> </w:t>
            </w:r>
          </w:p>
          <w:p w14:paraId="7571D8BC">
            <w:pPr>
              <w:tabs>
                <w:tab w:val="left" w:pos="709"/>
              </w:tabs>
              <w:spacing w:after="0"/>
              <w:jc w:val="both"/>
              <w:rPr>
                <w:rFonts w:cstheme="minorHAnsi"/>
              </w:rPr>
            </w:pPr>
            <w:bookmarkStart w:id="282" w:name="_Toc163416652"/>
            <w:bookmarkStart w:id="283" w:name="_Toc163483537"/>
            <w:r>
              <w:rPr>
                <w:rFonts w:cstheme="minorHAnsi"/>
              </w:rPr>
              <w:t>No.17 of 2012</w:t>
            </w:r>
            <w:bookmarkEnd w:id="280"/>
            <w:bookmarkEnd w:id="281"/>
            <w:bookmarkEnd w:id="282"/>
            <w:bookmarkEnd w:id="283"/>
            <w:r>
              <w:rPr>
                <w:rFonts w:cstheme="minorHAnsi"/>
              </w:rPr>
              <w:t xml:space="preserve"> </w:t>
            </w:r>
          </w:p>
        </w:tc>
        <w:tc>
          <w:tcPr>
            <w:tcW w:w="2885" w:type="dxa"/>
          </w:tcPr>
          <w:p w14:paraId="4C6F8381">
            <w:pPr>
              <w:tabs>
                <w:tab w:val="left" w:pos="709"/>
              </w:tabs>
              <w:spacing w:after="240"/>
              <w:jc w:val="both"/>
              <w:rPr>
                <w:rFonts w:cstheme="minorHAnsi"/>
              </w:rPr>
            </w:pPr>
            <w:r>
              <w:rPr>
                <w:rFonts w:cstheme="minorHAnsi"/>
              </w:rPr>
              <w:t>The Act empowers the county government to be in charge of function described in Article 186 of the constitution, (county roads, water and Sanitation, Health), Part XI of the Act vest the responsibility of planning and development facilitation to the county government with collaboration with national government.</w:t>
            </w:r>
          </w:p>
          <w:p w14:paraId="2B9495D1">
            <w:pPr>
              <w:tabs>
                <w:tab w:val="left" w:pos="709"/>
              </w:tabs>
              <w:spacing w:after="240"/>
              <w:jc w:val="both"/>
              <w:rPr>
                <w:rFonts w:cstheme="minorHAnsi"/>
                <w:bCs/>
              </w:rPr>
            </w:pPr>
            <w:r>
              <w:rPr>
                <w:rFonts w:cstheme="minorHAnsi"/>
                <w:bCs/>
              </w:rPr>
              <w:t>The County Government Act No. 17 of 2012 of Kenya outlines comprehensive provisions for public participation, emphasizing the involvement of residents in governance and decision-making processes at the county level.</w:t>
            </w:r>
          </w:p>
        </w:tc>
        <w:tc>
          <w:tcPr>
            <w:tcW w:w="2886" w:type="dxa"/>
          </w:tcPr>
          <w:p w14:paraId="13F1268D">
            <w:pPr>
              <w:tabs>
                <w:tab w:val="left" w:pos="709"/>
              </w:tabs>
              <w:spacing w:after="240"/>
              <w:jc w:val="both"/>
              <w:rPr>
                <w:rFonts w:cstheme="minorHAnsi"/>
              </w:rPr>
            </w:pPr>
            <w:r>
              <w:rPr>
                <w:rFonts w:cstheme="minorHAnsi"/>
              </w:rPr>
              <w:t>The proponent will work in liaison with Wajir County Government.</w:t>
            </w:r>
          </w:p>
          <w:p w14:paraId="7E442D97">
            <w:pPr>
              <w:tabs>
                <w:tab w:val="left" w:pos="709"/>
              </w:tabs>
              <w:spacing w:after="240"/>
              <w:jc w:val="both"/>
              <w:rPr>
                <w:rFonts w:cstheme="minorHAnsi"/>
                <w:bCs/>
              </w:rPr>
            </w:pPr>
            <w:r>
              <w:rPr>
                <w:rFonts w:cstheme="minorHAnsi"/>
                <w:bCs/>
              </w:rPr>
              <w:t>For the Wajir Faecal Sludge Treatment Plant (WFSTP), these provisions mean that the county government must involve the local community in decision-making, from planning and design to monitoring and feedback, ensuring transparency, accountability, and alignment with public needs</w:t>
            </w:r>
          </w:p>
        </w:tc>
      </w:tr>
      <w:tr w14:paraId="3C9ADD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1" w:type="dxa"/>
          </w:tcPr>
          <w:p w14:paraId="4DF17466">
            <w:pPr>
              <w:tabs>
                <w:tab w:val="left" w:pos="709"/>
              </w:tabs>
              <w:spacing w:after="240"/>
              <w:jc w:val="both"/>
              <w:rPr>
                <w:rFonts w:cstheme="minorHAnsi"/>
              </w:rPr>
            </w:pPr>
            <w:r>
              <w:rPr>
                <w:rFonts w:cstheme="minorHAnsi"/>
              </w:rPr>
              <w:t>Wajir County Climate Change Fund Act, 2016</w:t>
            </w:r>
          </w:p>
        </w:tc>
        <w:tc>
          <w:tcPr>
            <w:tcW w:w="2885" w:type="dxa"/>
          </w:tcPr>
          <w:p w14:paraId="430B46D2">
            <w:pPr>
              <w:tabs>
                <w:tab w:val="left" w:pos="709"/>
              </w:tabs>
              <w:spacing w:after="240"/>
              <w:jc w:val="both"/>
              <w:rPr>
                <w:rFonts w:cstheme="minorHAnsi"/>
                <w:b/>
              </w:rPr>
            </w:pPr>
            <w:r>
              <w:rPr>
                <w:rFonts w:cstheme="minorHAnsi"/>
              </w:rPr>
              <w:t>The Act puts in place the framework and mechanisms for mobilization and facilitation of communities and other stakeholders in the county to respond effectively to climate change and for connected purposes.</w:t>
            </w:r>
          </w:p>
        </w:tc>
        <w:tc>
          <w:tcPr>
            <w:tcW w:w="2886" w:type="dxa"/>
          </w:tcPr>
          <w:p w14:paraId="22A8B0FF">
            <w:pPr>
              <w:tabs>
                <w:tab w:val="left" w:pos="709"/>
              </w:tabs>
              <w:spacing w:after="240"/>
              <w:jc w:val="both"/>
              <w:rPr>
                <w:rFonts w:cstheme="minorHAnsi"/>
              </w:rPr>
            </w:pPr>
            <w:r>
              <w:rPr>
                <w:rFonts w:cstheme="minorHAnsi"/>
              </w:rPr>
              <w:t xml:space="preserve">The project aligns with this act reason it involves construction of shallow wells that will increase water supply during the drought seasons. </w:t>
            </w:r>
          </w:p>
        </w:tc>
      </w:tr>
    </w:tbl>
    <w:p w14:paraId="1C3B35DF">
      <w:pPr>
        <w:pStyle w:val="117"/>
      </w:pPr>
      <w:bookmarkStart w:id="284" w:name="_Toc163483538"/>
      <w:bookmarkStart w:id="285" w:name="_Toc171493332"/>
      <w:bookmarkStart w:id="286" w:name="_Toc179904076"/>
      <w:bookmarkStart w:id="287" w:name="_Toc163416653"/>
      <w:bookmarkStart w:id="288" w:name="_Toc173301450"/>
      <w:r>
        <w:t xml:space="preserve">6.3 </w:t>
      </w:r>
      <w:r>
        <w:tab/>
      </w:r>
      <w:r>
        <w:t>National Policy Framework</w:t>
      </w:r>
      <w:bookmarkEnd w:id="284"/>
      <w:bookmarkEnd w:id="285"/>
      <w:bookmarkEnd w:id="286"/>
      <w:bookmarkEnd w:id="287"/>
      <w:bookmarkEnd w:id="288"/>
    </w:p>
    <w:p w14:paraId="268E7B4A">
      <w:pPr>
        <w:pStyle w:val="23"/>
      </w:pPr>
      <w:bookmarkStart w:id="289" w:name="_Toc171493379"/>
      <w:bookmarkStart w:id="290" w:name="_Toc163468682"/>
      <w:bookmarkStart w:id="291" w:name="_Toc172277335"/>
      <w:bookmarkStart w:id="292" w:name="_Toc179556823"/>
      <w:bookmarkStart w:id="293" w:name="_Toc173252900"/>
      <w:r>
        <w:t xml:space="preserve">Table </w:t>
      </w:r>
      <w:r>
        <w:fldChar w:fldCharType="begin"/>
      </w:r>
      <w:r>
        <w:instrText xml:space="preserve"> SEQ Table \* ARABIC </w:instrText>
      </w:r>
      <w:r>
        <w:fldChar w:fldCharType="separate"/>
      </w:r>
      <w:r>
        <w:t>12</w:t>
      </w:r>
      <w:r>
        <w:fldChar w:fldCharType="end"/>
      </w:r>
      <w:r>
        <w:t>: Applicable Policies</w:t>
      </w:r>
      <w:bookmarkEnd w:id="289"/>
      <w:bookmarkEnd w:id="290"/>
      <w:bookmarkEnd w:id="291"/>
      <w:bookmarkEnd w:id="292"/>
      <w:bookmarkEnd w:id="293"/>
    </w:p>
    <w:tbl>
      <w:tblPr>
        <w:tblStyle w:val="86"/>
        <w:tblW w:w="0" w:type="auto"/>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5"/>
        <w:gridCol w:w="3118"/>
        <w:gridCol w:w="3209"/>
      </w:tblGrid>
      <w:tr w14:paraId="6433AC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985" w:type="dxa"/>
            <w:shd w:val="clear" w:color="auto" w:fill="DBE5F1"/>
          </w:tcPr>
          <w:p w14:paraId="431C801A">
            <w:pPr>
              <w:tabs>
                <w:tab w:val="left" w:pos="709"/>
              </w:tabs>
              <w:spacing w:after="240"/>
              <w:jc w:val="both"/>
              <w:rPr>
                <w:rFonts w:cstheme="minorHAnsi"/>
                <w:b/>
                <w:bCs/>
              </w:rPr>
            </w:pPr>
            <w:r>
              <w:rPr>
                <w:rFonts w:cstheme="minorHAnsi"/>
                <w:b/>
                <w:bCs/>
              </w:rPr>
              <w:t>Policy</w:t>
            </w:r>
          </w:p>
        </w:tc>
        <w:tc>
          <w:tcPr>
            <w:tcW w:w="3118" w:type="dxa"/>
            <w:shd w:val="clear" w:color="auto" w:fill="DBE5F1"/>
          </w:tcPr>
          <w:p w14:paraId="376B4475">
            <w:pPr>
              <w:tabs>
                <w:tab w:val="left" w:pos="709"/>
              </w:tabs>
              <w:spacing w:after="240"/>
              <w:jc w:val="both"/>
              <w:rPr>
                <w:rFonts w:cstheme="minorHAnsi"/>
                <w:b/>
                <w:bCs/>
              </w:rPr>
            </w:pPr>
            <w:r>
              <w:rPr>
                <w:rFonts w:cstheme="minorHAnsi"/>
                <w:b/>
                <w:bCs/>
              </w:rPr>
              <w:t>Objective</w:t>
            </w:r>
          </w:p>
        </w:tc>
        <w:tc>
          <w:tcPr>
            <w:tcW w:w="3209" w:type="dxa"/>
            <w:shd w:val="clear" w:color="auto" w:fill="DBE5F1"/>
          </w:tcPr>
          <w:p w14:paraId="292DFC45">
            <w:pPr>
              <w:tabs>
                <w:tab w:val="left" w:pos="709"/>
              </w:tabs>
              <w:spacing w:after="240"/>
              <w:jc w:val="both"/>
              <w:rPr>
                <w:rFonts w:cstheme="minorHAnsi"/>
                <w:b/>
                <w:bCs/>
              </w:rPr>
            </w:pPr>
            <w:r>
              <w:rPr>
                <w:rFonts w:cstheme="minorHAnsi"/>
                <w:b/>
                <w:bCs/>
              </w:rPr>
              <w:t xml:space="preserve">Application </w:t>
            </w:r>
          </w:p>
        </w:tc>
      </w:tr>
      <w:tr w14:paraId="723C51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rPr>
        <w:tc>
          <w:tcPr>
            <w:tcW w:w="1985" w:type="dxa"/>
          </w:tcPr>
          <w:p w14:paraId="2D731E05">
            <w:pPr>
              <w:tabs>
                <w:tab w:val="left" w:pos="709"/>
              </w:tabs>
              <w:spacing w:after="240"/>
              <w:jc w:val="both"/>
              <w:rPr>
                <w:rFonts w:cstheme="minorHAnsi"/>
                <w:b/>
                <w:bCs/>
              </w:rPr>
            </w:pPr>
            <w:r>
              <w:rPr>
                <w:rFonts w:cstheme="minorHAnsi"/>
                <w:bCs/>
              </w:rPr>
              <w:t>Kenya Vision 2030</w:t>
            </w:r>
          </w:p>
        </w:tc>
        <w:tc>
          <w:tcPr>
            <w:tcW w:w="3118" w:type="dxa"/>
          </w:tcPr>
          <w:p w14:paraId="18E2BD97">
            <w:pPr>
              <w:tabs>
                <w:tab w:val="left" w:pos="709"/>
              </w:tabs>
              <w:spacing w:after="240"/>
              <w:jc w:val="both"/>
              <w:rPr>
                <w:rFonts w:cstheme="minorHAnsi"/>
                <w:bCs/>
              </w:rPr>
            </w:pPr>
            <w:r>
              <w:rPr>
                <w:rFonts w:cstheme="minorHAnsi"/>
                <w:bCs/>
              </w:rPr>
              <w:t>Transform Kenya into a middle-income country.</w:t>
            </w:r>
          </w:p>
          <w:p w14:paraId="345364C2">
            <w:pPr>
              <w:tabs>
                <w:tab w:val="left" w:pos="709"/>
              </w:tabs>
              <w:spacing w:after="240"/>
              <w:jc w:val="both"/>
              <w:rPr>
                <w:rFonts w:cstheme="minorHAnsi"/>
                <w:bCs/>
              </w:rPr>
            </w:pPr>
            <w:r>
              <w:rPr>
                <w:rFonts w:cstheme="minorHAnsi"/>
                <w:bCs/>
              </w:rPr>
              <w:t>Kenya Vision 2030 aims for economic growth, social equity, political stability, infrastructure development, environmental sustainability, and technological innovation.</w:t>
            </w:r>
          </w:p>
        </w:tc>
        <w:tc>
          <w:tcPr>
            <w:tcW w:w="3209" w:type="dxa"/>
          </w:tcPr>
          <w:p w14:paraId="7E4D3021">
            <w:pPr>
              <w:tabs>
                <w:tab w:val="left" w:pos="709"/>
              </w:tabs>
              <w:spacing w:after="240"/>
              <w:jc w:val="both"/>
              <w:rPr>
                <w:rFonts w:cstheme="minorHAnsi"/>
                <w:bCs/>
              </w:rPr>
            </w:pPr>
            <w:r>
              <w:rPr>
                <w:rFonts w:cstheme="minorHAnsi"/>
                <w:bCs/>
              </w:rPr>
              <w:t>The Wajir FSTP project contributes to these objectives by enhancing local economic activities, ensuring inclusive participation, improving sanitation infrastructure, promoting environmental protection, and fostering innovative waste management practices.</w:t>
            </w:r>
          </w:p>
        </w:tc>
      </w:tr>
      <w:tr w14:paraId="2CC092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tcPr>
          <w:p w14:paraId="0EFD813E">
            <w:pPr>
              <w:tabs>
                <w:tab w:val="left" w:pos="709"/>
              </w:tabs>
              <w:spacing w:after="240"/>
              <w:jc w:val="both"/>
              <w:rPr>
                <w:rFonts w:cstheme="minorHAnsi"/>
                <w:b/>
                <w:bCs/>
              </w:rPr>
            </w:pPr>
            <w:r>
              <w:rPr>
                <w:rFonts w:cstheme="minorHAnsi"/>
                <w:bCs/>
              </w:rPr>
              <w:t>The National Environmental Action Plan (NEAP) 1994</w:t>
            </w:r>
          </w:p>
        </w:tc>
        <w:tc>
          <w:tcPr>
            <w:tcW w:w="3118" w:type="dxa"/>
          </w:tcPr>
          <w:p w14:paraId="2E53D934">
            <w:pPr>
              <w:tabs>
                <w:tab w:val="left" w:pos="709"/>
              </w:tabs>
              <w:spacing w:after="240"/>
              <w:jc w:val="both"/>
              <w:rPr>
                <w:rFonts w:cstheme="minorHAnsi"/>
                <w:bCs/>
              </w:rPr>
            </w:pPr>
            <w:r>
              <w:rPr>
                <w:rFonts w:cstheme="minorHAnsi"/>
                <w:bCs/>
              </w:rPr>
              <w:t>Integrate environmental considerations into the country’s economic and social development initiatives/plans.</w:t>
            </w:r>
          </w:p>
        </w:tc>
        <w:tc>
          <w:tcPr>
            <w:tcW w:w="3209" w:type="dxa"/>
          </w:tcPr>
          <w:p w14:paraId="61C063C6">
            <w:pPr>
              <w:tabs>
                <w:tab w:val="left" w:pos="709"/>
              </w:tabs>
              <w:spacing w:after="240"/>
              <w:jc w:val="both"/>
              <w:rPr>
                <w:rFonts w:cstheme="minorHAnsi"/>
                <w:bCs/>
              </w:rPr>
            </w:pPr>
            <w:r>
              <w:rPr>
                <w:rFonts w:cstheme="minorHAnsi"/>
                <w:bCs/>
              </w:rPr>
              <w:t>Help in minimizing environmental impacts of project activities.</w:t>
            </w:r>
          </w:p>
        </w:tc>
      </w:tr>
      <w:tr w14:paraId="110447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tcPr>
          <w:p w14:paraId="72C0FDBB">
            <w:pPr>
              <w:tabs>
                <w:tab w:val="left" w:pos="709"/>
              </w:tabs>
              <w:spacing w:after="240"/>
              <w:jc w:val="both"/>
              <w:rPr>
                <w:rFonts w:cstheme="minorHAnsi"/>
                <w:b/>
                <w:bCs/>
              </w:rPr>
            </w:pPr>
            <w:r>
              <w:rPr>
                <w:rFonts w:cstheme="minorHAnsi"/>
                <w:bCs/>
              </w:rPr>
              <w:t>Policy Paper on Environment and Development 2014</w:t>
            </w:r>
          </w:p>
        </w:tc>
        <w:tc>
          <w:tcPr>
            <w:tcW w:w="3118" w:type="dxa"/>
          </w:tcPr>
          <w:p w14:paraId="70D2E8D7">
            <w:pPr>
              <w:tabs>
                <w:tab w:val="left" w:pos="709"/>
              </w:tabs>
              <w:spacing w:after="240"/>
              <w:jc w:val="both"/>
              <w:rPr>
                <w:rFonts w:cstheme="minorHAnsi"/>
                <w:bCs/>
              </w:rPr>
            </w:pPr>
            <w:r>
              <w:rPr>
                <w:rFonts w:cstheme="minorHAnsi"/>
                <w:bCs/>
              </w:rPr>
              <w:t>To ensure projects take environmental considerations into account projects take environmental considerations into account</w:t>
            </w:r>
          </w:p>
        </w:tc>
        <w:tc>
          <w:tcPr>
            <w:tcW w:w="3209" w:type="dxa"/>
          </w:tcPr>
          <w:p w14:paraId="663B6E53">
            <w:pPr>
              <w:tabs>
                <w:tab w:val="left" w:pos="709"/>
              </w:tabs>
              <w:spacing w:after="240"/>
              <w:jc w:val="both"/>
              <w:rPr>
                <w:rFonts w:cstheme="minorHAnsi"/>
                <w:bCs/>
              </w:rPr>
            </w:pPr>
            <w:r>
              <w:rPr>
                <w:rFonts w:cstheme="minorHAnsi"/>
                <w:bCs/>
              </w:rPr>
              <w:t>Potential impacts on the environment and involvement of the public in project planning</w:t>
            </w:r>
          </w:p>
        </w:tc>
      </w:tr>
      <w:tr w14:paraId="2022BF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tcPr>
          <w:p w14:paraId="6C373803">
            <w:pPr>
              <w:tabs>
                <w:tab w:val="left" w:pos="709"/>
              </w:tabs>
              <w:spacing w:after="240"/>
              <w:jc w:val="both"/>
              <w:rPr>
                <w:rFonts w:cstheme="minorHAnsi"/>
                <w:b/>
                <w:bCs/>
              </w:rPr>
            </w:pPr>
            <w:r>
              <w:rPr>
                <w:rFonts w:cstheme="minorHAnsi"/>
                <w:bCs/>
              </w:rPr>
              <w:t>The National Water Resources Management Policy (1999)</w:t>
            </w:r>
          </w:p>
        </w:tc>
        <w:tc>
          <w:tcPr>
            <w:tcW w:w="3118" w:type="dxa"/>
          </w:tcPr>
          <w:p w14:paraId="1D6CAE5F">
            <w:pPr>
              <w:tabs>
                <w:tab w:val="left" w:pos="709"/>
              </w:tabs>
              <w:spacing w:after="240"/>
              <w:jc w:val="both"/>
              <w:rPr>
                <w:rFonts w:cstheme="minorHAnsi"/>
                <w:bCs/>
              </w:rPr>
            </w:pPr>
            <w:r>
              <w:rPr>
                <w:rFonts w:cstheme="minorHAnsi"/>
                <w:bCs/>
              </w:rPr>
              <w:t>It, calls development of appropriate sanitation systems to protect people’s health and water resource from any source of pollution.</w:t>
            </w:r>
          </w:p>
        </w:tc>
        <w:tc>
          <w:tcPr>
            <w:tcW w:w="3209" w:type="dxa"/>
          </w:tcPr>
          <w:p w14:paraId="6D6A3FE9">
            <w:pPr>
              <w:tabs>
                <w:tab w:val="left" w:pos="709"/>
              </w:tabs>
              <w:spacing w:after="240"/>
              <w:jc w:val="both"/>
              <w:rPr>
                <w:rFonts w:cstheme="minorHAnsi"/>
                <w:bCs/>
              </w:rPr>
            </w:pPr>
            <w:r>
              <w:rPr>
                <w:rFonts w:cstheme="minorHAnsi"/>
                <w:bCs/>
              </w:rPr>
              <w:t>Provides measures to minimize the disruption of natural drainage patterns</w:t>
            </w:r>
          </w:p>
        </w:tc>
      </w:tr>
      <w:tr w14:paraId="05B91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tcPr>
          <w:p w14:paraId="702647AF">
            <w:pPr>
              <w:tabs>
                <w:tab w:val="left" w:pos="709"/>
              </w:tabs>
              <w:spacing w:after="240"/>
              <w:jc w:val="both"/>
              <w:rPr>
                <w:rFonts w:cstheme="minorHAnsi"/>
                <w:b/>
                <w:bCs/>
              </w:rPr>
            </w:pPr>
            <w:r>
              <w:rPr>
                <w:rFonts w:cstheme="minorHAnsi"/>
                <w:bCs/>
              </w:rPr>
              <w:t>HIV and AIDS Policy 2009</w:t>
            </w:r>
          </w:p>
        </w:tc>
        <w:tc>
          <w:tcPr>
            <w:tcW w:w="3118" w:type="dxa"/>
          </w:tcPr>
          <w:p w14:paraId="079907B4">
            <w:pPr>
              <w:tabs>
                <w:tab w:val="left" w:pos="709"/>
              </w:tabs>
              <w:spacing w:after="240"/>
              <w:jc w:val="both"/>
              <w:rPr>
                <w:rFonts w:cstheme="minorHAnsi"/>
                <w:bCs/>
              </w:rPr>
            </w:pPr>
            <w:r>
              <w:rPr>
                <w:rFonts w:cstheme="minorHAnsi"/>
                <w:bCs/>
              </w:rPr>
              <w:t>Setting Minimum Internal Requirements (MIR) for managing HIV and AIDS</w:t>
            </w:r>
          </w:p>
        </w:tc>
        <w:tc>
          <w:tcPr>
            <w:tcW w:w="3209" w:type="dxa"/>
          </w:tcPr>
          <w:p w14:paraId="14C93313">
            <w:pPr>
              <w:tabs>
                <w:tab w:val="left" w:pos="709"/>
              </w:tabs>
              <w:spacing w:after="240"/>
              <w:jc w:val="both"/>
              <w:rPr>
                <w:rFonts w:cstheme="minorHAnsi"/>
                <w:bCs/>
              </w:rPr>
            </w:pPr>
            <w:r>
              <w:rPr>
                <w:rFonts w:cstheme="minorHAnsi"/>
                <w:bCs/>
              </w:rPr>
              <w:t>The Contractor will in cooperate in tender document and implement HIV awareness initiatives during implementation of the project.</w:t>
            </w:r>
          </w:p>
        </w:tc>
      </w:tr>
      <w:tr w14:paraId="1DFEFB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tcPr>
          <w:p w14:paraId="2917D72E">
            <w:pPr>
              <w:tabs>
                <w:tab w:val="left" w:pos="709"/>
              </w:tabs>
              <w:spacing w:after="240"/>
              <w:jc w:val="both"/>
              <w:rPr>
                <w:rFonts w:cstheme="minorHAnsi"/>
                <w:b/>
                <w:bCs/>
              </w:rPr>
            </w:pPr>
            <w:r>
              <w:rPr>
                <w:rFonts w:cstheme="minorHAnsi"/>
                <w:bCs/>
              </w:rPr>
              <w:t>Gender Policy 2011</w:t>
            </w:r>
          </w:p>
        </w:tc>
        <w:tc>
          <w:tcPr>
            <w:tcW w:w="3118" w:type="dxa"/>
          </w:tcPr>
          <w:p w14:paraId="12A6B5F6">
            <w:pPr>
              <w:tabs>
                <w:tab w:val="left" w:pos="709"/>
              </w:tabs>
              <w:spacing w:after="240"/>
              <w:jc w:val="both"/>
              <w:rPr>
                <w:rFonts w:cstheme="minorHAnsi"/>
                <w:bCs/>
              </w:rPr>
            </w:pPr>
            <w:r>
              <w:rPr>
                <w:rFonts w:cstheme="minorHAnsi"/>
                <w:bCs/>
              </w:rPr>
              <w:t>Mainstream gender concerns</w:t>
            </w:r>
          </w:p>
        </w:tc>
        <w:tc>
          <w:tcPr>
            <w:tcW w:w="3209" w:type="dxa"/>
          </w:tcPr>
          <w:p w14:paraId="209F6554">
            <w:pPr>
              <w:tabs>
                <w:tab w:val="left" w:pos="709"/>
              </w:tabs>
              <w:spacing w:after="240"/>
              <w:jc w:val="both"/>
              <w:rPr>
                <w:rFonts w:cstheme="minorHAnsi"/>
                <w:bCs/>
              </w:rPr>
            </w:pPr>
            <w:r>
              <w:rPr>
                <w:rFonts w:cstheme="minorHAnsi"/>
                <w:bCs/>
              </w:rPr>
              <w:t xml:space="preserve">This policy will be referred to during Project implementation especially during hiring of staff to be involved in the project to ensure men , women and youth are provided with equal opportunities in project </w:t>
            </w:r>
          </w:p>
        </w:tc>
      </w:tr>
      <w:tr w14:paraId="11A14D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53" w:hRule="atLeast"/>
        </w:trPr>
        <w:tc>
          <w:tcPr>
            <w:tcW w:w="1985" w:type="dxa"/>
          </w:tcPr>
          <w:p w14:paraId="5A03D30A">
            <w:pPr>
              <w:tabs>
                <w:tab w:val="left" w:pos="709"/>
              </w:tabs>
              <w:spacing w:after="240"/>
              <w:jc w:val="both"/>
              <w:rPr>
                <w:rFonts w:cstheme="minorHAnsi"/>
                <w:b/>
                <w:bCs/>
              </w:rPr>
            </w:pPr>
            <w:r>
              <w:rPr>
                <w:rFonts w:cstheme="minorHAnsi"/>
                <w:bCs/>
              </w:rPr>
              <w:t>Sessional Paper No. 7 of 2005 on National Employment Policy and Strategies for Kenya</w:t>
            </w:r>
          </w:p>
        </w:tc>
        <w:tc>
          <w:tcPr>
            <w:tcW w:w="3118" w:type="dxa"/>
          </w:tcPr>
          <w:p w14:paraId="5FC40989">
            <w:pPr>
              <w:tabs>
                <w:tab w:val="left" w:pos="709"/>
              </w:tabs>
              <w:spacing w:after="240"/>
              <w:jc w:val="both"/>
              <w:rPr>
                <w:rFonts w:cstheme="minorHAnsi"/>
                <w:bCs/>
              </w:rPr>
            </w:pPr>
            <w:r>
              <w:rPr>
                <w:rFonts w:cstheme="minorHAnsi"/>
                <w:bCs/>
              </w:rPr>
              <w:t>Guarantee safe and peaceful working environment</w:t>
            </w:r>
          </w:p>
        </w:tc>
        <w:tc>
          <w:tcPr>
            <w:tcW w:w="3209" w:type="dxa"/>
          </w:tcPr>
          <w:p w14:paraId="7EAEC3FA">
            <w:pPr>
              <w:tabs>
                <w:tab w:val="left" w:pos="709"/>
              </w:tabs>
              <w:spacing w:after="240"/>
              <w:jc w:val="both"/>
              <w:rPr>
                <w:rFonts w:cstheme="minorHAnsi"/>
                <w:bCs/>
              </w:rPr>
            </w:pPr>
            <w:r>
              <w:rPr>
                <w:rFonts w:cstheme="minorHAnsi"/>
                <w:bCs/>
              </w:rPr>
              <w:t>During construction and demolition phase of the project there will be employment.</w:t>
            </w:r>
          </w:p>
        </w:tc>
      </w:tr>
      <w:tr w14:paraId="0342D0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tcPr>
          <w:p w14:paraId="53B0B609">
            <w:pPr>
              <w:tabs>
                <w:tab w:val="left" w:pos="709"/>
              </w:tabs>
              <w:spacing w:after="240"/>
              <w:jc w:val="both"/>
              <w:rPr>
                <w:rFonts w:cstheme="minorHAnsi"/>
                <w:bCs/>
              </w:rPr>
            </w:pPr>
            <w:bookmarkStart w:id="294" w:name="_Toc163483539"/>
            <w:bookmarkStart w:id="295" w:name="_Toc163416654"/>
            <w:bookmarkStart w:id="296" w:name="_Toc171493333"/>
            <w:bookmarkStart w:id="297" w:name="_Toc173301451"/>
            <w:r>
              <w:rPr>
                <w:rFonts w:cstheme="minorHAnsi"/>
                <w:bCs/>
              </w:rPr>
              <w:t>Sustainable Waste Management Policy 2021</w:t>
            </w:r>
          </w:p>
        </w:tc>
        <w:tc>
          <w:tcPr>
            <w:tcW w:w="3118" w:type="dxa"/>
          </w:tcPr>
          <w:p w14:paraId="3D446C15">
            <w:pPr>
              <w:tabs>
                <w:tab w:val="left" w:pos="709"/>
              </w:tabs>
              <w:spacing w:after="240"/>
              <w:jc w:val="both"/>
              <w:rPr>
                <w:rFonts w:cstheme="minorHAnsi"/>
                <w:bCs/>
              </w:rPr>
            </w:pPr>
            <w:r>
              <w:rPr>
                <w:rFonts w:cstheme="minorHAnsi"/>
                <w:bCs/>
              </w:rPr>
              <w:t xml:space="preserve">The goal of this Act is </w:t>
            </w:r>
            <w:r>
              <w:rPr>
                <w:rFonts w:cstheme="minorHAnsi"/>
              </w:rPr>
              <w:t>to promote environmentally sound and economically viable practices for managing waste.</w:t>
            </w:r>
          </w:p>
        </w:tc>
        <w:tc>
          <w:tcPr>
            <w:tcW w:w="3209" w:type="dxa"/>
          </w:tcPr>
          <w:p w14:paraId="04F3424A">
            <w:pPr>
              <w:tabs>
                <w:tab w:val="left" w:pos="709"/>
              </w:tabs>
              <w:spacing w:after="240"/>
              <w:jc w:val="both"/>
              <w:rPr>
                <w:rFonts w:cstheme="minorHAnsi"/>
                <w:bCs/>
              </w:rPr>
            </w:pPr>
            <w:r>
              <w:rPr>
                <w:rFonts w:cstheme="minorHAnsi"/>
                <w:bCs/>
              </w:rPr>
              <w:t xml:space="preserve">The project </w:t>
            </w:r>
            <w:r>
              <w:rPr>
                <w:rFonts w:cstheme="minorHAnsi"/>
              </w:rPr>
              <w:t>designed to effectively implement the policy’s objectives, ensuring a comprehensive and sustainable approach to waste management.</w:t>
            </w:r>
          </w:p>
        </w:tc>
      </w:tr>
      <w:tr w14:paraId="3FA439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tcPr>
          <w:p w14:paraId="7340FD87">
            <w:pPr>
              <w:tabs>
                <w:tab w:val="left" w:pos="709"/>
              </w:tabs>
              <w:spacing w:after="240"/>
              <w:jc w:val="both"/>
              <w:rPr>
                <w:rFonts w:cstheme="minorHAnsi"/>
                <w:bCs/>
              </w:rPr>
            </w:pPr>
            <w:r>
              <w:rPr>
                <w:rFonts w:cstheme="minorHAnsi"/>
                <w:bCs/>
              </w:rPr>
              <w:t>Kenya Youth Development Policy 2019</w:t>
            </w:r>
          </w:p>
        </w:tc>
        <w:tc>
          <w:tcPr>
            <w:tcW w:w="3118" w:type="dxa"/>
          </w:tcPr>
          <w:p w14:paraId="1F4B13EA">
            <w:pPr>
              <w:tabs>
                <w:tab w:val="left" w:pos="709"/>
              </w:tabs>
              <w:spacing w:after="240"/>
              <w:jc w:val="both"/>
              <w:rPr>
                <w:rFonts w:cstheme="minorHAnsi"/>
                <w:bCs/>
              </w:rPr>
            </w:pPr>
            <w:r>
              <w:rPr>
                <w:rFonts w:cstheme="minorHAnsi"/>
                <w:bCs/>
              </w:rPr>
              <w:t>Highlights the importance of youth in the development of Kenya and the country's Big Four Agenda, Vision 2030, and Sustainable Development Goals. The policy places an obligation on the youth to be productive, patriotic, and active participants in society.</w:t>
            </w:r>
          </w:p>
        </w:tc>
        <w:tc>
          <w:tcPr>
            <w:tcW w:w="3209" w:type="dxa"/>
          </w:tcPr>
          <w:p w14:paraId="1E47B2D4">
            <w:pPr>
              <w:tabs>
                <w:tab w:val="left" w:pos="709"/>
              </w:tabs>
              <w:spacing w:after="240"/>
              <w:jc w:val="both"/>
              <w:rPr>
                <w:rFonts w:cstheme="minorHAnsi"/>
                <w:bCs/>
              </w:rPr>
            </w:pPr>
            <w:r>
              <w:rPr>
                <w:rFonts w:cstheme="minorHAnsi"/>
                <w:bCs/>
              </w:rPr>
              <w:t xml:space="preserve">The Wajir FSTP project offers a unique platform for youth to actively participate in Kenya's development. By engaging in such projects, young people not only fulfill their obligation to be productive, patriotic, and active participants in society but also contribute to national goals such as the Big Four Agenda, Vision 2030, and the SDGs. The project can empower the youth to drive change in the sanitation sector while enhancing their economic prospects and contributing to a healthier, more sustainable Kenya. Youth will be provided priority in project activities. </w:t>
            </w:r>
          </w:p>
        </w:tc>
      </w:tr>
      <w:tr w14:paraId="00D6B8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tcPr>
          <w:p w14:paraId="22207717">
            <w:pPr>
              <w:tabs>
                <w:tab w:val="left" w:pos="709"/>
              </w:tabs>
              <w:spacing w:after="240"/>
              <w:jc w:val="both"/>
              <w:rPr>
                <w:rFonts w:cstheme="minorHAnsi"/>
                <w:bCs/>
              </w:rPr>
            </w:pPr>
            <w:r>
              <w:rPr>
                <w:rFonts w:cstheme="minorHAnsi"/>
                <w:bCs/>
              </w:rPr>
              <w:t>The National Museums And Heritage Act</w:t>
            </w:r>
          </w:p>
        </w:tc>
        <w:tc>
          <w:tcPr>
            <w:tcW w:w="3118" w:type="dxa"/>
          </w:tcPr>
          <w:p w14:paraId="528565B3">
            <w:pPr>
              <w:tabs>
                <w:tab w:val="left" w:pos="709"/>
              </w:tabs>
              <w:spacing w:after="240"/>
              <w:jc w:val="both"/>
              <w:rPr>
                <w:rFonts w:cstheme="minorHAnsi"/>
                <w:bCs/>
              </w:rPr>
            </w:pPr>
            <w:r>
              <w:rPr>
                <w:rFonts w:cstheme="minorHAnsi"/>
                <w:bCs/>
              </w:rPr>
              <w:t>The National Museums and Heritage Act (2006) aims to conserve Kenya’s cultural and natural heritage, promoting sustainable management, education, and research. It provides legal protection for historical monuments, archaeological sites, and natural heritage, ensuring they are preserved and safeguarded from damage due to development activities. The Act also fosters public awareness and involvement in heritage conservation, emphasizing the integration of heritage protection into national development efforts.</w:t>
            </w:r>
          </w:p>
        </w:tc>
        <w:tc>
          <w:tcPr>
            <w:tcW w:w="3209" w:type="dxa"/>
          </w:tcPr>
          <w:p w14:paraId="629B74A5">
            <w:pPr>
              <w:tabs>
                <w:tab w:val="left" w:pos="709"/>
              </w:tabs>
              <w:spacing w:after="240"/>
              <w:jc w:val="both"/>
              <w:rPr>
                <w:rFonts w:cstheme="minorHAnsi"/>
                <w:bCs/>
              </w:rPr>
            </w:pPr>
            <w:r>
              <w:rPr>
                <w:rFonts w:cstheme="minorHAnsi"/>
                <w:bCs/>
              </w:rPr>
              <w:t>By adhering to the National Museums and Heritage Act, the Wajir FSTP project can ensure that it respects and preserves Kenya’s rich cultural and natural heritage while contributing to sustainable development in the region.</w:t>
            </w:r>
          </w:p>
        </w:tc>
      </w:tr>
      <w:tr w14:paraId="1052B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985" w:type="dxa"/>
          </w:tcPr>
          <w:p w14:paraId="5F6BC2D9">
            <w:pPr>
              <w:tabs>
                <w:tab w:val="left" w:pos="709"/>
              </w:tabs>
              <w:spacing w:after="240"/>
              <w:jc w:val="both"/>
              <w:rPr>
                <w:rFonts w:cstheme="minorHAnsi"/>
                <w:bCs/>
              </w:rPr>
            </w:pPr>
            <w:r>
              <w:rPr>
                <w:rFonts w:cstheme="minorHAnsi"/>
                <w:bCs/>
              </w:rPr>
              <w:t>HIV and AIDS Prevention and Control Act</w:t>
            </w:r>
          </w:p>
        </w:tc>
        <w:tc>
          <w:tcPr>
            <w:tcW w:w="3118" w:type="dxa"/>
          </w:tcPr>
          <w:p w14:paraId="441EE0D7">
            <w:pPr>
              <w:tabs>
                <w:tab w:val="left" w:pos="709"/>
              </w:tabs>
              <w:spacing w:after="240"/>
              <w:jc w:val="both"/>
              <w:rPr>
                <w:rFonts w:cstheme="minorHAnsi"/>
                <w:bCs/>
              </w:rPr>
            </w:pPr>
            <w:r>
              <w:rPr>
                <w:rFonts w:cstheme="minorHAnsi"/>
                <w:bCs/>
              </w:rPr>
              <w:t>Aims to prevent the spread of HIV, ensure access to treatment and care, protect the rights of people living with HIV/AIDS, and promote education and research. It also mandates confidentiality and non-discrimination regarding HIV status.</w:t>
            </w:r>
          </w:p>
        </w:tc>
        <w:tc>
          <w:tcPr>
            <w:tcW w:w="3209" w:type="dxa"/>
          </w:tcPr>
          <w:p w14:paraId="6FA4620F">
            <w:pPr>
              <w:tabs>
                <w:tab w:val="left" w:pos="709"/>
              </w:tabs>
              <w:spacing w:after="240"/>
              <w:jc w:val="both"/>
              <w:rPr>
                <w:rFonts w:cstheme="minorHAnsi"/>
                <w:bCs/>
              </w:rPr>
            </w:pPr>
            <w:r>
              <w:rPr>
                <w:rFonts w:cstheme="minorHAnsi"/>
                <w:bCs/>
              </w:rPr>
              <w:t>By integrating the HIV and AIDS Prevention and Control Act, the Wajir FSTP project can enhance the well-being of its workers and the local community, supporting both public health and the overall success of the project.</w:t>
            </w:r>
          </w:p>
        </w:tc>
      </w:tr>
    </w:tbl>
    <w:p w14:paraId="11E95368">
      <w:pPr>
        <w:pStyle w:val="117"/>
        <w:sectPr>
          <w:headerReference r:id="rId26" w:type="default"/>
          <w:pgSz w:w="11906" w:h="16838"/>
          <w:pgMar w:top="1440" w:right="1440" w:bottom="1440" w:left="1440" w:header="708" w:footer="708" w:gutter="0"/>
          <w:cols w:space="708" w:num="1"/>
          <w:docGrid w:linePitch="360" w:charSpace="0"/>
        </w:sectPr>
      </w:pPr>
    </w:p>
    <w:p w14:paraId="7134EBDF">
      <w:pPr>
        <w:pStyle w:val="117"/>
      </w:pPr>
      <w:bookmarkStart w:id="298" w:name="_Toc179904077"/>
      <w:r>
        <w:t xml:space="preserve">6.4 </w:t>
      </w:r>
      <w:r>
        <w:tab/>
      </w:r>
      <w:r>
        <w:t>County Policy Framework</w:t>
      </w:r>
      <w:bookmarkEnd w:id="294"/>
      <w:bookmarkEnd w:id="295"/>
      <w:bookmarkEnd w:id="296"/>
      <w:bookmarkEnd w:id="297"/>
      <w:bookmarkEnd w:id="298"/>
    </w:p>
    <w:p w14:paraId="1649B4A3">
      <w:pPr>
        <w:pStyle w:val="23"/>
      </w:pPr>
      <w:bookmarkStart w:id="299" w:name="_Toc171493380"/>
      <w:bookmarkStart w:id="300" w:name="_Toc173252901"/>
      <w:bookmarkStart w:id="301" w:name="_Toc172277336"/>
      <w:bookmarkStart w:id="302" w:name="_Toc179556824"/>
      <w:bookmarkStart w:id="303" w:name="_Toc163468683"/>
      <w:r>
        <w:t xml:space="preserve">Table </w:t>
      </w:r>
      <w:r>
        <w:fldChar w:fldCharType="begin"/>
      </w:r>
      <w:r>
        <w:instrText xml:space="preserve"> SEQ Table \* ARABIC </w:instrText>
      </w:r>
      <w:r>
        <w:fldChar w:fldCharType="separate"/>
      </w:r>
      <w:r>
        <w:t>13</w:t>
      </w:r>
      <w:r>
        <w:fldChar w:fldCharType="end"/>
      </w:r>
      <w:r>
        <w:t>: County Policy Framework</w:t>
      </w:r>
      <w:bookmarkEnd w:id="299"/>
      <w:bookmarkEnd w:id="300"/>
      <w:bookmarkEnd w:id="301"/>
      <w:bookmarkEnd w:id="302"/>
      <w:bookmarkEnd w:id="303"/>
    </w:p>
    <w:tbl>
      <w:tblPr>
        <w:tblStyle w:val="86"/>
        <w:tblW w:w="0" w:type="auto"/>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1"/>
        <w:gridCol w:w="2885"/>
        <w:gridCol w:w="2886"/>
      </w:tblGrid>
      <w:tr w14:paraId="1BA88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1" w:type="dxa"/>
            <w:shd w:val="clear" w:color="auto" w:fill="DEEAF6" w:themeFill="accent1" w:themeFillTint="33"/>
          </w:tcPr>
          <w:p w14:paraId="24A396FA">
            <w:pPr>
              <w:tabs>
                <w:tab w:val="left" w:pos="709"/>
              </w:tabs>
              <w:spacing w:after="240"/>
              <w:jc w:val="both"/>
              <w:rPr>
                <w:rFonts w:cstheme="minorHAnsi"/>
                <w:b/>
              </w:rPr>
            </w:pPr>
            <w:r>
              <w:rPr>
                <w:rFonts w:cstheme="minorHAnsi"/>
                <w:b/>
              </w:rPr>
              <w:t>Instrument</w:t>
            </w:r>
          </w:p>
        </w:tc>
        <w:tc>
          <w:tcPr>
            <w:tcW w:w="2885" w:type="dxa"/>
            <w:shd w:val="clear" w:color="auto" w:fill="DEEAF6" w:themeFill="accent1" w:themeFillTint="33"/>
          </w:tcPr>
          <w:p w14:paraId="32E3AC6B">
            <w:pPr>
              <w:tabs>
                <w:tab w:val="left" w:pos="709"/>
              </w:tabs>
              <w:spacing w:after="240"/>
              <w:jc w:val="both"/>
              <w:rPr>
                <w:rFonts w:cstheme="minorHAnsi"/>
                <w:b/>
              </w:rPr>
            </w:pPr>
            <w:r>
              <w:rPr>
                <w:rFonts w:cstheme="minorHAnsi"/>
                <w:b/>
              </w:rPr>
              <w:t>Objective</w:t>
            </w:r>
          </w:p>
        </w:tc>
        <w:tc>
          <w:tcPr>
            <w:tcW w:w="2886" w:type="dxa"/>
            <w:shd w:val="clear" w:color="auto" w:fill="DEEAF6" w:themeFill="accent1" w:themeFillTint="33"/>
          </w:tcPr>
          <w:p w14:paraId="635A562B">
            <w:pPr>
              <w:tabs>
                <w:tab w:val="left" w:pos="709"/>
              </w:tabs>
              <w:spacing w:after="240"/>
              <w:jc w:val="both"/>
              <w:rPr>
                <w:rFonts w:cstheme="minorHAnsi"/>
                <w:b/>
              </w:rPr>
            </w:pPr>
            <w:r>
              <w:rPr>
                <w:rFonts w:cstheme="minorHAnsi"/>
                <w:b/>
              </w:rPr>
              <w:t xml:space="preserve">Application </w:t>
            </w:r>
          </w:p>
        </w:tc>
      </w:tr>
      <w:tr w14:paraId="39EAA1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541" w:type="dxa"/>
          </w:tcPr>
          <w:p w14:paraId="2C24203D">
            <w:pPr>
              <w:tabs>
                <w:tab w:val="left" w:pos="709"/>
              </w:tabs>
              <w:spacing w:after="240"/>
              <w:jc w:val="both"/>
              <w:rPr>
                <w:rFonts w:cstheme="minorHAnsi"/>
              </w:rPr>
            </w:pPr>
            <w:r>
              <w:rPr>
                <w:rFonts w:cstheme="minorHAnsi"/>
              </w:rPr>
              <w:t>Wajir County integrated development goals 2023-2027</w:t>
            </w:r>
          </w:p>
        </w:tc>
        <w:tc>
          <w:tcPr>
            <w:tcW w:w="2885" w:type="dxa"/>
          </w:tcPr>
          <w:p w14:paraId="00F58E0B">
            <w:pPr>
              <w:tabs>
                <w:tab w:val="left" w:pos="709"/>
              </w:tabs>
              <w:spacing w:after="240"/>
              <w:jc w:val="both"/>
              <w:rPr>
                <w:rFonts w:cstheme="minorHAnsi"/>
                <w:b/>
              </w:rPr>
            </w:pPr>
            <w:r>
              <w:rPr>
                <w:rFonts w:cstheme="minorHAnsi"/>
                <w:shd w:val="clear" w:color="auto" w:fill="FFFFFF"/>
              </w:rPr>
              <w:t>Obligates a county to develop an integrated plan, designate planning unit at all County administrative units and promote public participation and engagement by non-state actors in the planning units.</w:t>
            </w:r>
          </w:p>
        </w:tc>
        <w:tc>
          <w:tcPr>
            <w:tcW w:w="2886" w:type="dxa"/>
          </w:tcPr>
          <w:p w14:paraId="0DBD802B">
            <w:pPr>
              <w:tabs>
                <w:tab w:val="left" w:pos="709"/>
              </w:tabs>
              <w:spacing w:after="240"/>
              <w:jc w:val="both"/>
              <w:rPr>
                <w:rFonts w:cstheme="minorHAnsi"/>
                <w:b/>
              </w:rPr>
            </w:pPr>
            <w:r>
              <w:rPr>
                <w:rFonts w:cs="Segoe UI"/>
                <w:shd w:val="clear" w:color="auto" w:fill="FFFFFF"/>
              </w:rPr>
              <w:t>The project would contribute to the realization of the CIDP's vision for an improved water and sanitation system, thereby supporting broader socioeconomic development goals outlined in the plan.</w:t>
            </w:r>
          </w:p>
        </w:tc>
      </w:tr>
    </w:tbl>
    <w:p w14:paraId="7950E750">
      <w:pPr>
        <w:pStyle w:val="117"/>
      </w:pPr>
      <w:bookmarkStart w:id="304" w:name="_Toc179904078"/>
      <w:bookmarkStart w:id="305" w:name="_Toc171493334"/>
      <w:bookmarkStart w:id="306" w:name="_Toc173301452"/>
      <w:bookmarkStart w:id="307" w:name="_Toc163483540"/>
      <w:bookmarkStart w:id="308" w:name="_Toc163416655"/>
      <w:bookmarkStart w:id="309" w:name="_Toc163416656"/>
      <w:bookmarkStart w:id="310" w:name="_Toc163483541"/>
      <w:r>
        <w:t xml:space="preserve">6.5 </w:t>
      </w:r>
      <w:r>
        <w:tab/>
      </w:r>
      <w:r>
        <w:t>Sustainable Development Goals</w:t>
      </w:r>
      <w:bookmarkEnd w:id="304"/>
      <w:bookmarkEnd w:id="305"/>
      <w:bookmarkEnd w:id="306"/>
      <w:bookmarkEnd w:id="307"/>
      <w:bookmarkEnd w:id="308"/>
      <w:r>
        <w:t xml:space="preserve"> </w:t>
      </w:r>
    </w:p>
    <w:p w14:paraId="2FC6D935">
      <w:pPr>
        <w:pStyle w:val="23"/>
      </w:pPr>
      <w:bookmarkStart w:id="311" w:name="_Toc172277337"/>
      <w:bookmarkStart w:id="312" w:name="_Toc163468684"/>
      <w:bookmarkStart w:id="313" w:name="_Toc179556825"/>
      <w:bookmarkStart w:id="314" w:name="_Toc171493381"/>
      <w:bookmarkStart w:id="315" w:name="_Toc173252902"/>
      <w:r>
        <w:t xml:space="preserve">Table </w:t>
      </w:r>
      <w:r>
        <w:fldChar w:fldCharType="begin"/>
      </w:r>
      <w:r>
        <w:instrText xml:space="preserve"> SEQ Table \* ARABIC </w:instrText>
      </w:r>
      <w:r>
        <w:fldChar w:fldCharType="separate"/>
      </w:r>
      <w:r>
        <w:t>14</w:t>
      </w:r>
      <w:r>
        <w:fldChar w:fldCharType="end"/>
      </w:r>
      <w:r>
        <w:t>: SDGs</w:t>
      </w:r>
      <w:bookmarkEnd w:id="311"/>
      <w:bookmarkEnd w:id="312"/>
      <w:bookmarkEnd w:id="313"/>
      <w:bookmarkEnd w:id="314"/>
      <w:bookmarkEnd w:id="315"/>
    </w:p>
    <w:tbl>
      <w:tblPr>
        <w:tblStyle w:val="86"/>
        <w:tblW w:w="0" w:type="auto"/>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149"/>
        <w:gridCol w:w="2395"/>
        <w:gridCol w:w="4768"/>
      </w:tblGrid>
      <w:tr w14:paraId="060091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149" w:type="dxa"/>
            <w:shd w:val="clear" w:color="auto" w:fill="DEEAF6" w:themeFill="accent1" w:themeFillTint="33"/>
          </w:tcPr>
          <w:p w14:paraId="7A878484">
            <w:pPr>
              <w:tabs>
                <w:tab w:val="left" w:pos="709"/>
              </w:tabs>
              <w:spacing w:after="240"/>
              <w:jc w:val="both"/>
              <w:rPr>
                <w:rFonts w:cstheme="minorHAnsi"/>
                <w:b/>
              </w:rPr>
            </w:pPr>
            <w:r>
              <w:rPr>
                <w:rFonts w:cstheme="minorHAnsi"/>
                <w:b/>
              </w:rPr>
              <w:t>Instrument</w:t>
            </w:r>
          </w:p>
        </w:tc>
        <w:tc>
          <w:tcPr>
            <w:tcW w:w="2395" w:type="dxa"/>
            <w:shd w:val="clear" w:color="auto" w:fill="DEEAF6" w:themeFill="accent1" w:themeFillTint="33"/>
          </w:tcPr>
          <w:p w14:paraId="3BF3B9FC">
            <w:pPr>
              <w:tabs>
                <w:tab w:val="left" w:pos="709"/>
              </w:tabs>
              <w:spacing w:after="240"/>
              <w:jc w:val="both"/>
              <w:rPr>
                <w:rFonts w:cstheme="minorHAnsi"/>
                <w:b/>
              </w:rPr>
            </w:pPr>
            <w:r>
              <w:rPr>
                <w:rFonts w:cstheme="minorHAnsi"/>
                <w:b/>
              </w:rPr>
              <w:t>Objective</w:t>
            </w:r>
          </w:p>
        </w:tc>
        <w:tc>
          <w:tcPr>
            <w:tcW w:w="4768" w:type="dxa"/>
            <w:shd w:val="clear" w:color="auto" w:fill="DEEAF6" w:themeFill="accent1" w:themeFillTint="33"/>
          </w:tcPr>
          <w:p w14:paraId="1032C01B">
            <w:pPr>
              <w:tabs>
                <w:tab w:val="left" w:pos="709"/>
              </w:tabs>
              <w:spacing w:after="240"/>
              <w:jc w:val="both"/>
              <w:rPr>
                <w:rFonts w:cstheme="minorHAnsi"/>
                <w:b/>
              </w:rPr>
            </w:pPr>
            <w:r>
              <w:rPr>
                <w:rFonts w:cstheme="minorHAnsi"/>
                <w:b/>
              </w:rPr>
              <w:t>Application</w:t>
            </w:r>
          </w:p>
        </w:tc>
      </w:tr>
      <w:tr w14:paraId="6D61DE3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9" w:type="dxa"/>
            <w:shd w:val="clear" w:color="auto" w:fill="auto"/>
          </w:tcPr>
          <w:p w14:paraId="5ECEE648">
            <w:pPr>
              <w:tabs>
                <w:tab w:val="left" w:pos="709"/>
              </w:tabs>
              <w:spacing w:after="240"/>
              <w:jc w:val="both"/>
              <w:rPr>
                <w:rFonts w:cstheme="minorHAnsi"/>
              </w:rPr>
            </w:pPr>
            <w:r>
              <w:rPr>
                <w:rFonts w:cstheme="minorHAnsi"/>
              </w:rPr>
              <w:t>SDG Goal 1</w:t>
            </w:r>
          </w:p>
        </w:tc>
        <w:tc>
          <w:tcPr>
            <w:tcW w:w="2395" w:type="dxa"/>
            <w:shd w:val="clear" w:color="auto" w:fill="auto"/>
          </w:tcPr>
          <w:p w14:paraId="42653E0F">
            <w:pPr>
              <w:tabs>
                <w:tab w:val="left" w:pos="709"/>
              </w:tabs>
              <w:spacing w:after="240"/>
              <w:jc w:val="both"/>
              <w:rPr>
                <w:rFonts w:cstheme="minorHAnsi"/>
              </w:rPr>
            </w:pPr>
            <w:r>
              <w:rPr>
                <w:rFonts w:cstheme="minorHAnsi"/>
              </w:rPr>
              <w:t xml:space="preserve">No poverty </w:t>
            </w:r>
          </w:p>
        </w:tc>
        <w:tc>
          <w:tcPr>
            <w:tcW w:w="4768" w:type="dxa"/>
            <w:shd w:val="clear" w:color="auto" w:fill="auto"/>
          </w:tcPr>
          <w:p w14:paraId="4FBBA97C">
            <w:pPr>
              <w:tabs>
                <w:tab w:val="left" w:pos="709"/>
              </w:tabs>
              <w:spacing w:after="240"/>
              <w:jc w:val="both"/>
              <w:rPr>
                <w:rFonts w:cstheme="minorHAnsi"/>
              </w:rPr>
            </w:pPr>
            <w:r>
              <w:rPr>
                <w:rFonts w:cstheme="minorHAnsi"/>
              </w:rPr>
              <w:t>Through the development of the area, it enhances economic opportunities, improving living conditions, and empowering communities.</w:t>
            </w:r>
            <w:r>
              <w:rPr>
                <w:rFonts w:cstheme="minorHAnsi"/>
                <w:b/>
              </w:rPr>
              <w:t xml:space="preserve"> Applicable</w:t>
            </w:r>
          </w:p>
        </w:tc>
      </w:tr>
      <w:tr w14:paraId="1206B8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49" w:type="dxa"/>
            <w:shd w:val="clear" w:color="auto" w:fill="auto"/>
          </w:tcPr>
          <w:p w14:paraId="5E972B4A">
            <w:pPr>
              <w:tabs>
                <w:tab w:val="left" w:pos="709"/>
              </w:tabs>
              <w:spacing w:after="240"/>
              <w:jc w:val="both"/>
              <w:rPr>
                <w:rFonts w:cstheme="minorHAnsi"/>
              </w:rPr>
            </w:pPr>
            <w:r>
              <w:rPr>
                <w:rFonts w:cstheme="minorHAnsi"/>
              </w:rPr>
              <w:t>SDG Goal 2</w:t>
            </w:r>
          </w:p>
        </w:tc>
        <w:tc>
          <w:tcPr>
            <w:tcW w:w="2395" w:type="dxa"/>
            <w:shd w:val="clear" w:color="auto" w:fill="auto"/>
          </w:tcPr>
          <w:p w14:paraId="68649603">
            <w:pPr>
              <w:tabs>
                <w:tab w:val="left" w:pos="709"/>
              </w:tabs>
              <w:spacing w:after="240"/>
              <w:jc w:val="both"/>
              <w:rPr>
                <w:rFonts w:cstheme="minorHAnsi"/>
              </w:rPr>
            </w:pPr>
            <w:r>
              <w:rPr>
                <w:rFonts w:cstheme="minorHAnsi"/>
              </w:rPr>
              <w:t>Zero Hunger</w:t>
            </w:r>
          </w:p>
        </w:tc>
        <w:tc>
          <w:tcPr>
            <w:tcW w:w="4768" w:type="dxa"/>
            <w:shd w:val="clear" w:color="auto" w:fill="auto"/>
          </w:tcPr>
          <w:p w14:paraId="75DBF303">
            <w:pPr>
              <w:tabs>
                <w:tab w:val="left" w:pos="709"/>
              </w:tabs>
              <w:spacing w:after="240"/>
              <w:jc w:val="both"/>
              <w:rPr>
                <w:rFonts w:cstheme="minorHAnsi"/>
              </w:rPr>
            </w:pPr>
            <w:r>
              <w:rPr>
                <w:rFonts w:cstheme="minorHAnsi"/>
              </w:rPr>
              <w:t xml:space="preserve">Water and sanitation improvements and other project developments improve access to food, resilience to climate change, environmental sustainability, and social inclusion. </w:t>
            </w:r>
            <w:r>
              <w:rPr>
                <w:rFonts w:cstheme="minorHAnsi"/>
                <w:b/>
              </w:rPr>
              <w:t>Applicable</w:t>
            </w:r>
          </w:p>
        </w:tc>
      </w:tr>
      <w:tr w14:paraId="17CFA3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149" w:type="dxa"/>
          </w:tcPr>
          <w:p w14:paraId="26F1E353">
            <w:pPr>
              <w:tabs>
                <w:tab w:val="left" w:pos="709"/>
              </w:tabs>
              <w:spacing w:after="240"/>
              <w:jc w:val="both"/>
              <w:rPr>
                <w:rFonts w:cstheme="minorHAnsi"/>
              </w:rPr>
            </w:pPr>
            <w:r>
              <w:rPr>
                <w:rFonts w:cstheme="minorHAnsi"/>
              </w:rPr>
              <w:t>SDG Goal 3</w:t>
            </w:r>
          </w:p>
        </w:tc>
        <w:tc>
          <w:tcPr>
            <w:tcW w:w="2395" w:type="dxa"/>
          </w:tcPr>
          <w:p w14:paraId="28AA9E9A">
            <w:pPr>
              <w:tabs>
                <w:tab w:val="left" w:pos="709"/>
              </w:tabs>
              <w:spacing w:after="240"/>
              <w:jc w:val="both"/>
              <w:rPr>
                <w:rFonts w:cstheme="minorHAnsi"/>
              </w:rPr>
            </w:pPr>
            <w:r>
              <w:rPr>
                <w:rFonts w:cstheme="minorHAnsi"/>
              </w:rPr>
              <w:t>Good health &amp; well Being</w:t>
            </w:r>
          </w:p>
        </w:tc>
        <w:tc>
          <w:tcPr>
            <w:tcW w:w="4768" w:type="dxa"/>
          </w:tcPr>
          <w:p w14:paraId="0FA3BE7E">
            <w:pPr>
              <w:tabs>
                <w:tab w:val="left" w:pos="709"/>
              </w:tabs>
              <w:spacing w:after="240"/>
              <w:jc w:val="both"/>
              <w:rPr>
                <w:rFonts w:cstheme="minorHAnsi"/>
              </w:rPr>
            </w:pPr>
            <w:r>
              <w:rPr>
                <w:rFonts w:cstheme="minorHAnsi"/>
              </w:rPr>
              <w:t xml:space="preserve">The project contributes to the improved health and productivity through the provision of a clean environment. </w:t>
            </w:r>
            <w:r>
              <w:rPr>
                <w:rFonts w:cstheme="minorHAnsi"/>
                <w:b/>
              </w:rPr>
              <w:t>Applicable</w:t>
            </w:r>
          </w:p>
        </w:tc>
      </w:tr>
      <w:tr w14:paraId="796558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90" w:hRule="atLeast"/>
        </w:trPr>
        <w:tc>
          <w:tcPr>
            <w:tcW w:w="1149" w:type="dxa"/>
          </w:tcPr>
          <w:p w14:paraId="13BFE9B3">
            <w:pPr>
              <w:tabs>
                <w:tab w:val="left" w:pos="709"/>
              </w:tabs>
              <w:spacing w:after="240"/>
              <w:jc w:val="both"/>
              <w:rPr>
                <w:rFonts w:cstheme="minorHAnsi"/>
              </w:rPr>
            </w:pPr>
            <w:r>
              <w:rPr>
                <w:rFonts w:cstheme="minorHAnsi"/>
              </w:rPr>
              <w:t>SDG Goal 4</w:t>
            </w:r>
          </w:p>
        </w:tc>
        <w:tc>
          <w:tcPr>
            <w:tcW w:w="2395" w:type="dxa"/>
          </w:tcPr>
          <w:p w14:paraId="44753219">
            <w:pPr>
              <w:tabs>
                <w:tab w:val="left" w:pos="709"/>
              </w:tabs>
              <w:spacing w:after="240"/>
              <w:jc w:val="both"/>
              <w:rPr>
                <w:rFonts w:cstheme="minorHAnsi"/>
              </w:rPr>
            </w:pPr>
            <w:r>
              <w:rPr>
                <w:rFonts w:cstheme="minorHAnsi"/>
              </w:rPr>
              <w:t xml:space="preserve">Quality education </w:t>
            </w:r>
          </w:p>
        </w:tc>
        <w:tc>
          <w:tcPr>
            <w:tcW w:w="4768" w:type="dxa"/>
          </w:tcPr>
          <w:p w14:paraId="5F0FBA27">
            <w:pPr>
              <w:tabs>
                <w:tab w:val="left" w:pos="709"/>
              </w:tabs>
              <w:spacing w:after="240"/>
              <w:jc w:val="both"/>
              <w:rPr>
                <w:rFonts w:cstheme="minorHAnsi"/>
              </w:rPr>
            </w:pPr>
            <w:r>
              <w:rPr>
                <w:rFonts w:cstheme="minorHAnsi"/>
              </w:rPr>
              <w:t xml:space="preserve">The project contributes to modern and quality education to the school-going children of Alimaow and Furaha area and its environs through improved sanitation facilities and water supply. </w:t>
            </w:r>
            <w:r>
              <w:rPr>
                <w:rFonts w:cstheme="minorHAnsi"/>
                <w:b/>
              </w:rPr>
              <w:t>Applicable</w:t>
            </w:r>
          </w:p>
        </w:tc>
      </w:tr>
      <w:tr w14:paraId="43C42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149" w:type="dxa"/>
          </w:tcPr>
          <w:p w14:paraId="40026EF7">
            <w:pPr>
              <w:tabs>
                <w:tab w:val="left" w:pos="709"/>
              </w:tabs>
              <w:spacing w:after="240"/>
              <w:jc w:val="both"/>
              <w:rPr>
                <w:rFonts w:cstheme="minorHAnsi"/>
              </w:rPr>
            </w:pPr>
            <w:r>
              <w:rPr>
                <w:rFonts w:cstheme="minorHAnsi"/>
              </w:rPr>
              <w:t>SDG Goal 5</w:t>
            </w:r>
          </w:p>
        </w:tc>
        <w:tc>
          <w:tcPr>
            <w:tcW w:w="2395" w:type="dxa"/>
          </w:tcPr>
          <w:p w14:paraId="3867C27D">
            <w:pPr>
              <w:tabs>
                <w:tab w:val="left" w:pos="709"/>
              </w:tabs>
              <w:spacing w:after="240"/>
              <w:jc w:val="both"/>
              <w:rPr>
                <w:rFonts w:cstheme="minorHAnsi"/>
              </w:rPr>
            </w:pPr>
            <w:r>
              <w:rPr>
                <w:rFonts w:cstheme="minorHAnsi"/>
              </w:rPr>
              <w:t>Gender equality</w:t>
            </w:r>
          </w:p>
        </w:tc>
        <w:tc>
          <w:tcPr>
            <w:tcW w:w="4768" w:type="dxa"/>
          </w:tcPr>
          <w:p w14:paraId="7F9CF732">
            <w:pPr>
              <w:tabs>
                <w:tab w:val="left" w:pos="709"/>
              </w:tabs>
              <w:spacing w:after="240"/>
              <w:jc w:val="both"/>
              <w:rPr>
                <w:rFonts w:cstheme="minorHAnsi"/>
              </w:rPr>
            </w:pPr>
            <w:r>
              <w:rPr>
                <w:rFonts w:cstheme="minorHAnsi"/>
              </w:rPr>
              <w:t xml:space="preserve">By considering the specific needs and priorities of women and girls in these communities during the project phases </w:t>
            </w:r>
            <w:r>
              <w:rPr>
                <w:rFonts w:cstheme="minorHAnsi"/>
                <w:b/>
              </w:rPr>
              <w:t>Applicable</w:t>
            </w:r>
          </w:p>
        </w:tc>
      </w:tr>
      <w:tr w14:paraId="31887E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149" w:type="dxa"/>
          </w:tcPr>
          <w:p w14:paraId="56DCFF4B">
            <w:pPr>
              <w:tabs>
                <w:tab w:val="left" w:pos="709"/>
              </w:tabs>
              <w:spacing w:after="240"/>
              <w:jc w:val="both"/>
              <w:rPr>
                <w:rFonts w:cstheme="minorHAnsi"/>
              </w:rPr>
            </w:pPr>
            <w:r>
              <w:rPr>
                <w:rFonts w:cstheme="minorHAnsi"/>
              </w:rPr>
              <w:t>SDG Goal 6</w:t>
            </w:r>
          </w:p>
        </w:tc>
        <w:tc>
          <w:tcPr>
            <w:tcW w:w="2395" w:type="dxa"/>
          </w:tcPr>
          <w:p w14:paraId="773AD6A1">
            <w:pPr>
              <w:tabs>
                <w:tab w:val="left" w:pos="709"/>
              </w:tabs>
              <w:spacing w:after="240"/>
              <w:jc w:val="both"/>
              <w:rPr>
                <w:rFonts w:cstheme="minorHAnsi"/>
              </w:rPr>
            </w:pPr>
            <w:r>
              <w:rPr>
                <w:rFonts w:cstheme="minorHAnsi"/>
              </w:rPr>
              <w:t>Clean Water and Sanitation</w:t>
            </w:r>
          </w:p>
        </w:tc>
        <w:tc>
          <w:tcPr>
            <w:tcW w:w="4768" w:type="dxa"/>
          </w:tcPr>
          <w:p w14:paraId="2748DE65">
            <w:pPr>
              <w:tabs>
                <w:tab w:val="left" w:pos="709"/>
              </w:tabs>
              <w:spacing w:after="240"/>
              <w:jc w:val="both"/>
              <w:rPr>
                <w:rFonts w:cstheme="minorHAnsi"/>
              </w:rPr>
            </w:pPr>
            <w:r>
              <w:rPr>
                <w:rFonts w:cstheme="minorHAnsi"/>
              </w:rPr>
              <w:t xml:space="preserve">Sanitation and water supply improvement within the area can contribute to advancing the broader objectives of sustainable water management, sanitation access. </w:t>
            </w:r>
            <w:r>
              <w:rPr>
                <w:rFonts w:cstheme="minorHAnsi"/>
                <w:b/>
              </w:rPr>
              <w:t>Applicable</w:t>
            </w:r>
          </w:p>
        </w:tc>
      </w:tr>
      <w:tr w14:paraId="71B1E6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3" w:hRule="atLeast"/>
        </w:trPr>
        <w:tc>
          <w:tcPr>
            <w:tcW w:w="1149" w:type="dxa"/>
          </w:tcPr>
          <w:p w14:paraId="5C6C4B27">
            <w:pPr>
              <w:tabs>
                <w:tab w:val="left" w:pos="709"/>
              </w:tabs>
              <w:spacing w:after="240"/>
              <w:jc w:val="both"/>
              <w:rPr>
                <w:rFonts w:cstheme="minorHAnsi"/>
              </w:rPr>
            </w:pPr>
            <w:r>
              <w:rPr>
                <w:rFonts w:cstheme="minorHAnsi"/>
              </w:rPr>
              <w:t>SDG Goal 7</w:t>
            </w:r>
          </w:p>
        </w:tc>
        <w:tc>
          <w:tcPr>
            <w:tcW w:w="2395" w:type="dxa"/>
          </w:tcPr>
          <w:p w14:paraId="418C0623">
            <w:pPr>
              <w:tabs>
                <w:tab w:val="left" w:pos="709"/>
              </w:tabs>
              <w:spacing w:after="240"/>
              <w:jc w:val="both"/>
              <w:rPr>
                <w:rFonts w:cstheme="minorHAnsi"/>
              </w:rPr>
            </w:pPr>
            <w:r>
              <w:rPr>
                <w:rFonts w:cstheme="minorHAnsi"/>
              </w:rPr>
              <w:t>Affordable and clean energy</w:t>
            </w:r>
          </w:p>
        </w:tc>
        <w:tc>
          <w:tcPr>
            <w:tcW w:w="4768" w:type="dxa"/>
          </w:tcPr>
          <w:p w14:paraId="33D446EE">
            <w:pPr>
              <w:tabs>
                <w:tab w:val="left" w:pos="709"/>
              </w:tabs>
              <w:spacing w:after="240"/>
              <w:jc w:val="both"/>
              <w:rPr>
                <w:rFonts w:cstheme="minorHAnsi"/>
              </w:rPr>
            </w:pPr>
            <w:r>
              <w:rPr>
                <w:rFonts w:cstheme="minorHAnsi"/>
              </w:rPr>
              <w:t xml:space="preserve">The project entails the sustainable usage of energy to power the water pumps and other operations of the project. </w:t>
            </w:r>
            <w:r>
              <w:rPr>
                <w:rFonts w:cstheme="minorHAnsi"/>
                <w:b/>
              </w:rPr>
              <w:t>Applicable</w:t>
            </w:r>
          </w:p>
        </w:tc>
      </w:tr>
      <w:tr w14:paraId="72A7AD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1149" w:type="dxa"/>
          </w:tcPr>
          <w:p w14:paraId="50E8D9D2">
            <w:pPr>
              <w:tabs>
                <w:tab w:val="left" w:pos="709"/>
              </w:tabs>
              <w:spacing w:after="240"/>
              <w:jc w:val="both"/>
              <w:rPr>
                <w:rFonts w:cstheme="minorHAnsi"/>
              </w:rPr>
            </w:pPr>
            <w:r>
              <w:rPr>
                <w:rFonts w:cstheme="minorHAnsi"/>
              </w:rPr>
              <w:t>SDG Goal 8</w:t>
            </w:r>
          </w:p>
        </w:tc>
        <w:tc>
          <w:tcPr>
            <w:tcW w:w="2395" w:type="dxa"/>
          </w:tcPr>
          <w:p w14:paraId="0FF91D8A">
            <w:pPr>
              <w:tabs>
                <w:tab w:val="left" w:pos="709"/>
              </w:tabs>
              <w:spacing w:after="240"/>
              <w:jc w:val="both"/>
              <w:rPr>
                <w:rFonts w:cstheme="minorHAnsi"/>
              </w:rPr>
            </w:pPr>
            <w:r>
              <w:rPr>
                <w:rFonts w:cstheme="minorHAnsi"/>
              </w:rPr>
              <w:t>Decent work and economic growth</w:t>
            </w:r>
          </w:p>
        </w:tc>
        <w:tc>
          <w:tcPr>
            <w:tcW w:w="4768" w:type="dxa"/>
          </w:tcPr>
          <w:p w14:paraId="05C1B0C8">
            <w:pPr>
              <w:tabs>
                <w:tab w:val="left" w:pos="709"/>
              </w:tabs>
              <w:spacing w:after="240"/>
              <w:jc w:val="both"/>
              <w:rPr>
                <w:rFonts w:cstheme="minorHAnsi"/>
              </w:rPr>
            </w:pPr>
            <w:r>
              <w:rPr>
                <w:rFonts w:cstheme="minorHAnsi"/>
              </w:rPr>
              <w:t>Employment creation that will contribute to reducing the proportion of youth not in employment.</w:t>
            </w:r>
            <w:r>
              <w:rPr>
                <w:rFonts w:cstheme="minorHAnsi"/>
                <w:b/>
              </w:rPr>
              <w:t xml:space="preserve"> Applicable</w:t>
            </w:r>
          </w:p>
        </w:tc>
      </w:tr>
      <w:tr w14:paraId="4C6385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1149" w:type="dxa"/>
          </w:tcPr>
          <w:p w14:paraId="25AFD869">
            <w:pPr>
              <w:tabs>
                <w:tab w:val="left" w:pos="709"/>
              </w:tabs>
              <w:spacing w:after="240"/>
              <w:jc w:val="both"/>
              <w:rPr>
                <w:rFonts w:cstheme="minorHAnsi"/>
              </w:rPr>
            </w:pPr>
            <w:r>
              <w:rPr>
                <w:rFonts w:cstheme="minorHAnsi"/>
              </w:rPr>
              <w:t>SDG Goal 9</w:t>
            </w:r>
          </w:p>
        </w:tc>
        <w:tc>
          <w:tcPr>
            <w:tcW w:w="2395" w:type="dxa"/>
          </w:tcPr>
          <w:p w14:paraId="660DF69B">
            <w:pPr>
              <w:tabs>
                <w:tab w:val="left" w:pos="709"/>
              </w:tabs>
              <w:spacing w:after="240"/>
              <w:jc w:val="both"/>
              <w:rPr>
                <w:rFonts w:cstheme="minorHAnsi"/>
              </w:rPr>
            </w:pPr>
            <w:r>
              <w:rPr>
                <w:rFonts w:cstheme="minorHAnsi"/>
              </w:rPr>
              <w:t>Industry, Innovation and infrastructure</w:t>
            </w:r>
          </w:p>
        </w:tc>
        <w:tc>
          <w:tcPr>
            <w:tcW w:w="4768" w:type="dxa"/>
          </w:tcPr>
          <w:p w14:paraId="40BA7692">
            <w:pPr>
              <w:tabs>
                <w:tab w:val="left" w:pos="709"/>
              </w:tabs>
              <w:spacing w:after="240"/>
              <w:jc w:val="both"/>
              <w:rPr>
                <w:rFonts w:cstheme="minorHAnsi"/>
              </w:rPr>
            </w:pPr>
            <w:r>
              <w:rPr>
                <w:rFonts w:cstheme="minorHAnsi"/>
              </w:rPr>
              <w:t xml:space="preserve">Through infrastructure development of the area, it promotes resilience, inclusivity, sustainable development, and innovation within the community. </w:t>
            </w:r>
            <w:r>
              <w:rPr>
                <w:rFonts w:cstheme="minorHAnsi"/>
                <w:b/>
              </w:rPr>
              <w:t>Applicable</w:t>
            </w:r>
          </w:p>
        </w:tc>
      </w:tr>
      <w:tr w14:paraId="2130F5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1149" w:type="dxa"/>
          </w:tcPr>
          <w:p w14:paraId="2112A243">
            <w:pPr>
              <w:tabs>
                <w:tab w:val="left" w:pos="709"/>
              </w:tabs>
              <w:spacing w:after="240"/>
              <w:jc w:val="both"/>
              <w:rPr>
                <w:rFonts w:cstheme="minorHAnsi"/>
              </w:rPr>
            </w:pPr>
            <w:r>
              <w:rPr>
                <w:rFonts w:cstheme="minorHAnsi"/>
              </w:rPr>
              <w:t>SDG Goal 10</w:t>
            </w:r>
          </w:p>
        </w:tc>
        <w:tc>
          <w:tcPr>
            <w:tcW w:w="2395" w:type="dxa"/>
          </w:tcPr>
          <w:p w14:paraId="62E7A24E">
            <w:pPr>
              <w:tabs>
                <w:tab w:val="left" w:pos="709"/>
              </w:tabs>
              <w:spacing w:after="240"/>
              <w:jc w:val="both"/>
              <w:rPr>
                <w:rFonts w:cstheme="minorHAnsi"/>
              </w:rPr>
            </w:pPr>
            <w:r>
              <w:rPr>
                <w:rFonts w:cstheme="minorHAnsi"/>
              </w:rPr>
              <w:t>Reduced inequalities</w:t>
            </w:r>
          </w:p>
        </w:tc>
        <w:tc>
          <w:tcPr>
            <w:tcW w:w="4768" w:type="dxa"/>
          </w:tcPr>
          <w:p w14:paraId="6B4A6C7D">
            <w:pPr>
              <w:tabs>
                <w:tab w:val="left" w:pos="709"/>
              </w:tabs>
              <w:spacing w:after="240"/>
              <w:jc w:val="both"/>
              <w:rPr>
                <w:rFonts w:cstheme="minorHAnsi"/>
              </w:rPr>
            </w:pPr>
            <w:r>
              <w:rPr>
                <w:rFonts w:cstheme="minorHAnsi"/>
              </w:rPr>
              <w:t xml:space="preserve">Services provided by each project infrastructure is intended to be accessible to all for example the roads constructed. </w:t>
            </w:r>
            <w:r>
              <w:rPr>
                <w:rFonts w:cstheme="minorHAnsi"/>
                <w:b/>
              </w:rPr>
              <w:t>Applicable</w:t>
            </w:r>
          </w:p>
        </w:tc>
      </w:tr>
      <w:tr w14:paraId="3E051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1149" w:type="dxa"/>
          </w:tcPr>
          <w:p w14:paraId="6E4D5724">
            <w:pPr>
              <w:tabs>
                <w:tab w:val="left" w:pos="709"/>
              </w:tabs>
              <w:spacing w:after="240"/>
              <w:jc w:val="both"/>
              <w:rPr>
                <w:rFonts w:cstheme="minorHAnsi"/>
              </w:rPr>
            </w:pPr>
            <w:r>
              <w:rPr>
                <w:rFonts w:cstheme="minorHAnsi"/>
              </w:rPr>
              <w:t>SDG Goal 11</w:t>
            </w:r>
          </w:p>
        </w:tc>
        <w:tc>
          <w:tcPr>
            <w:tcW w:w="2395" w:type="dxa"/>
          </w:tcPr>
          <w:p w14:paraId="2814FEDC">
            <w:pPr>
              <w:tabs>
                <w:tab w:val="left" w:pos="709"/>
              </w:tabs>
              <w:spacing w:after="240"/>
              <w:jc w:val="both"/>
              <w:rPr>
                <w:rFonts w:cstheme="minorHAnsi"/>
              </w:rPr>
            </w:pPr>
            <w:r>
              <w:rPr>
                <w:rFonts w:cstheme="minorHAnsi"/>
              </w:rPr>
              <w:t>Sustainable cities and communities</w:t>
            </w:r>
          </w:p>
        </w:tc>
        <w:tc>
          <w:tcPr>
            <w:tcW w:w="4768" w:type="dxa"/>
          </w:tcPr>
          <w:p w14:paraId="4881FE49">
            <w:pPr>
              <w:tabs>
                <w:tab w:val="left" w:pos="709"/>
              </w:tabs>
              <w:spacing w:after="240"/>
              <w:jc w:val="both"/>
              <w:rPr>
                <w:rFonts w:cstheme="minorHAnsi"/>
              </w:rPr>
            </w:pPr>
            <w:r>
              <w:rPr>
                <w:rFonts w:cstheme="minorHAnsi"/>
              </w:rPr>
              <w:t>The proposed project plans to improve/develop Alimaow ward in Wajir county.</w:t>
            </w:r>
            <w:r>
              <w:rPr>
                <w:rFonts w:cstheme="minorHAnsi"/>
                <w:b/>
              </w:rPr>
              <w:t xml:space="preserve"> Applicable</w:t>
            </w:r>
          </w:p>
        </w:tc>
      </w:tr>
      <w:tr w14:paraId="08F84C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9" w:hRule="atLeast"/>
        </w:trPr>
        <w:tc>
          <w:tcPr>
            <w:tcW w:w="1149" w:type="dxa"/>
          </w:tcPr>
          <w:p w14:paraId="637C8927">
            <w:pPr>
              <w:tabs>
                <w:tab w:val="left" w:pos="709"/>
              </w:tabs>
              <w:spacing w:after="240"/>
              <w:jc w:val="both"/>
              <w:rPr>
                <w:rFonts w:cstheme="minorHAnsi"/>
              </w:rPr>
            </w:pPr>
            <w:r>
              <w:rPr>
                <w:rFonts w:cstheme="minorHAnsi"/>
              </w:rPr>
              <w:t>SDG Goal 12</w:t>
            </w:r>
          </w:p>
        </w:tc>
        <w:tc>
          <w:tcPr>
            <w:tcW w:w="2395" w:type="dxa"/>
          </w:tcPr>
          <w:p w14:paraId="3BA68578">
            <w:pPr>
              <w:tabs>
                <w:tab w:val="left" w:pos="709"/>
              </w:tabs>
              <w:spacing w:after="240"/>
              <w:jc w:val="both"/>
              <w:rPr>
                <w:rFonts w:cstheme="minorHAnsi"/>
              </w:rPr>
            </w:pPr>
            <w:r>
              <w:rPr>
                <w:rFonts w:cstheme="minorHAnsi"/>
              </w:rPr>
              <w:t>Responsible consumption and production</w:t>
            </w:r>
          </w:p>
        </w:tc>
        <w:tc>
          <w:tcPr>
            <w:tcW w:w="4768" w:type="dxa"/>
          </w:tcPr>
          <w:p w14:paraId="7E5B206F">
            <w:pPr>
              <w:tabs>
                <w:tab w:val="left" w:pos="709"/>
              </w:tabs>
              <w:spacing w:after="240"/>
              <w:jc w:val="both"/>
              <w:rPr>
                <w:rFonts w:cstheme="minorHAnsi"/>
              </w:rPr>
            </w:pPr>
            <w:r>
              <w:rPr>
                <w:rFonts w:cstheme="minorHAnsi"/>
              </w:rPr>
              <w:t xml:space="preserve">It is indirectly applicable through considerations such as waste management, pollution prevention, and Use of resources sustainably affects semi-arid and indigenous communities. </w:t>
            </w:r>
            <w:r>
              <w:rPr>
                <w:rFonts w:cstheme="minorHAnsi"/>
                <w:b/>
              </w:rPr>
              <w:t>Applicable</w:t>
            </w:r>
          </w:p>
        </w:tc>
      </w:tr>
      <w:tr w14:paraId="7D0DC5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7" w:hRule="atLeast"/>
        </w:trPr>
        <w:tc>
          <w:tcPr>
            <w:tcW w:w="1149" w:type="dxa"/>
          </w:tcPr>
          <w:p w14:paraId="389595EC">
            <w:pPr>
              <w:tabs>
                <w:tab w:val="left" w:pos="709"/>
              </w:tabs>
              <w:spacing w:after="240"/>
              <w:jc w:val="both"/>
              <w:rPr>
                <w:rFonts w:cstheme="minorHAnsi"/>
              </w:rPr>
            </w:pPr>
            <w:r>
              <w:rPr>
                <w:rFonts w:cstheme="minorHAnsi"/>
              </w:rPr>
              <w:t>SDG Goal 13</w:t>
            </w:r>
          </w:p>
        </w:tc>
        <w:tc>
          <w:tcPr>
            <w:tcW w:w="2395" w:type="dxa"/>
          </w:tcPr>
          <w:p w14:paraId="5DA56349">
            <w:pPr>
              <w:tabs>
                <w:tab w:val="left" w:pos="709"/>
              </w:tabs>
              <w:spacing w:after="240"/>
              <w:jc w:val="both"/>
              <w:rPr>
                <w:rFonts w:cstheme="minorHAnsi"/>
              </w:rPr>
            </w:pPr>
            <w:r>
              <w:rPr>
                <w:rFonts w:cstheme="minorHAnsi"/>
              </w:rPr>
              <w:t>Climate action</w:t>
            </w:r>
          </w:p>
        </w:tc>
        <w:tc>
          <w:tcPr>
            <w:tcW w:w="4768" w:type="dxa"/>
          </w:tcPr>
          <w:p w14:paraId="2CDEDE95">
            <w:pPr>
              <w:tabs>
                <w:tab w:val="left" w:pos="709"/>
              </w:tabs>
              <w:spacing w:after="240"/>
              <w:jc w:val="both"/>
              <w:rPr>
                <w:rFonts w:cstheme="minorHAnsi"/>
              </w:rPr>
            </w:pPr>
            <w:r>
              <w:rPr>
                <w:rFonts w:cstheme="minorHAnsi"/>
              </w:rPr>
              <w:t xml:space="preserve">Integrating climate action principles into the project aligns with SDG Goal 13's objectives by mitigating climate change impacts, </w:t>
            </w:r>
            <w:r>
              <w:rPr>
                <w:rFonts w:cstheme="minorHAnsi"/>
                <w:b/>
              </w:rPr>
              <w:t>Applicable</w:t>
            </w:r>
          </w:p>
        </w:tc>
      </w:tr>
      <w:tr w14:paraId="584986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1149" w:type="dxa"/>
          </w:tcPr>
          <w:p w14:paraId="5469767C">
            <w:pPr>
              <w:tabs>
                <w:tab w:val="left" w:pos="709"/>
              </w:tabs>
              <w:spacing w:after="240"/>
              <w:jc w:val="both"/>
              <w:rPr>
                <w:rFonts w:cstheme="minorHAnsi"/>
              </w:rPr>
            </w:pPr>
            <w:r>
              <w:rPr>
                <w:rFonts w:cstheme="minorHAnsi"/>
              </w:rPr>
              <w:t>SDG Goal 15</w:t>
            </w:r>
          </w:p>
        </w:tc>
        <w:tc>
          <w:tcPr>
            <w:tcW w:w="2395" w:type="dxa"/>
          </w:tcPr>
          <w:p w14:paraId="6CF368FC">
            <w:pPr>
              <w:tabs>
                <w:tab w:val="left" w:pos="709"/>
              </w:tabs>
              <w:spacing w:after="240"/>
              <w:jc w:val="both"/>
              <w:rPr>
                <w:rFonts w:cstheme="minorHAnsi"/>
              </w:rPr>
            </w:pPr>
            <w:r>
              <w:rPr>
                <w:rFonts w:cstheme="minorHAnsi"/>
              </w:rPr>
              <w:t>Life on land</w:t>
            </w:r>
          </w:p>
        </w:tc>
        <w:tc>
          <w:tcPr>
            <w:tcW w:w="4768" w:type="dxa"/>
          </w:tcPr>
          <w:p w14:paraId="510F7006">
            <w:pPr>
              <w:tabs>
                <w:tab w:val="left" w:pos="709"/>
              </w:tabs>
              <w:spacing w:after="240"/>
              <w:jc w:val="both"/>
              <w:rPr>
                <w:rFonts w:cstheme="minorHAnsi"/>
              </w:rPr>
            </w:pPr>
            <w:r>
              <w:rPr>
                <w:rFonts w:cstheme="minorHAnsi"/>
              </w:rPr>
              <w:t xml:space="preserve">Implementing Sustainable development and environmental conservation into the design and implementation of the projects in Alimaow helps achieve SDG 15. </w:t>
            </w:r>
            <w:r>
              <w:rPr>
                <w:rFonts w:cstheme="minorHAnsi"/>
                <w:b/>
              </w:rPr>
              <w:t>Applicable</w:t>
            </w:r>
          </w:p>
        </w:tc>
      </w:tr>
      <w:tr w14:paraId="72B579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1149" w:type="dxa"/>
          </w:tcPr>
          <w:p w14:paraId="17B3DAF4">
            <w:pPr>
              <w:tabs>
                <w:tab w:val="left" w:pos="709"/>
              </w:tabs>
              <w:spacing w:after="240"/>
              <w:jc w:val="both"/>
              <w:rPr>
                <w:rFonts w:cstheme="minorHAnsi"/>
              </w:rPr>
            </w:pPr>
            <w:r>
              <w:rPr>
                <w:rFonts w:cstheme="minorHAnsi"/>
              </w:rPr>
              <w:t>SDG Goal 16</w:t>
            </w:r>
          </w:p>
        </w:tc>
        <w:tc>
          <w:tcPr>
            <w:tcW w:w="2395" w:type="dxa"/>
          </w:tcPr>
          <w:p w14:paraId="69E37537">
            <w:pPr>
              <w:tabs>
                <w:tab w:val="left" w:pos="709"/>
              </w:tabs>
              <w:spacing w:after="240"/>
              <w:jc w:val="both"/>
              <w:rPr>
                <w:rFonts w:cstheme="minorHAnsi"/>
              </w:rPr>
            </w:pPr>
            <w:r>
              <w:rPr>
                <w:rFonts w:cstheme="minorHAnsi"/>
              </w:rPr>
              <w:t>Peace justice and strong institutions</w:t>
            </w:r>
          </w:p>
        </w:tc>
        <w:tc>
          <w:tcPr>
            <w:tcW w:w="4768" w:type="dxa"/>
            <w:shd w:val="clear" w:color="auto" w:fill="auto"/>
          </w:tcPr>
          <w:p w14:paraId="5614B01F">
            <w:pPr>
              <w:tabs>
                <w:tab w:val="left" w:pos="709"/>
              </w:tabs>
              <w:spacing w:after="240"/>
              <w:jc w:val="both"/>
              <w:rPr>
                <w:rFonts w:cstheme="minorHAnsi"/>
              </w:rPr>
            </w:pPr>
            <w:r>
              <w:rPr>
                <w:rFonts w:cstheme="minorHAnsi"/>
              </w:rPr>
              <w:t xml:space="preserve">Through the development of the informal settlement, it enhances economic opportunities, improving living conditions, and empowering communities. </w:t>
            </w:r>
            <w:r>
              <w:rPr>
                <w:rFonts w:cstheme="minorHAnsi"/>
                <w:b/>
              </w:rPr>
              <w:t>Applicable</w:t>
            </w:r>
          </w:p>
        </w:tc>
      </w:tr>
      <w:tr w14:paraId="539EEF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trPr>
        <w:tc>
          <w:tcPr>
            <w:tcW w:w="1149" w:type="dxa"/>
          </w:tcPr>
          <w:p w14:paraId="370C37C1">
            <w:pPr>
              <w:tabs>
                <w:tab w:val="left" w:pos="709"/>
              </w:tabs>
              <w:spacing w:after="240"/>
              <w:jc w:val="both"/>
              <w:rPr>
                <w:rFonts w:cstheme="minorHAnsi"/>
              </w:rPr>
            </w:pPr>
            <w:r>
              <w:rPr>
                <w:rFonts w:cstheme="minorHAnsi"/>
              </w:rPr>
              <w:t>SDG Goal 17</w:t>
            </w:r>
          </w:p>
        </w:tc>
        <w:tc>
          <w:tcPr>
            <w:tcW w:w="2395" w:type="dxa"/>
          </w:tcPr>
          <w:p w14:paraId="6AC3B6C3">
            <w:pPr>
              <w:tabs>
                <w:tab w:val="left" w:pos="709"/>
              </w:tabs>
              <w:spacing w:after="240"/>
              <w:jc w:val="both"/>
              <w:rPr>
                <w:rFonts w:cstheme="minorHAnsi"/>
              </w:rPr>
            </w:pPr>
            <w:r>
              <w:rPr>
                <w:rFonts w:cstheme="minorHAnsi"/>
              </w:rPr>
              <w:t>Partnerships for the goals</w:t>
            </w:r>
          </w:p>
        </w:tc>
        <w:tc>
          <w:tcPr>
            <w:tcW w:w="4768" w:type="dxa"/>
            <w:shd w:val="clear" w:color="auto" w:fill="auto"/>
          </w:tcPr>
          <w:p w14:paraId="714733E6">
            <w:pPr>
              <w:tabs>
                <w:tab w:val="left" w:pos="709"/>
              </w:tabs>
              <w:spacing w:after="240"/>
              <w:jc w:val="both"/>
              <w:rPr>
                <w:rFonts w:cstheme="minorHAnsi"/>
              </w:rPr>
            </w:pPr>
            <w:r>
              <w:rPr>
                <w:rFonts w:cstheme="minorHAnsi"/>
              </w:rPr>
              <w:t xml:space="preserve">Sanitation improvement and other project developments improve access to food, resilience to climate change, environmental sustainability, and social inclusion. </w:t>
            </w:r>
            <w:r>
              <w:rPr>
                <w:rFonts w:cstheme="minorHAnsi"/>
                <w:b/>
              </w:rPr>
              <w:t>Applicable</w:t>
            </w:r>
          </w:p>
        </w:tc>
      </w:tr>
    </w:tbl>
    <w:p w14:paraId="135004DE">
      <w:pPr>
        <w:pStyle w:val="117"/>
      </w:pPr>
      <w:bookmarkStart w:id="316" w:name="_Toc173301453"/>
      <w:bookmarkStart w:id="317" w:name="_Toc179904079"/>
      <w:bookmarkStart w:id="318" w:name="_Toc171493335"/>
      <w:r>
        <w:t xml:space="preserve">6.6 </w:t>
      </w:r>
      <w:r>
        <w:tab/>
      </w:r>
      <w:r>
        <w:t>Multilateral Environmental Agreements</w:t>
      </w:r>
      <w:bookmarkEnd w:id="309"/>
      <w:bookmarkEnd w:id="310"/>
      <w:bookmarkEnd w:id="316"/>
      <w:bookmarkEnd w:id="317"/>
      <w:bookmarkEnd w:id="318"/>
    </w:p>
    <w:p w14:paraId="7FD77796">
      <w:pPr>
        <w:tabs>
          <w:tab w:val="left" w:pos="709"/>
        </w:tabs>
        <w:spacing w:after="240"/>
        <w:ind w:left="709"/>
        <w:jc w:val="both"/>
      </w:pPr>
      <w:r>
        <w:t xml:space="preserve">Kenya is signatory to several international conventions and treaties that would need to be adhered to in implementing this project and are geared towards environmental protection and conservation. Some of these include; </w:t>
      </w:r>
    </w:p>
    <w:p w14:paraId="51629B42">
      <w:pPr>
        <w:tabs>
          <w:tab w:val="left" w:pos="709"/>
        </w:tabs>
        <w:spacing w:after="240"/>
        <w:ind w:left="709"/>
        <w:jc w:val="both"/>
        <w:rPr>
          <w:b/>
        </w:rPr>
      </w:pPr>
      <w:r>
        <w:rPr>
          <w:b/>
        </w:rPr>
        <w:t>United Nations Framework for Convention on Climate Change (UNFCCC)</w:t>
      </w:r>
    </w:p>
    <w:p w14:paraId="454291AA">
      <w:pPr>
        <w:tabs>
          <w:tab w:val="left" w:pos="709"/>
        </w:tabs>
        <w:spacing w:after="240"/>
        <w:ind w:left="709"/>
        <w:jc w:val="both"/>
      </w:pPr>
      <w:r>
        <w:t xml:space="preserve">The convention addresses the principles of common but differentiated responsibility and precautionary action. Its main objective is to achieve the stabilization of greenhouse gas concentrations in the atmosphere at a level that prevents dangerous anthropogenic interference with climate systems and within a specific timeframe, which will allow ecosystems to adapt naturally to climate change, to ensure that food production is not threatened and to enable economic development to proceed in a sustainable manner. Kenya signed the Kyoto protocol to the UNFCCC in 1997, which provided limitations and reduction commitments for developed countries and those in transition. Kyoto Protocol to the United Nations Framework Convention on Climate Change aim is to reduce or limit the emission of gases contributing to the "greenhouse effect" and causing climate change in the industrialized countries. United Nations Framework Convention on Climate Change (UNFCCC) aim is to achieve stabilization of greenhouse gas concentrations. </w:t>
      </w:r>
    </w:p>
    <w:p w14:paraId="3CFD83F0">
      <w:pPr>
        <w:tabs>
          <w:tab w:val="left" w:pos="709"/>
        </w:tabs>
        <w:spacing w:after="240"/>
        <w:ind w:left="709"/>
        <w:jc w:val="both"/>
      </w:pPr>
      <w:r>
        <w:t>In 2015, the Paris Agreement was adopted as a more comprehensive and inclusive successor to the Kyoto Protocol. Unlike Kyoto, the Paris Agreement includes commitments from all countries, both developed and developing, to reduce their greenhouse gas emissions, with the goal of limiting global warming to well below 2°C above pre-industrial levels, and ideally to 1.5°C.</w:t>
      </w:r>
    </w:p>
    <w:p w14:paraId="4EEB1A27">
      <w:pPr>
        <w:tabs>
          <w:tab w:val="left" w:pos="709"/>
        </w:tabs>
        <w:spacing w:after="240"/>
        <w:ind w:left="709"/>
        <w:jc w:val="both"/>
      </w:pPr>
      <w:r>
        <w:t>While the Kyoto Protocol is technically still in force, its role has been largely superseded by the Paris Agreement, which reflects the current international framework for addressing climate change.</w:t>
      </w:r>
    </w:p>
    <w:p w14:paraId="5B6DE519">
      <w:pPr>
        <w:tabs>
          <w:tab w:val="left" w:pos="709"/>
        </w:tabs>
        <w:spacing w:after="240"/>
        <w:ind w:left="709"/>
        <w:jc w:val="both"/>
      </w:pPr>
      <w:r>
        <w:t>The Paris Agreement aims to limit global warming to well below 2°C, preferably 1.5°C, by reducing greenhouse gas (GHG) emissions. Waste management is a significant GHG source, especially methane. The proposed project is relevant because it aligns with the Paris Agreement by reducing emissions through sustainable practices like recycling and waste-to-energy technologies. It supports national climate goals (NDCs), promotes innovation, and offers economic and environmental benefits. Additionally, the project should include monitoring and reporting to track its impact on emission reductions</w:t>
      </w:r>
    </w:p>
    <w:p w14:paraId="2C572894">
      <w:pPr>
        <w:tabs>
          <w:tab w:val="left" w:pos="709"/>
        </w:tabs>
        <w:spacing w:after="240"/>
        <w:ind w:left="709"/>
        <w:jc w:val="both"/>
      </w:pPr>
      <w:r>
        <w:rPr>
          <w:b/>
        </w:rPr>
        <w:t>Vienna Convention for the Protection of Ozone Layer</w:t>
      </w:r>
      <w:r>
        <w:t xml:space="preserve"> </w:t>
      </w:r>
    </w:p>
    <w:p w14:paraId="51F3DFC1">
      <w:pPr>
        <w:tabs>
          <w:tab w:val="left" w:pos="709"/>
        </w:tabs>
        <w:spacing w:after="240"/>
        <w:ind w:left="709"/>
        <w:jc w:val="both"/>
      </w:pPr>
      <w:r>
        <w:t xml:space="preserve">Inter-governmental negotiations for an international agreement to phase out ozone depleting substances concluded in March 1985 with the adoption of this convention to encourage intergovernmental co-operation on research, systematic observation of the ozone layer, monitoring of CFC production and the exchange of information. </w:t>
      </w:r>
    </w:p>
    <w:p w14:paraId="26BC8A83">
      <w:pPr>
        <w:tabs>
          <w:tab w:val="left" w:pos="709"/>
        </w:tabs>
        <w:spacing w:after="240"/>
        <w:ind w:left="709"/>
        <w:jc w:val="both"/>
      </w:pPr>
      <w:r>
        <w:t>The treaty could be triggered in the proposed FSTP project if the project involves activities that could release ozone-depleting substances (ODS), such as the use of certain chemicals in treatment processes, or the disposal of equipment containing ODS. Therefore, both the proponent and the contractor are obliged to minimize or phase out the generation of CFCs into the atmosphere during the project cycle.</w:t>
      </w:r>
    </w:p>
    <w:p w14:paraId="2A1A87C7">
      <w:pPr>
        <w:tabs>
          <w:tab w:val="left" w:pos="709"/>
        </w:tabs>
        <w:spacing w:after="240"/>
        <w:ind w:left="709"/>
        <w:jc w:val="both"/>
      </w:pPr>
      <w:r>
        <w:rPr>
          <w:b/>
        </w:rPr>
        <w:t>Convention on Biological Diversity (1992)</w:t>
      </w:r>
      <w:r>
        <w:t xml:space="preserve"> </w:t>
      </w:r>
    </w:p>
    <w:p w14:paraId="1D9D5CE8">
      <w:pPr>
        <w:tabs>
          <w:tab w:val="left" w:pos="709"/>
        </w:tabs>
        <w:spacing w:after="240"/>
        <w:ind w:left="709"/>
        <w:jc w:val="both"/>
      </w:pPr>
      <w:r>
        <w:t xml:space="preserve">The convention promotes the protection of ecosystems and natural habitats, respects the traditional lifestyles of indigenous communities, and promotes the sustainable use of resources. </w:t>
      </w:r>
    </w:p>
    <w:p w14:paraId="5421494D">
      <w:pPr>
        <w:tabs>
          <w:tab w:val="left" w:pos="709"/>
        </w:tabs>
        <w:spacing w:after="240"/>
        <w:ind w:left="709"/>
        <w:jc w:val="both"/>
      </w:pPr>
      <w:r>
        <w:t xml:space="preserve">The Fecal Sludge Treatment Plant (FSTP) project in Wajir could trigger the Convention on Biological Diversity (CBD) and its Cartagena Protocol as it may impact local biodiversity, such as through habitat disruption and pollution. The project activities especially during construction will impact negatively to the flora and fauna of the respective construction areas. </w:t>
      </w:r>
    </w:p>
    <w:p w14:paraId="56D79C02">
      <w:pPr>
        <w:tabs>
          <w:tab w:val="left" w:pos="709"/>
        </w:tabs>
        <w:spacing w:after="240"/>
        <w:ind w:left="709"/>
        <w:jc w:val="both"/>
      </w:pPr>
      <w:r>
        <w:t>As such both the proponent and the contractor must ensure that the activities of the proposed project do not affect the immediate ecosystems negatively and that the livelihoods of the local people are not negatively affected but rather enhanced.</w:t>
      </w:r>
    </w:p>
    <w:p w14:paraId="2888D3D7">
      <w:pPr>
        <w:tabs>
          <w:tab w:val="left" w:pos="709"/>
        </w:tabs>
        <w:spacing w:after="240"/>
        <w:ind w:left="709"/>
        <w:jc w:val="both"/>
        <w:rPr>
          <w:b/>
        </w:rPr>
      </w:pPr>
      <w:r>
        <w:rPr>
          <w:b/>
        </w:rPr>
        <w:t xml:space="preserve">African Union- Agenda 2063 </w:t>
      </w:r>
    </w:p>
    <w:p w14:paraId="2433B427">
      <w:pPr>
        <w:tabs>
          <w:tab w:val="left" w:pos="709"/>
        </w:tabs>
        <w:spacing w:after="240"/>
        <w:ind w:left="709"/>
        <w:jc w:val="both"/>
      </w:pPr>
      <w:r>
        <w:t>“A prosperous Africa based on inclusive growth and sustainable development” requires that Africa makes significant investments in education with the aim of developing human and social capital through an education and skills revolution emphasizing innovation, science and technology.</w:t>
      </w:r>
    </w:p>
    <w:p w14:paraId="6E92F5DC">
      <w:pPr>
        <w:tabs>
          <w:tab w:val="left" w:pos="709"/>
        </w:tabs>
        <w:spacing w:after="240"/>
        <w:ind w:left="709"/>
        <w:jc w:val="both"/>
        <w:rPr>
          <w:b/>
        </w:rPr>
      </w:pPr>
      <w:r>
        <w:rPr>
          <w:b/>
        </w:rPr>
        <w:t>African Charter on the Rights and Welfare of the Child.</w:t>
      </w:r>
    </w:p>
    <w:p w14:paraId="16EEF3E2">
      <w:pPr>
        <w:tabs>
          <w:tab w:val="left" w:pos="709"/>
        </w:tabs>
        <w:spacing w:after="240"/>
        <w:ind w:left="709"/>
        <w:jc w:val="both"/>
      </w:pPr>
      <w:r>
        <w:t>It calls for protection against abuse and bad treatment, negative social and cultural practices, and all forms of exploitation. Article 2(5) &amp; (6) of the Constitution ratifies international treaties and conventions to form part of Kenyan law.</w:t>
      </w:r>
    </w:p>
    <w:p w14:paraId="680EDB6C">
      <w:pPr>
        <w:tabs>
          <w:tab w:val="left" w:pos="709"/>
        </w:tabs>
        <w:spacing w:after="240"/>
        <w:ind w:left="709"/>
        <w:jc w:val="both"/>
        <w:rPr>
          <w:b/>
        </w:rPr>
      </w:pPr>
      <w:r>
        <w:rPr>
          <w:b/>
        </w:rPr>
        <w:t xml:space="preserve">Montreal Protocol on Substances that Deplete the Ozone Layer (1987) </w:t>
      </w:r>
    </w:p>
    <w:p w14:paraId="1D04B287">
      <w:pPr>
        <w:tabs>
          <w:tab w:val="left" w:pos="709"/>
        </w:tabs>
        <w:spacing w:after="240"/>
        <w:ind w:left="709"/>
        <w:jc w:val="both"/>
      </w:pPr>
      <w:r>
        <w:t>The Montreal Protocol on Substances that Deplete the Ozone Layer, adopted in 1987 and enforced in 1989, stands as a testament to the global commitment to safeguard Earth's delicate ozone layer. This monumental international agreement signifies a decisive move to tackle the urgent issue of ozone layer depletion by recognizing the imperative need to regulate and control the production and emission of ozone-depleting substances (ODS). The primary objective of the Montreal Protocol is to protect the ozone layer by implementing precautionary measures to mitigate global emissions of ODS. This objective entails a comprehensive strategy to address ozone depletion, acknowledging the pivotal role of the ozone layer in shielding life on Earth from the harmful effects of ultraviolet (UV) radiation originating from the sun.</w:t>
      </w:r>
    </w:p>
    <w:p w14:paraId="41072C96">
      <w:pPr>
        <w:tabs>
          <w:tab w:val="left" w:pos="709"/>
        </w:tabs>
        <w:spacing w:after="240"/>
        <w:ind w:left="709"/>
        <w:jc w:val="both"/>
      </w:pPr>
      <w:r>
        <w:t>The Wajir Fecal Sludge Treatment Plant (FSTP) project could trigger the Montreal Protocol as it involves the use, release, and disposal of ozone-depleting substances (ODS) in chemical processes, and waste handling. To comply, the project contractor must phase out ODS, adopt safer alternatives, and ensure proper disposal practices to protect the ozone layer.</w:t>
      </w:r>
    </w:p>
    <w:p w14:paraId="584194EC">
      <w:pPr>
        <w:pStyle w:val="117"/>
      </w:pPr>
      <w:bookmarkStart w:id="319" w:name="_Toc171493336"/>
      <w:bookmarkStart w:id="320" w:name="_Toc173301454"/>
      <w:bookmarkStart w:id="321" w:name="_Toc179904080"/>
      <w:bookmarkStart w:id="322" w:name="_Toc163416657"/>
      <w:bookmarkStart w:id="323" w:name="_Toc163483542"/>
      <w:r>
        <w:t xml:space="preserve">6.7 </w:t>
      </w:r>
      <w:r>
        <w:tab/>
      </w:r>
      <w:r>
        <w:t>World Bank Operational Safeguards</w:t>
      </w:r>
      <w:bookmarkEnd w:id="319"/>
      <w:bookmarkEnd w:id="320"/>
      <w:bookmarkEnd w:id="321"/>
      <w:bookmarkEnd w:id="322"/>
      <w:bookmarkEnd w:id="323"/>
      <w:r>
        <w:t xml:space="preserve"> </w:t>
      </w:r>
    </w:p>
    <w:tbl>
      <w:tblPr>
        <w:tblStyle w:val="86"/>
        <w:tblW w:w="0" w:type="auto"/>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43"/>
        <w:gridCol w:w="2835"/>
        <w:gridCol w:w="3634"/>
      </w:tblGrid>
      <w:tr w14:paraId="4FF9A3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1843" w:type="dxa"/>
            <w:shd w:val="clear" w:color="auto" w:fill="DEEAF6" w:themeFill="accent1" w:themeFillTint="33"/>
          </w:tcPr>
          <w:p w14:paraId="5B4E277D">
            <w:pPr>
              <w:tabs>
                <w:tab w:val="left" w:pos="709"/>
              </w:tabs>
              <w:spacing w:after="240"/>
              <w:jc w:val="both"/>
              <w:rPr>
                <w:rFonts w:cstheme="minorHAnsi"/>
                <w:b/>
              </w:rPr>
            </w:pPr>
            <w:r>
              <w:rPr>
                <w:rFonts w:cstheme="minorHAnsi"/>
                <w:b/>
              </w:rPr>
              <w:t>Instrument</w:t>
            </w:r>
          </w:p>
        </w:tc>
        <w:tc>
          <w:tcPr>
            <w:tcW w:w="2835" w:type="dxa"/>
            <w:shd w:val="clear" w:color="auto" w:fill="DEEAF6" w:themeFill="accent1" w:themeFillTint="33"/>
          </w:tcPr>
          <w:p w14:paraId="604DD36E">
            <w:pPr>
              <w:tabs>
                <w:tab w:val="left" w:pos="709"/>
              </w:tabs>
              <w:spacing w:after="240"/>
              <w:jc w:val="both"/>
              <w:rPr>
                <w:rFonts w:cstheme="minorHAnsi"/>
                <w:b/>
              </w:rPr>
            </w:pPr>
            <w:r>
              <w:rPr>
                <w:rFonts w:cstheme="minorHAnsi"/>
                <w:b/>
              </w:rPr>
              <w:t>Objective</w:t>
            </w:r>
          </w:p>
        </w:tc>
        <w:tc>
          <w:tcPr>
            <w:tcW w:w="3634" w:type="dxa"/>
            <w:shd w:val="clear" w:color="auto" w:fill="DEEAF6" w:themeFill="accent1" w:themeFillTint="33"/>
          </w:tcPr>
          <w:p w14:paraId="24B507D1">
            <w:pPr>
              <w:tabs>
                <w:tab w:val="left" w:pos="709"/>
              </w:tabs>
              <w:spacing w:after="240"/>
              <w:jc w:val="both"/>
              <w:rPr>
                <w:rFonts w:cstheme="minorHAnsi"/>
                <w:b/>
              </w:rPr>
            </w:pPr>
            <w:r>
              <w:rPr>
                <w:rFonts w:cstheme="minorHAnsi"/>
                <w:b/>
              </w:rPr>
              <w:t>Application</w:t>
            </w:r>
          </w:p>
        </w:tc>
      </w:tr>
      <w:tr w14:paraId="359EF6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Pr>
          <w:p w14:paraId="36F430C2">
            <w:pPr>
              <w:tabs>
                <w:tab w:val="left" w:pos="709"/>
              </w:tabs>
              <w:spacing w:after="240"/>
              <w:jc w:val="both"/>
              <w:rPr>
                <w:rFonts w:cstheme="minorHAnsi"/>
              </w:rPr>
            </w:pPr>
            <w:r>
              <w:rPr>
                <w:rFonts w:cstheme="minorHAnsi"/>
              </w:rPr>
              <w:t>Operational Policy (OP)/Bank Procedure (BP) 4.01, 2001</w:t>
            </w:r>
          </w:p>
        </w:tc>
        <w:tc>
          <w:tcPr>
            <w:tcW w:w="2835" w:type="dxa"/>
          </w:tcPr>
          <w:p w14:paraId="50FF6169">
            <w:pPr>
              <w:tabs>
                <w:tab w:val="left" w:pos="709"/>
              </w:tabs>
              <w:spacing w:after="240"/>
              <w:jc w:val="both"/>
              <w:rPr>
                <w:rFonts w:cstheme="minorHAnsi"/>
              </w:rPr>
            </w:pPr>
            <w:r>
              <w:rPr>
                <w:rFonts w:cstheme="minorHAnsi"/>
              </w:rPr>
              <w:t>Environmental Assessment; Ensure that projects are environmentally sound and sustainable.</w:t>
            </w:r>
          </w:p>
        </w:tc>
        <w:tc>
          <w:tcPr>
            <w:tcW w:w="3634" w:type="dxa"/>
          </w:tcPr>
          <w:p w14:paraId="7048D84D">
            <w:pPr>
              <w:tabs>
                <w:tab w:val="left" w:pos="709"/>
              </w:tabs>
              <w:spacing w:after="240"/>
              <w:jc w:val="both"/>
              <w:rPr>
                <w:rFonts w:cstheme="minorHAnsi"/>
              </w:rPr>
            </w:pPr>
            <w:r>
              <w:rPr>
                <w:rFonts w:cstheme="minorHAnsi"/>
              </w:rPr>
              <w:t xml:space="preserve">The WSTP project was identified as a Category A </w:t>
            </w:r>
          </w:p>
        </w:tc>
      </w:tr>
      <w:tr w14:paraId="46A936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Pr>
          <w:p w14:paraId="2E519F0C">
            <w:pPr>
              <w:tabs>
                <w:tab w:val="left" w:pos="709"/>
              </w:tabs>
              <w:spacing w:after="240"/>
              <w:jc w:val="both"/>
              <w:rPr>
                <w:rFonts w:cstheme="minorHAnsi"/>
              </w:rPr>
            </w:pPr>
            <w:r>
              <w:rPr>
                <w:rFonts w:cstheme="minorHAnsi"/>
              </w:rPr>
              <w:t>Operational Policy (OP)/Bank Procedure (BP) 4.04</w:t>
            </w:r>
          </w:p>
        </w:tc>
        <w:tc>
          <w:tcPr>
            <w:tcW w:w="2835" w:type="dxa"/>
          </w:tcPr>
          <w:p w14:paraId="0C4F58CB">
            <w:pPr>
              <w:tabs>
                <w:tab w:val="left" w:pos="709"/>
              </w:tabs>
              <w:spacing w:after="240"/>
              <w:jc w:val="both"/>
              <w:rPr>
                <w:rFonts w:cstheme="minorHAnsi"/>
              </w:rPr>
            </w:pPr>
            <w:r>
              <w:rPr>
                <w:rFonts w:cstheme="minorHAnsi"/>
              </w:rPr>
              <w:t>Natural Habitats; Protect and conserve natural habitats and biodiversity.</w:t>
            </w:r>
          </w:p>
        </w:tc>
        <w:tc>
          <w:tcPr>
            <w:tcW w:w="3634" w:type="dxa"/>
          </w:tcPr>
          <w:p w14:paraId="5B0E1785">
            <w:pPr>
              <w:tabs>
                <w:tab w:val="left" w:pos="709"/>
              </w:tabs>
              <w:spacing w:after="240"/>
              <w:jc w:val="both"/>
              <w:rPr>
                <w:rFonts w:cstheme="minorHAnsi"/>
                <w:highlight w:val="yellow"/>
              </w:rPr>
            </w:pPr>
            <w:r>
              <w:rPr>
                <w:rFonts w:cstheme="minorHAnsi"/>
              </w:rPr>
              <w:t>Sets out the requirements and procedures for environmental assessment and management in World Bank-financed projects.</w:t>
            </w:r>
          </w:p>
        </w:tc>
      </w:tr>
      <w:tr w14:paraId="6C047D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Pr>
          <w:p w14:paraId="64AA8530">
            <w:pPr>
              <w:tabs>
                <w:tab w:val="left" w:pos="709"/>
              </w:tabs>
              <w:spacing w:after="240"/>
              <w:jc w:val="both"/>
              <w:rPr>
                <w:rFonts w:cstheme="minorHAnsi"/>
              </w:rPr>
            </w:pPr>
            <w:r>
              <w:rPr>
                <w:rFonts w:cstheme="minorHAnsi"/>
              </w:rPr>
              <w:t>Operational Policy (OP)/Bank Procedure (BP) 4.10</w:t>
            </w:r>
          </w:p>
        </w:tc>
        <w:tc>
          <w:tcPr>
            <w:tcW w:w="2835" w:type="dxa"/>
          </w:tcPr>
          <w:p w14:paraId="7CC47885">
            <w:pPr>
              <w:tabs>
                <w:tab w:val="left" w:pos="709"/>
              </w:tabs>
              <w:spacing w:after="240"/>
              <w:jc w:val="both"/>
              <w:rPr>
                <w:rFonts w:cstheme="minorHAnsi"/>
                <w:bCs/>
              </w:rPr>
            </w:pPr>
            <w:r>
              <w:rPr>
                <w:rFonts w:cstheme="minorHAnsi"/>
                <w:bCs/>
              </w:rPr>
              <w:t xml:space="preserve">Indigenous Peoples; </w:t>
            </w:r>
            <w:r>
              <w:rPr>
                <w:rFonts w:cstheme="minorHAnsi"/>
              </w:rPr>
              <w:t>Ensure that the development process fully respects the dignity, human rights, economies, and cultures of Indigenous Peoples</w:t>
            </w:r>
          </w:p>
          <w:p w14:paraId="185090B6">
            <w:pPr>
              <w:tabs>
                <w:tab w:val="left" w:pos="709"/>
              </w:tabs>
              <w:spacing w:after="240"/>
              <w:jc w:val="both"/>
              <w:rPr>
                <w:rFonts w:cstheme="minorHAnsi"/>
              </w:rPr>
            </w:pPr>
          </w:p>
        </w:tc>
        <w:tc>
          <w:tcPr>
            <w:tcW w:w="3634" w:type="dxa"/>
          </w:tcPr>
          <w:p w14:paraId="65CC5C79">
            <w:pPr>
              <w:tabs>
                <w:tab w:val="left" w:pos="709"/>
              </w:tabs>
              <w:spacing w:after="240"/>
              <w:jc w:val="both"/>
              <w:rPr>
                <w:rFonts w:cstheme="minorHAnsi"/>
                <w:highlight w:val="yellow"/>
              </w:rPr>
            </w:pPr>
            <w:r>
              <w:rPr>
                <w:rFonts w:cstheme="minorHAnsi"/>
              </w:rPr>
              <w:t xml:space="preserve">The Somali and Borana communities are among the earliest known inhabitants of the area. These two communities are considered indigenous. In the </w:t>
            </w:r>
            <w:r>
              <w:rPr>
                <w:rFonts w:cstheme="minorHAnsi"/>
                <w:bCs/>
              </w:rPr>
              <w:t>Wajir FSTP project</w:t>
            </w:r>
            <w:r>
              <w:rPr>
                <w:rFonts w:cstheme="minorHAnsi"/>
              </w:rPr>
              <w:t>, this can be applied by assessing the presence and needs of Indigenous Peoples, engaging them in decision-making, ensuring cultural sensitivity, sharing project benefits, and implementing monitoring and capacity-building initiatives. These actions will help foster a respectful and inclusive approach to project development.</w:t>
            </w:r>
          </w:p>
        </w:tc>
      </w:tr>
      <w:tr w14:paraId="23B887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Pr>
          <w:p w14:paraId="0347C9AB">
            <w:pPr>
              <w:tabs>
                <w:tab w:val="left" w:pos="709"/>
              </w:tabs>
              <w:spacing w:after="240"/>
              <w:jc w:val="both"/>
              <w:rPr>
                <w:rFonts w:cstheme="minorHAnsi"/>
              </w:rPr>
            </w:pPr>
            <w:r>
              <w:rPr>
                <w:rFonts w:cstheme="minorHAnsi"/>
              </w:rPr>
              <w:t>The Bank's Operational Policy 4.11</w:t>
            </w:r>
          </w:p>
        </w:tc>
        <w:tc>
          <w:tcPr>
            <w:tcW w:w="2835" w:type="dxa"/>
          </w:tcPr>
          <w:p w14:paraId="74105EBD">
            <w:pPr>
              <w:tabs>
                <w:tab w:val="left" w:pos="709"/>
              </w:tabs>
              <w:spacing w:after="240"/>
              <w:jc w:val="both"/>
              <w:rPr>
                <w:rFonts w:cstheme="minorHAnsi"/>
                <w:bCs/>
              </w:rPr>
            </w:pPr>
            <w:r>
              <w:rPr>
                <w:rFonts w:cstheme="minorHAnsi"/>
                <w:bCs/>
              </w:rPr>
              <w:t>Physical Cultural Resources;</w:t>
            </w:r>
            <w:r>
              <w:rPr>
                <w:rFonts w:cstheme="minorHAnsi"/>
              </w:rPr>
              <w:t xml:space="preserve"> aims to preserve cultural heritage and prevent damage during development projects.</w:t>
            </w:r>
          </w:p>
        </w:tc>
        <w:tc>
          <w:tcPr>
            <w:tcW w:w="3634" w:type="dxa"/>
          </w:tcPr>
          <w:p w14:paraId="330F6CA7">
            <w:pPr>
              <w:tabs>
                <w:tab w:val="left" w:pos="709"/>
              </w:tabs>
              <w:spacing w:after="240"/>
              <w:jc w:val="both"/>
              <w:rPr>
                <w:rFonts w:cstheme="minorHAnsi"/>
              </w:rPr>
            </w:pPr>
            <w:r>
              <w:rPr>
                <w:rFonts w:cstheme="minorHAnsi"/>
              </w:rPr>
              <w:t>Wajir is inhabited by three ethnic Somali clans namely the Degodia, Ajuran and Ogaden. They have cultural sites for cultural ceremonies such as the guji, Traditional burial sites are sacred and hold cultural significance for the Somali community, Existing National museum, War cemetery grounds all exist in Wajir</w:t>
            </w:r>
          </w:p>
          <w:p w14:paraId="71C8141D">
            <w:pPr>
              <w:tabs>
                <w:tab w:val="left" w:pos="709"/>
              </w:tabs>
              <w:spacing w:after="240"/>
              <w:jc w:val="both"/>
              <w:rPr>
                <w:rFonts w:cstheme="minorHAnsi"/>
              </w:rPr>
            </w:pPr>
            <w:r>
              <w:rPr>
                <w:rFonts w:cstheme="minorHAnsi"/>
              </w:rPr>
              <w:t xml:space="preserve">In the </w:t>
            </w:r>
            <w:r>
              <w:rPr>
                <w:rStyle w:val="84"/>
                <w:rFonts w:cstheme="minorHAnsi"/>
                <w:b w:val="0"/>
              </w:rPr>
              <w:t>Wajir FSTP project</w:t>
            </w:r>
            <w:r>
              <w:rPr>
                <w:rFonts w:cstheme="minorHAnsi"/>
              </w:rPr>
              <w:t xml:space="preserve">, recommended actions under the chance find </w:t>
            </w:r>
            <w:r>
              <w:rPr>
                <w:rFonts w:cstheme="minorHAnsi"/>
              </w:rPr>
              <w:fldChar w:fldCharType="begin"/>
            </w:r>
            <w:r>
              <w:rPr>
                <w:rFonts w:cstheme="minorHAnsi"/>
              </w:rPr>
              <w:instrText xml:space="preserve"> REF _Ref179556623 \h </w:instrText>
            </w:r>
            <w:r>
              <w:rPr>
                <w:rFonts w:cstheme="minorHAnsi"/>
              </w:rPr>
              <w:fldChar w:fldCharType="separate"/>
            </w:r>
            <w:r>
              <w:rPr>
                <w:rFonts w:cstheme="minorHAnsi"/>
              </w:rPr>
              <w:t>Appendix 9</w:t>
            </w:r>
            <w:r>
              <w:rPr>
                <w:rFonts w:cstheme="minorHAnsi"/>
              </w:rPr>
              <w:fldChar w:fldCharType="end"/>
            </w:r>
            <w:r>
              <w:rPr>
                <w:rFonts w:cstheme="minorHAnsi"/>
              </w:rPr>
              <w:t xml:space="preserve"> will help ensure that cultural resources are respected and protected throughout the project's implementation.</w:t>
            </w:r>
          </w:p>
        </w:tc>
      </w:tr>
      <w:tr w14:paraId="64CAE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843" w:type="dxa"/>
          </w:tcPr>
          <w:p w14:paraId="792E9556">
            <w:pPr>
              <w:tabs>
                <w:tab w:val="left" w:pos="709"/>
              </w:tabs>
              <w:spacing w:after="240"/>
              <w:jc w:val="both"/>
              <w:rPr>
                <w:rFonts w:cstheme="minorHAnsi"/>
              </w:rPr>
            </w:pPr>
            <w:r>
              <w:rPr>
                <w:rFonts w:cstheme="minorHAnsi"/>
              </w:rPr>
              <w:t>World Bank Safeguard Policy BP 17.50, 2001</w:t>
            </w:r>
          </w:p>
        </w:tc>
        <w:tc>
          <w:tcPr>
            <w:tcW w:w="2835" w:type="dxa"/>
          </w:tcPr>
          <w:p w14:paraId="0B24032D">
            <w:pPr>
              <w:tabs>
                <w:tab w:val="left" w:pos="709"/>
              </w:tabs>
              <w:spacing w:after="240"/>
              <w:jc w:val="both"/>
              <w:rPr>
                <w:rFonts w:cstheme="minorHAnsi"/>
              </w:rPr>
            </w:pPr>
            <w:r>
              <w:rPr>
                <w:rFonts w:cstheme="minorHAnsi"/>
              </w:rPr>
              <w:t>Public Disclosure</w:t>
            </w:r>
          </w:p>
        </w:tc>
        <w:tc>
          <w:tcPr>
            <w:tcW w:w="3634" w:type="dxa"/>
          </w:tcPr>
          <w:p w14:paraId="7F9A7D6E">
            <w:pPr>
              <w:tabs>
                <w:tab w:val="left" w:pos="709"/>
              </w:tabs>
              <w:spacing w:after="240"/>
              <w:jc w:val="both"/>
              <w:rPr>
                <w:rFonts w:cstheme="minorHAnsi"/>
              </w:rPr>
            </w:pPr>
            <w:r>
              <w:rPr>
                <w:rFonts w:cstheme="minorHAnsi"/>
              </w:rPr>
              <w:t>The proposed project incorporated public participation and stakeholder consultation</w:t>
            </w:r>
          </w:p>
        </w:tc>
      </w:tr>
    </w:tbl>
    <w:p w14:paraId="67245C7F">
      <w:pPr>
        <w:tabs>
          <w:tab w:val="left" w:pos="709"/>
        </w:tabs>
        <w:jc w:val="both"/>
      </w:pPr>
    </w:p>
    <w:p w14:paraId="21AC8C13">
      <w:pPr>
        <w:tabs>
          <w:tab w:val="left" w:pos="709"/>
        </w:tabs>
        <w:jc w:val="both"/>
        <w:sectPr>
          <w:headerReference r:id="rId27" w:type="default"/>
          <w:pgSz w:w="11906" w:h="16838"/>
          <w:pgMar w:top="1440" w:right="1440" w:bottom="1440" w:left="1440" w:header="708" w:footer="708" w:gutter="0"/>
          <w:cols w:space="708" w:num="1"/>
          <w:docGrid w:linePitch="360" w:charSpace="0"/>
        </w:sectPr>
      </w:pPr>
    </w:p>
    <w:p w14:paraId="2C96341A">
      <w:pPr>
        <w:pStyle w:val="2"/>
      </w:pPr>
      <w:bookmarkStart w:id="324" w:name="_Toc179904081"/>
      <w:r>
        <w:t xml:space="preserve">7. </w:t>
      </w:r>
      <w:r>
        <w:tab/>
      </w:r>
      <w:r>
        <w:t>PUBLIC PARTICIPATION AND STAKEHOLDER ENGAGEMENT</w:t>
      </w:r>
      <w:bookmarkEnd w:id="254"/>
      <w:bookmarkEnd w:id="255"/>
      <w:bookmarkEnd w:id="256"/>
      <w:bookmarkEnd w:id="324"/>
    </w:p>
    <w:p w14:paraId="6879DA39">
      <w:pPr>
        <w:ind w:left="709"/>
        <w:jc w:val="both"/>
      </w:pPr>
      <w:r>
        <w:t>The assessment involved consultations with relevant stakeholders in target Project area as per social assessment requirements of cultural appropriateness and FPIC.   The aim of stakeholder consultations was to give a platform for information sharing and opinion gathering in relation to the proposed Project.</w:t>
      </w:r>
    </w:p>
    <w:p w14:paraId="195987DD">
      <w:pPr>
        <w:pStyle w:val="117"/>
      </w:pPr>
      <w:bookmarkStart w:id="325" w:name="1.22_Legal_and_Policy_Provisions_for_Sta"/>
      <w:bookmarkEnd w:id="325"/>
      <w:bookmarkStart w:id="326" w:name="_bookmark89"/>
      <w:bookmarkEnd w:id="326"/>
      <w:bookmarkStart w:id="327" w:name="_Toc165561326"/>
      <w:bookmarkStart w:id="328" w:name="_Toc170723016"/>
      <w:bookmarkStart w:id="329" w:name="_Toc163820047"/>
      <w:bookmarkStart w:id="330" w:name="_Toc179904082"/>
      <w:r>
        <w:t xml:space="preserve">7.1 </w:t>
      </w:r>
      <w:r>
        <w:tab/>
      </w:r>
      <w:r>
        <w:t>Objectives of The Consultation and Public Participation (CPP)</w:t>
      </w:r>
      <w:bookmarkEnd w:id="327"/>
      <w:bookmarkEnd w:id="328"/>
      <w:bookmarkEnd w:id="329"/>
      <w:bookmarkEnd w:id="330"/>
    </w:p>
    <w:p w14:paraId="1ABDE887">
      <w:pPr>
        <w:pStyle w:val="120"/>
        <w:tabs>
          <w:tab w:val="left" w:pos="709"/>
        </w:tabs>
        <w:spacing w:before="100" w:beforeAutospacing="1" w:after="100" w:afterAutospacing="1" w:line="240" w:lineRule="auto"/>
        <w:ind w:left="709"/>
        <w:rPr>
          <w:sz w:val="22"/>
          <w:szCs w:val="22"/>
        </w:rPr>
      </w:pPr>
      <w:r>
        <w:rPr>
          <w:sz w:val="22"/>
          <w:szCs w:val="22"/>
        </w:rPr>
        <w:t>The objective of the consultation and public participation was to:</w:t>
      </w:r>
    </w:p>
    <w:p w14:paraId="028E4236">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Disseminate and inform the stakeholders about the project with special reference to its key components and location.</w:t>
      </w:r>
    </w:p>
    <w:p w14:paraId="268EC9D1">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Gather comments, suggestions and concerns of the interested and affected parties.</w:t>
      </w:r>
    </w:p>
    <w:p w14:paraId="4EE1133F">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Sensitize the community on the project</w:t>
      </w:r>
    </w:p>
    <w:p w14:paraId="2BAC2AD5">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Incorporate the information collected in the ESIA study</w:t>
      </w:r>
    </w:p>
    <w:p w14:paraId="06F40A25">
      <w:pPr>
        <w:pStyle w:val="3"/>
      </w:pPr>
      <w:bookmarkStart w:id="331" w:name="_Toc13299"/>
      <w:bookmarkStart w:id="332" w:name="_Toc164868052"/>
      <w:bookmarkStart w:id="333" w:name="_Toc170723017"/>
      <w:bookmarkStart w:id="334" w:name="_Toc179904083"/>
      <w:bookmarkStart w:id="335" w:name="_Toc120699639"/>
      <w:r>
        <w:t xml:space="preserve">7.2 </w:t>
      </w:r>
      <w:r>
        <w:tab/>
      </w:r>
      <w:r>
        <w:t>Methods used for consultation and public participation</w:t>
      </w:r>
      <w:bookmarkEnd w:id="331"/>
      <w:bookmarkEnd w:id="332"/>
      <w:bookmarkEnd w:id="333"/>
      <w:bookmarkEnd w:id="334"/>
      <w:bookmarkEnd w:id="335"/>
    </w:p>
    <w:p w14:paraId="5B35DBF8">
      <w:pPr>
        <w:tabs>
          <w:tab w:val="left" w:pos="709"/>
        </w:tabs>
        <w:spacing w:line="240" w:lineRule="auto"/>
        <w:jc w:val="both"/>
      </w:pPr>
      <w:r>
        <w:tab/>
      </w:r>
      <w:r>
        <w:t>The public consultation and participation was conducted through:</w:t>
      </w:r>
    </w:p>
    <w:p w14:paraId="3C44B194">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Key stakeholder interviews and meetings;</w:t>
      </w:r>
    </w:p>
    <w:p w14:paraId="325D579A">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Public Meetings;</w:t>
      </w:r>
    </w:p>
    <w:p w14:paraId="76A6F5F0">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Questionnaires</w:t>
      </w:r>
    </w:p>
    <w:p w14:paraId="05F43D79">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Focused group discussions</w:t>
      </w:r>
    </w:p>
    <w:p w14:paraId="2A37F534">
      <w:pPr>
        <w:pStyle w:val="117"/>
      </w:pPr>
      <w:bookmarkStart w:id="336" w:name="_Toc170723018"/>
      <w:bookmarkStart w:id="337" w:name="_Toc179904084"/>
      <w:r>
        <w:t xml:space="preserve">7.3 </w:t>
      </w:r>
      <w:r>
        <w:tab/>
      </w:r>
      <w:r>
        <w:t>Stakeholder Consultations</w:t>
      </w:r>
      <w:bookmarkEnd w:id="336"/>
      <w:bookmarkEnd w:id="337"/>
    </w:p>
    <w:p w14:paraId="3FC682BD">
      <w:pPr>
        <w:tabs>
          <w:tab w:val="left" w:pos="709"/>
        </w:tabs>
        <w:spacing w:line="240" w:lineRule="auto"/>
        <w:ind w:left="709"/>
        <w:jc w:val="both"/>
      </w:pPr>
      <w:r>
        <w:t>The assessment involved consultations with relevant stakeholders in target Project area.   The aim of stakeholder consultations was to give a platform for information sharing and opinion gathering in relation to the proposed Project. Consultations were done in form of public meetings and stakeholder engagement meetings</w:t>
      </w:r>
    </w:p>
    <w:p w14:paraId="3D926500">
      <w:pPr>
        <w:tabs>
          <w:tab w:val="left" w:pos="709"/>
        </w:tabs>
        <w:spacing w:line="240" w:lineRule="auto"/>
        <w:ind w:left="709"/>
        <w:jc w:val="both"/>
      </w:pPr>
      <w:r>
        <w:t>The stakeholders involved in this process were;</w:t>
      </w:r>
    </w:p>
    <w:p w14:paraId="343990C2">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Wajir Water and Sewerage Company (WAJWASCO).</w:t>
      </w:r>
    </w:p>
    <w:p w14:paraId="1F734190">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Director, National Drought Management Authority</w:t>
      </w:r>
    </w:p>
    <w:p w14:paraId="23A6F80C">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CEC Education</w:t>
      </w:r>
    </w:p>
    <w:p w14:paraId="5786A9D1">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CEC Public Health</w:t>
      </w:r>
    </w:p>
    <w:p w14:paraId="642D9F60">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CEC Lands and physical planning</w:t>
      </w:r>
    </w:p>
    <w:p w14:paraId="454807A8">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CEC Water and sanitation</w:t>
      </w:r>
    </w:p>
    <w:p w14:paraId="775A9371">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Religious leaders </w:t>
      </w:r>
    </w:p>
    <w:p w14:paraId="68D746F7">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Local Government and administration</w:t>
      </w:r>
    </w:p>
    <w:p w14:paraId="25CA67BF">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Wajir Municipality director</w:t>
      </w:r>
    </w:p>
    <w:p w14:paraId="60FAC115">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County Commissioner</w:t>
      </w:r>
    </w:p>
    <w:p w14:paraId="0ECE3366">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Wajir County NEMA director </w:t>
      </w:r>
    </w:p>
    <w:p w14:paraId="179691B2">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Engineers</w:t>
      </w:r>
    </w:p>
    <w:p w14:paraId="7DE01680">
      <w:pPr>
        <w:widowControl w:val="0"/>
        <w:numPr>
          <w:ilvl w:val="0"/>
          <w:numId w:val="34"/>
        </w:numPr>
        <w:autoSpaceDE w:val="0"/>
        <w:autoSpaceDN w:val="0"/>
        <w:spacing w:before="100" w:beforeAutospacing="1" w:after="100" w:afterAutospacing="1" w:line="240" w:lineRule="auto"/>
        <w:ind w:left="1418" w:hanging="709"/>
        <w:contextualSpacing/>
        <w:jc w:val="both"/>
      </w:pPr>
      <w:r>
        <w:rPr>
          <w:rFonts w:eastAsia="Calibri" w:cs="Calibri"/>
          <w:lang w:bidi="en-US"/>
        </w:rPr>
        <w:t>NGOs</w:t>
      </w:r>
    </w:p>
    <w:p w14:paraId="066011A4">
      <w:pPr>
        <w:tabs>
          <w:tab w:val="left" w:pos="709"/>
        </w:tabs>
        <w:spacing w:line="240" w:lineRule="auto"/>
        <w:ind w:left="709"/>
        <w:jc w:val="both"/>
      </w:pPr>
      <w:r>
        <w:t>The issues were than analyzed and presented to the design team for finalization of Project designs and planning on how best to implement the Project.</w:t>
      </w:r>
    </w:p>
    <w:p w14:paraId="3C83068E">
      <w:pPr>
        <w:tabs>
          <w:tab w:val="left" w:pos="709"/>
        </w:tabs>
        <w:spacing w:line="240" w:lineRule="auto"/>
        <w:ind w:left="709"/>
        <w:jc w:val="both"/>
      </w:pPr>
      <w:r>
        <w:t>A total of 15 stakeholders were interviewed through meetings in their respective offices, filled stakeholder engagement questionnaires and signed with an official stamp alongside each questionnaire.</w:t>
      </w:r>
    </w:p>
    <w:p w14:paraId="1B4F4395">
      <w:pPr>
        <w:pStyle w:val="117"/>
      </w:pPr>
      <w:bookmarkStart w:id="338" w:name="_Toc179904085"/>
      <w:r>
        <w:t xml:space="preserve">7.4 </w:t>
      </w:r>
      <w:r>
        <w:tab/>
      </w:r>
      <w:r>
        <w:t>Schedule of stakeholder engagement</w:t>
      </w:r>
      <w:bookmarkEnd w:id="338"/>
    </w:p>
    <w:p w14:paraId="4AE06978">
      <w:pPr>
        <w:tabs>
          <w:tab w:val="left" w:pos="709"/>
        </w:tabs>
        <w:spacing w:line="240" w:lineRule="auto"/>
        <w:ind w:left="709"/>
        <w:jc w:val="both"/>
        <w:rPr>
          <w:rFonts w:cs="Times New Roman"/>
        </w:rPr>
      </w:pPr>
      <w:r>
        <w:rPr>
          <w:rFonts w:cs="Times New Roman"/>
        </w:rPr>
        <w:t xml:space="preserve">The assessment involved consultations with relevant stakeholders in target Project area.   The aim of stakeholder consultations was to give a platform for information sharing and opinion gathering in relation to the proposed Project. Consultations were done in form of public meetings, key informant interviews, and focused group discussions as shown in </w:t>
      </w:r>
      <w:r>
        <w:rPr>
          <w:rFonts w:cs="Times New Roman"/>
        </w:rPr>
        <w:fldChar w:fldCharType="begin"/>
      </w:r>
      <w:r>
        <w:rPr>
          <w:rFonts w:cs="Times New Roman"/>
        </w:rPr>
        <w:instrText xml:space="preserve"> REF _Ref173087262 \h  \* MERGEFORMAT </w:instrText>
      </w:r>
      <w:r>
        <w:rPr>
          <w:rFonts w:cs="Times New Roman"/>
        </w:rPr>
        <w:fldChar w:fldCharType="separate"/>
      </w:r>
      <w:r>
        <w:t>Appendix 2</w:t>
      </w:r>
      <w:r>
        <w:rPr>
          <w:rFonts w:cs="Times New Roman"/>
        </w:rPr>
        <w:fldChar w:fldCharType="end"/>
      </w:r>
      <w:r>
        <w:rPr>
          <w:rFonts w:cs="Times New Roman"/>
        </w:rPr>
        <w:t xml:space="preserve">, </w:t>
      </w:r>
      <w:r>
        <w:rPr>
          <w:rFonts w:cs="Times New Roman"/>
        </w:rPr>
        <w:fldChar w:fldCharType="begin"/>
      </w:r>
      <w:r>
        <w:rPr>
          <w:rFonts w:cs="Times New Roman"/>
        </w:rPr>
        <w:instrText xml:space="preserve"> REF _Ref173087274 \h  \* MERGEFORMAT </w:instrText>
      </w:r>
      <w:r>
        <w:rPr>
          <w:rFonts w:cs="Times New Roman"/>
        </w:rPr>
        <w:fldChar w:fldCharType="separate"/>
      </w:r>
      <w:r>
        <w:t>Appendix 3</w:t>
      </w:r>
      <w:r>
        <w:rPr>
          <w:rFonts w:cs="Times New Roman"/>
        </w:rPr>
        <w:fldChar w:fldCharType="end"/>
      </w:r>
      <w:r>
        <w:rPr>
          <w:rFonts w:cs="Times New Roman"/>
        </w:rPr>
        <w:t xml:space="preserve">, </w:t>
      </w:r>
      <w:r>
        <w:rPr>
          <w:rFonts w:cs="Times New Roman"/>
        </w:rPr>
        <w:fldChar w:fldCharType="begin"/>
      </w:r>
      <w:r>
        <w:rPr>
          <w:rFonts w:cs="Times New Roman"/>
        </w:rPr>
        <w:instrText xml:space="preserve"> REF _Ref173087301 \h  \* MERGEFORMAT </w:instrText>
      </w:r>
      <w:r>
        <w:rPr>
          <w:rFonts w:cs="Times New Roman"/>
        </w:rPr>
        <w:fldChar w:fldCharType="separate"/>
      </w:r>
      <w:r>
        <w:t>Appendix 4</w:t>
      </w:r>
      <w:r>
        <w:rPr>
          <w:rFonts w:cs="Times New Roman"/>
        </w:rPr>
        <w:fldChar w:fldCharType="end"/>
      </w:r>
      <w:r>
        <w:rPr>
          <w:rFonts w:cs="Times New Roman"/>
        </w:rPr>
        <w:t>,</w:t>
      </w:r>
      <w:r>
        <w:rPr>
          <w:rFonts w:cs="Times New Roman"/>
        </w:rPr>
        <w:fldChar w:fldCharType="begin"/>
      </w:r>
      <w:r>
        <w:rPr>
          <w:rFonts w:cs="Times New Roman"/>
        </w:rPr>
        <w:instrText xml:space="preserve"> REF _Ref179902778 \h  \* MERGEFORMAT </w:instrText>
      </w:r>
      <w:r>
        <w:rPr>
          <w:rFonts w:cs="Times New Roman"/>
        </w:rPr>
        <w:fldChar w:fldCharType="separate"/>
      </w:r>
      <w:r>
        <w:t>Appendix 5</w:t>
      </w:r>
      <w:r>
        <w:rPr>
          <w:rFonts w:cs="Times New Roman"/>
        </w:rPr>
        <w:fldChar w:fldCharType="end"/>
      </w:r>
      <w:r>
        <w:rPr>
          <w:rFonts w:cs="Times New Roman"/>
        </w:rPr>
        <w:t xml:space="preserve"> and </w:t>
      </w:r>
      <w:r>
        <w:rPr>
          <w:rFonts w:cs="Times New Roman"/>
        </w:rPr>
        <w:fldChar w:fldCharType="begin"/>
      </w:r>
      <w:r>
        <w:rPr>
          <w:rFonts w:cs="Times New Roman"/>
        </w:rPr>
        <w:instrText xml:space="preserve"> REF _Ref173671978 \h  \* MERGEFORMAT </w:instrText>
      </w:r>
      <w:r>
        <w:rPr>
          <w:rFonts w:cs="Times New Roman"/>
        </w:rPr>
        <w:fldChar w:fldCharType="separate"/>
      </w:r>
      <w:r>
        <w:t>Appendix 6</w:t>
      </w:r>
      <w:r>
        <w:rPr>
          <w:rFonts w:cs="Times New Roman"/>
        </w:rPr>
        <w:fldChar w:fldCharType="end"/>
      </w:r>
      <w:r>
        <w:rPr>
          <w:rFonts w:cs="Times New Roman"/>
        </w:rPr>
        <w:t>. The area chief combined efforts to reach out to the VMGs through their organized groups/associations existing in the area.</w:t>
      </w:r>
    </w:p>
    <w:p w14:paraId="1E3AFF3B">
      <w:pPr>
        <w:tabs>
          <w:tab w:val="left" w:pos="709"/>
        </w:tabs>
        <w:spacing w:line="240" w:lineRule="auto"/>
        <w:ind w:left="709"/>
        <w:jc w:val="both"/>
        <w:rPr>
          <w:rFonts w:cs="Times New Roman"/>
        </w:rPr>
      </w:pPr>
      <w:r>
        <w:rPr>
          <w:rFonts w:cs="Times New Roman"/>
        </w:rPr>
        <w:t>The issues were than analyzed and presented to design team for finalization of Project designs and planning on how best to implement the Project.</w:t>
      </w:r>
    </w:p>
    <w:p w14:paraId="455B1E6F">
      <w:pPr>
        <w:tabs>
          <w:tab w:val="left" w:pos="709"/>
        </w:tabs>
        <w:spacing w:line="240" w:lineRule="auto"/>
        <w:ind w:left="709"/>
        <w:jc w:val="both"/>
        <w:rPr>
          <w:rFonts w:cs="Times New Roman"/>
        </w:rPr>
      </w:pPr>
      <w:r>
        <w:rPr>
          <w:rFonts w:cs="Times New Roman"/>
        </w:rPr>
        <w:t>The main stakeholder engagement meeting was held on 31st July 2024, attendance of the meetings was from diverse sectors of the society. Some of the key stakeholders were notified through invitation letters, whereas others were notified through the Key informant interviews that were held in their respective departments and offices.</w:t>
      </w:r>
    </w:p>
    <w:p w14:paraId="2EBCC9B6">
      <w:pPr>
        <w:tabs>
          <w:tab w:val="left" w:pos="709"/>
        </w:tabs>
        <w:spacing w:line="240" w:lineRule="auto"/>
        <w:ind w:left="709"/>
        <w:jc w:val="both"/>
      </w:pPr>
      <w:r>
        <w:t>Public Participation was held on 1st August 2024. The attendants of this public participation meeting were selected by the main stakeholders from the stakeholder engagement meeting that was held on the 31</w:t>
      </w:r>
      <w:r>
        <w:rPr>
          <w:vertAlign w:val="superscript"/>
        </w:rPr>
        <w:t>st</w:t>
      </w:r>
      <w:r>
        <w:t xml:space="preserve"> July 2024. The stakeholders made sure to adhere to the public participation regulations of ensuring that all categories of the two communities were well represented, with the presence or religious representatives, youths, women, persons with disabilities and the marginalized. These attendants had transport and refreshments as facilitation for the </w:t>
      </w:r>
      <w:bookmarkStart w:id="339" w:name="_Toc171916953"/>
      <w:bookmarkStart w:id="340" w:name="_Toc173252903"/>
      <w:r>
        <w:t xml:space="preserve">meeting </w:t>
      </w:r>
    </w:p>
    <w:p w14:paraId="29E20BDB">
      <w:pPr>
        <w:pStyle w:val="23"/>
      </w:pPr>
      <w:bookmarkStart w:id="341" w:name="_Toc179556826"/>
      <w:r>
        <w:t xml:space="preserve">Table </w:t>
      </w:r>
      <w:r>
        <w:fldChar w:fldCharType="begin"/>
      </w:r>
      <w:r>
        <w:instrText xml:space="preserve"> SEQ Table \* ARABIC </w:instrText>
      </w:r>
      <w:r>
        <w:fldChar w:fldCharType="separate"/>
      </w:r>
      <w:r>
        <w:t>15</w:t>
      </w:r>
      <w:r>
        <w:fldChar w:fldCharType="end"/>
      </w:r>
      <w:r>
        <w:t>: Schedule of Public Consultation Meetings</w:t>
      </w:r>
      <w:bookmarkEnd w:id="339"/>
      <w:bookmarkEnd w:id="340"/>
      <w:bookmarkEnd w:id="341"/>
    </w:p>
    <w:tbl>
      <w:tblPr>
        <w:tblStyle w:val="12"/>
        <w:tblW w:w="4560" w:type="pct"/>
        <w:tblInd w:w="704"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711"/>
        <w:gridCol w:w="994"/>
        <w:gridCol w:w="3979"/>
        <w:gridCol w:w="1279"/>
        <w:gridCol w:w="1279"/>
      </w:tblGrid>
      <w:tr w14:paraId="1C9766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60" w:hRule="atLeast"/>
        </w:trPr>
        <w:tc>
          <w:tcPr>
            <w:tcW w:w="431" w:type="pct"/>
          </w:tcPr>
          <w:p w14:paraId="5FED96D7">
            <w:pPr>
              <w:pStyle w:val="124"/>
              <w:tabs>
                <w:tab w:val="left" w:pos="709"/>
              </w:tabs>
              <w:ind w:right="270"/>
              <w:jc w:val="both"/>
              <w:rPr>
                <w:rFonts w:ascii="Arial Narrow" w:hAnsi="Arial Narrow" w:cs="Times New Roman"/>
                <w:b/>
              </w:rPr>
            </w:pPr>
            <w:r>
              <w:rPr>
                <w:rFonts w:ascii="Arial Narrow" w:hAnsi="Arial Narrow" w:cs="Times New Roman"/>
                <w:b/>
              </w:rPr>
              <w:t>Date</w:t>
            </w:r>
          </w:p>
        </w:tc>
        <w:tc>
          <w:tcPr>
            <w:tcW w:w="603" w:type="pct"/>
          </w:tcPr>
          <w:p w14:paraId="38C09E7B">
            <w:pPr>
              <w:pStyle w:val="124"/>
              <w:tabs>
                <w:tab w:val="left" w:pos="709"/>
              </w:tabs>
              <w:ind w:right="270"/>
              <w:jc w:val="both"/>
              <w:rPr>
                <w:rFonts w:ascii="Arial Narrow" w:hAnsi="Arial Narrow" w:cs="Times New Roman"/>
                <w:b/>
              </w:rPr>
            </w:pPr>
            <w:r>
              <w:rPr>
                <w:rFonts w:ascii="Arial Narrow" w:hAnsi="Arial Narrow" w:cs="Times New Roman"/>
                <w:b/>
              </w:rPr>
              <w:t>Meeting</w:t>
            </w:r>
            <w:r>
              <w:rPr>
                <w:rFonts w:ascii="Arial Narrow" w:hAnsi="Arial Narrow" w:cs="Times New Roman"/>
                <w:b/>
                <w:spacing w:val="-1"/>
              </w:rPr>
              <w:t xml:space="preserve"> </w:t>
            </w:r>
            <w:r>
              <w:rPr>
                <w:rFonts w:ascii="Arial Narrow" w:hAnsi="Arial Narrow" w:cs="Times New Roman"/>
                <w:b/>
              </w:rPr>
              <w:t>Venue</w:t>
            </w:r>
          </w:p>
        </w:tc>
        <w:tc>
          <w:tcPr>
            <w:tcW w:w="2414" w:type="pct"/>
          </w:tcPr>
          <w:p w14:paraId="508CAF7F">
            <w:pPr>
              <w:pStyle w:val="124"/>
              <w:tabs>
                <w:tab w:val="left" w:pos="709"/>
              </w:tabs>
              <w:ind w:right="270"/>
              <w:jc w:val="both"/>
              <w:rPr>
                <w:rFonts w:ascii="Arial Narrow" w:hAnsi="Arial Narrow" w:cs="Times New Roman"/>
                <w:b/>
              </w:rPr>
            </w:pPr>
            <w:r>
              <w:rPr>
                <w:rFonts w:ascii="Arial Narrow" w:hAnsi="Arial Narrow" w:cs="Times New Roman"/>
                <w:b/>
              </w:rPr>
              <w:t>Stakeholder</w:t>
            </w:r>
            <w:r>
              <w:rPr>
                <w:rFonts w:ascii="Arial Narrow" w:hAnsi="Arial Narrow" w:cs="Times New Roman"/>
                <w:b/>
                <w:spacing w:val="-1"/>
              </w:rPr>
              <w:t xml:space="preserve"> </w:t>
            </w:r>
            <w:r>
              <w:rPr>
                <w:rFonts w:ascii="Arial Narrow" w:hAnsi="Arial Narrow" w:cs="Times New Roman"/>
                <w:b/>
              </w:rPr>
              <w:t>Consulted</w:t>
            </w:r>
          </w:p>
        </w:tc>
        <w:tc>
          <w:tcPr>
            <w:tcW w:w="776" w:type="pct"/>
          </w:tcPr>
          <w:p w14:paraId="40357AAC">
            <w:pPr>
              <w:pStyle w:val="124"/>
              <w:tabs>
                <w:tab w:val="left" w:pos="709"/>
              </w:tabs>
              <w:ind w:right="270"/>
              <w:jc w:val="both"/>
              <w:rPr>
                <w:rFonts w:ascii="Arial Narrow" w:hAnsi="Arial Narrow" w:cs="Times New Roman"/>
                <w:b/>
              </w:rPr>
            </w:pPr>
            <w:r>
              <w:rPr>
                <w:rFonts w:ascii="Arial Narrow" w:hAnsi="Arial Narrow" w:cs="Times New Roman"/>
                <w:b/>
              </w:rPr>
              <w:t>Number of</w:t>
            </w:r>
            <w:r>
              <w:rPr>
                <w:rFonts w:ascii="Arial Narrow" w:hAnsi="Arial Narrow" w:cs="Times New Roman"/>
                <w:b/>
                <w:spacing w:val="1"/>
              </w:rPr>
              <w:t xml:space="preserve"> </w:t>
            </w:r>
            <w:r>
              <w:rPr>
                <w:rFonts w:ascii="Arial Narrow" w:hAnsi="Arial Narrow" w:cs="Times New Roman"/>
                <w:b/>
              </w:rPr>
              <w:t>Meeting</w:t>
            </w:r>
            <w:r>
              <w:rPr>
                <w:rFonts w:ascii="Arial Narrow" w:hAnsi="Arial Narrow" w:cs="Times New Roman"/>
                <w:b/>
                <w:spacing w:val="1"/>
              </w:rPr>
              <w:t xml:space="preserve"> </w:t>
            </w:r>
            <w:r>
              <w:rPr>
                <w:rFonts w:ascii="Arial Narrow" w:hAnsi="Arial Narrow" w:cs="Times New Roman"/>
                <w:b/>
              </w:rPr>
              <w:t>Attendance</w:t>
            </w:r>
          </w:p>
        </w:tc>
        <w:tc>
          <w:tcPr>
            <w:tcW w:w="776" w:type="pct"/>
          </w:tcPr>
          <w:p w14:paraId="5EAFE2A9">
            <w:pPr>
              <w:pStyle w:val="124"/>
              <w:tabs>
                <w:tab w:val="left" w:pos="709"/>
              </w:tabs>
              <w:ind w:right="270"/>
              <w:jc w:val="both"/>
              <w:rPr>
                <w:rFonts w:ascii="Arial Narrow" w:hAnsi="Arial Narrow" w:cs="Times New Roman"/>
                <w:b/>
              </w:rPr>
            </w:pPr>
            <w:r>
              <w:rPr>
                <w:rFonts w:ascii="Arial Narrow" w:hAnsi="Arial Narrow" w:cs="Times New Roman"/>
                <w:b/>
              </w:rPr>
              <w:t>Gender</w:t>
            </w:r>
          </w:p>
        </w:tc>
      </w:tr>
      <w:tr w14:paraId="6A1EAFC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771" w:hRule="atLeast"/>
        </w:trPr>
        <w:tc>
          <w:tcPr>
            <w:tcW w:w="431" w:type="pct"/>
          </w:tcPr>
          <w:p w14:paraId="7751A3E4">
            <w:pPr>
              <w:pStyle w:val="124"/>
              <w:tabs>
                <w:tab w:val="left" w:pos="709"/>
              </w:tabs>
              <w:ind w:right="270"/>
              <w:jc w:val="both"/>
              <w:rPr>
                <w:rFonts w:ascii="Arial Narrow" w:hAnsi="Arial Narrow" w:cs="Times New Roman"/>
              </w:rPr>
            </w:pPr>
            <w:r>
              <w:rPr>
                <w:rFonts w:ascii="Arial Narrow" w:hAnsi="Arial Narrow" w:cs="Times New Roman"/>
              </w:rPr>
              <w:t>31st July 2024</w:t>
            </w:r>
          </w:p>
        </w:tc>
        <w:tc>
          <w:tcPr>
            <w:tcW w:w="603" w:type="pct"/>
          </w:tcPr>
          <w:p w14:paraId="120954D9">
            <w:pPr>
              <w:pStyle w:val="124"/>
              <w:tabs>
                <w:tab w:val="left" w:pos="709"/>
              </w:tabs>
              <w:ind w:right="270"/>
              <w:jc w:val="both"/>
              <w:rPr>
                <w:rFonts w:ascii="Arial Narrow" w:hAnsi="Arial Narrow" w:cs="Times New Roman"/>
              </w:rPr>
            </w:pPr>
            <w:r>
              <w:rPr>
                <w:rFonts w:ascii="Arial Narrow" w:hAnsi="Arial Narrow" w:cs="Times New Roman"/>
              </w:rPr>
              <w:t>Midpoint Coffee House</w:t>
            </w:r>
          </w:p>
        </w:tc>
        <w:tc>
          <w:tcPr>
            <w:tcW w:w="2414" w:type="pct"/>
          </w:tcPr>
          <w:p w14:paraId="0B08B56B">
            <w:pPr>
              <w:pStyle w:val="124"/>
              <w:tabs>
                <w:tab w:val="left" w:pos="709"/>
              </w:tabs>
              <w:ind w:right="270"/>
              <w:jc w:val="both"/>
              <w:rPr>
                <w:rFonts w:ascii="Arial Narrow" w:hAnsi="Arial Narrow" w:cs="Times New Roman"/>
              </w:rPr>
            </w:pPr>
            <w:r>
              <w:rPr>
                <w:rFonts w:ascii="Arial Narrow" w:hAnsi="Arial Narrow" w:cs="Times New Roman"/>
              </w:rPr>
              <w:t>Wajir Water and Sewerage Company (WAJWASCO).</w:t>
            </w:r>
          </w:p>
          <w:p w14:paraId="68248044">
            <w:pPr>
              <w:pStyle w:val="124"/>
              <w:tabs>
                <w:tab w:val="left" w:pos="709"/>
              </w:tabs>
              <w:ind w:right="270"/>
              <w:jc w:val="both"/>
              <w:rPr>
                <w:rFonts w:ascii="Arial Narrow" w:hAnsi="Arial Narrow" w:cs="Times New Roman"/>
              </w:rPr>
            </w:pPr>
            <w:r>
              <w:rPr>
                <w:rFonts w:ascii="Arial Narrow" w:hAnsi="Arial Narrow" w:cs="Times New Roman"/>
              </w:rPr>
              <w:t>Director, National Drought Management Authority</w:t>
            </w:r>
          </w:p>
          <w:p w14:paraId="5B59ABF5">
            <w:pPr>
              <w:pStyle w:val="124"/>
              <w:tabs>
                <w:tab w:val="left" w:pos="709"/>
              </w:tabs>
              <w:ind w:right="270"/>
              <w:jc w:val="both"/>
              <w:rPr>
                <w:rFonts w:ascii="Arial Narrow" w:hAnsi="Arial Narrow" w:cs="Times New Roman"/>
              </w:rPr>
            </w:pPr>
            <w:r>
              <w:rPr>
                <w:rFonts w:ascii="Arial Narrow" w:hAnsi="Arial Narrow" w:cs="Times New Roman"/>
              </w:rPr>
              <w:t>CEC Education</w:t>
            </w:r>
          </w:p>
          <w:p w14:paraId="1A26CE7E">
            <w:pPr>
              <w:pStyle w:val="124"/>
              <w:tabs>
                <w:tab w:val="left" w:pos="709"/>
              </w:tabs>
              <w:ind w:right="270"/>
              <w:jc w:val="both"/>
              <w:rPr>
                <w:rFonts w:ascii="Arial Narrow" w:hAnsi="Arial Narrow" w:cs="Times New Roman"/>
              </w:rPr>
            </w:pPr>
            <w:r>
              <w:rPr>
                <w:rFonts w:ascii="Arial Narrow" w:hAnsi="Arial Narrow" w:cs="Times New Roman"/>
              </w:rPr>
              <w:t>CEC Public Health</w:t>
            </w:r>
          </w:p>
          <w:p w14:paraId="5DCC6E3F">
            <w:pPr>
              <w:pStyle w:val="124"/>
              <w:tabs>
                <w:tab w:val="left" w:pos="709"/>
              </w:tabs>
              <w:ind w:right="270"/>
              <w:jc w:val="both"/>
              <w:rPr>
                <w:rFonts w:ascii="Arial Narrow" w:hAnsi="Arial Narrow" w:cs="Times New Roman"/>
              </w:rPr>
            </w:pPr>
            <w:r>
              <w:rPr>
                <w:rFonts w:ascii="Arial Narrow" w:hAnsi="Arial Narrow" w:cs="Times New Roman"/>
              </w:rPr>
              <w:t>CEC Lands and physical planning</w:t>
            </w:r>
          </w:p>
          <w:p w14:paraId="06AE42C1">
            <w:pPr>
              <w:pStyle w:val="124"/>
              <w:tabs>
                <w:tab w:val="left" w:pos="709"/>
              </w:tabs>
              <w:ind w:right="270"/>
              <w:jc w:val="both"/>
              <w:rPr>
                <w:rFonts w:ascii="Arial Narrow" w:hAnsi="Arial Narrow" w:cs="Times New Roman"/>
              </w:rPr>
            </w:pPr>
            <w:r>
              <w:rPr>
                <w:rFonts w:ascii="Arial Narrow" w:hAnsi="Arial Narrow" w:cs="Times New Roman"/>
              </w:rPr>
              <w:t>CEC Water and sanitation</w:t>
            </w:r>
          </w:p>
          <w:p w14:paraId="66438DC0">
            <w:pPr>
              <w:pStyle w:val="124"/>
              <w:tabs>
                <w:tab w:val="left" w:pos="709"/>
              </w:tabs>
              <w:ind w:right="270"/>
              <w:jc w:val="both"/>
              <w:rPr>
                <w:rFonts w:ascii="Arial Narrow" w:hAnsi="Arial Narrow" w:cs="Times New Roman"/>
              </w:rPr>
            </w:pPr>
            <w:r>
              <w:rPr>
                <w:rFonts w:ascii="Arial Narrow" w:hAnsi="Arial Narrow" w:cs="Times New Roman"/>
              </w:rPr>
              <w:t xml:space="preserve">Religious leaders </w:t>
            </w:r>
          </w:p>
          <w:p w14:paraId="48A1DBF6">
            <w:pPr>
              <w:pStyle w:val="124"/>
              <w:tabs>
                <w:tab w:val="left" w:pos="709"/>
              </w:tabs>
              <w:ind w:right="270"/>
              <w:jc w:val="both"/>
              <w:rPr>
                <w:rFonts w:ascii="Arial Narrow" w:hAnsi="Arial Narrow" w:cs="Times New Roman"/>
              </w:rPr>
            </w:pPr>
            <w:r>
              <w:rPr>
                <w:rFonts w:ascii="Arial Narrow" w:hAnsi="Arial Narrow" w:cs="Times New Roman"/>
              </w:rPr>
              <w:t>Local Government and administration</w:t>
            </w:r>
          </w:p>
          <w:p w14:paraId="048044B6">
            <w:pPr>
              <w:pStyle w:val="124"/>
              <w:tabs>
                <w:tab w:val="left" w:pos="709"/>
              </w:tabs>
              <w:ind w:right="270"/>
              <w:jc w:val="both"/>
              <w:rPr>
                <w:rFonts w:ascii="Arial Narrow" w:hAnsi="Arial Narrow" w:cs="Times New Roman"/>
              </w:rPr>
            </w:pPr>
            <w:r>
              <w:rPr>
                <w:rFonts w:ascii="Arial Narrow" w:hAnsi="Arial Narrow" w:cs="Times New Roman"/>
              </w:rPr>
              <w:t>Wajir Municipality director</w:t>
            </w:r>
          </w:p>
          <w:p w14:paraId="47D8B383">
            <w:pPr>
              <w:pStyle w:val="124"/>
              <w:tabs>
                <w:tab w:val="left" w:pos="709"/>
              </w:tabs>
              <w:ind w:right="270"/>
              <w:jc w:val="both"/>
              <w:rPr>
                <w:rFonts w:ascii="Arial Narrow" w:hAnsi="Arial Narrow" w:cs="Times New Roman"/>
              </w:rPr>
            </w:pPr>
            <w:r>
              <w:rPr>
                <w:rFonts w:ascii="Arial Narrow" w:hAnsi="Arial Narrow" w:cs="Times New Roman"/>
              </w:rPr>
              <w:t>County Commissioner</w:t>
            </w:r>
          </w:p>
          <w:p w14:paraId="5F6B87AC">
            <w:pPr>
              <w:pStyle w:val="124"/>
              <w:tabs>
                <w:tab w:val="left" w:pos="709"/>
              </w:tabs>
              <w:ind w:right="270"/>
              <w:jc w:val="both"/>
              <w:rPr>
                <w:rFonts w:ascii="Arial Narrow" w:hAnsi="Arial Narrow" w:cs="Times New Roman"/>
              </w:rPr>
            </w:pPr>
            <w:r>
              <w:rPr>
                <w:rFonts w:ascii="Arial Narrow" w:hAnsi="Arial Narrow" w:cs="Times New Roman"/>
              </w:rPr>
              <w:t xml:space="preserve">Wajir County NEMA director </w:t>
            </w:r>
          </w:p>
          <w:p w14:paraId="3DDC1F97">
            <w:pPr>
              <w:pStyle w:val="124"/>
              <w:tabs>
                <w:tab w:val="left" w:pos="709"/>
              </w:tabs>
              <w:ind w:right="270"/>
              <w:jc w:val="both"/>
              <w:rPr>
                <w:rFonts w:ascii="Arial Narrow" w:hAnsi="Arial Narrow" w:cs="Times New Roman"/>
              </w:rPr>
            </w:pPr>
            <w:r>
              <w:rPr>
                <w:rFonts w:ascii="Arial Narrow" w:hAnsi="Arial Narrow" w:cs="Times New Roman"/>
              </w:rPr>
              <w:t>Engineers</w:t>
            </w:r>
          </w:p>
        </w:tc>
        <w:tc>
          <w:tcPr>
            <w:tcW w:w="776" w:type="pct"/>
          </w:tcPr>
          <w:p w14:paraId="40B4A5F1">
            <w:pPr>
              <w:pStyle w:val="124"/>
              <w:tabs>
                <w:tab w:val="left" w:pos="709"/>
              </w:tabs>
              <w:ind w:right="270"/>
              <w:jc w:val="both"/>
              <w:rPr>
                <w:rFonts w:ascii="Arial Narrow" w:hAnsi="Arial Narrow" w:cs="Times New Roman"/>
              </w:rPr>
            </w:pPr>
            <w:r>
              <w:rPr>
                <w:rFonts w:ascii="Arial Narrow" w:hAnsi="Arial Narrow" w:cs="Times New Roman"/>
              </w:rPr>
              <w:t>31</w:t>
            </w:r>
          </w:p>
        </w:tc>
        <w:tc>
          <w:tcPr>
            <w:tcW w:w="776" w:type="pct"/>
          </w:tcPr>
          <w:p w14:paraId="6D4EF054">
            <w:pPr>
              <w:pStyle w:val="124"/>
              <w:tabs>
                <w:tab w:val="left" w:pos="709"/>
              </w:tabs>
              <w:ind w:right="270"/>
              <w:jc w:val="both"/>
              <w:rPr>
                <w:rFonts w:ascii="Arial Narrow" w:hAnsi="Arial Narrow" w:cs="Times New Roman"/>
              </w:rPr>
            </w:pPr>
            <w:r>
              <w:rPr>
                <w:rFonts w:ascii="Arial Narrow" w:hAnsi="Arial Narrow" w:cs="Times New Roman"/>
              </w:rPr>
              <w:t>Male: 21</w:t>
            </w:r>
          </w:p>
          <w:p w14:paraId="747A941B">
            <w:pPr>
              <w:pStyle w:val="124"/>
              <w:tabs>
                <w:tab w:val="left" w:pos="709"/>
              </w:tabs>
              <w:ind w:right="270"/>
              <w:jc w:val="both"/>
              <w:rPr>
                <w:rFonts w:ascii="Arial Narrow" w:hAnsi="Arial Narrow" w:cs="Times New Roman"/>
              </w:rPr>
            </w:pPr>
            <w:r>
              <w:rPr>
                <w:rFonts w:ascii="Arial Narrow" w:hAnsi="Arial Narrow" w:cs="Times New Roman"/>
              </w:rPr>
              <w:t>Female: 10</w:t>
            </w:r>
          </w:p>
          <w:p w14:paraId="0866C84C">
            <w:pPr>
              <w:pStyle w:val="124"/>
              <w:tabs>
                <w:tab w:val="left" w:pos="709"/>
              </w:tabs>
              <w:ind w:right="270"/>
              <w:jc w:val="both"/>
              <w:rPr>
                <w:rFonts w:ascii="Arial Narrow" w:hAnsi="Arial Narrow" w:cs="Times New Roman"/>
                <w:b/>
              </w:rPr>
            </w:pPr>
            <w:r>
              <w:rPr>
                <w:rFonts w:ascii="Arial Narrow" w:hAnsi="Arial Narrow" w:cs="Times New Roman"/>
                <w:b/>
              </w:rPr>
              <w:t>Total: 31</w:t>
            </w:r>
          </w:p>
        </w:tc>
      </w:tr>
      <w:tr w14:paraId="08282B5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33" w:hRule="atLeast"/>
        </w:trPr>
        <w:tc>
          <w:tcPr>
            <w:tcW w:w="431" w:type="pct"/>
          </w:tcPr>
          <w:p w14:paraId="364B1B0C">
            <w:pPr>
              <w:pStyle w:val="124"/>
              <w:tabs>
                <w:tab w:val="left" w:pos="709"/>
              </w:tabs>
              <w:ind w:right="270"/>
              <w:jc w:val="both"/>
              <w:rPr>
                <w:rFonts w:ascii="Arial Narrow" w:hAnsi="Arial Narrow" w:cs="Times New Roman"/>
              </w:rPr>
            </w:pPr>
            <w:r>
              <w:rPr>
                <w:rFonts w:ascii="Arial Narrow" w:hAnsi="Arial Narrow" w:cs="Times New Roman"/>
              </w:rPr>
              <w:t>1st August 2024</w:t>
            </w:r>
          </w:p>
        </w:tc>
        <w:tc>
          <w:tcPr>
            <w:tcW w:w="603" w:type="pct"/>
          </w:tcPr>
          <w:p w14:paraId="7A597173">
            <w:pPr>
              <w:pStyle w:val="124"/>
              <w:tabs>
                <w:tab w:val="left" w:pos="709"/>
              </w:tabs>
              <w:ind w:right="270"/>
              <w:jc w:val="both"/>
              <w:rPr>
                <w:rFonts w:ascii="Arial Narrow" w:hAnsi="Arial Narrow" w:cs="Times New Roman"/>
              </w:rPr>
            </w:pPr>
            <w:r>
              <w:rPr>
                <w:rFonts w:ascii="Arial Narrow" w:hAnsi="Arial Narrow" w:cs="Times New Roman"/>
              </w:rPr>
              <w:t>Midpoint Coffee House</w:t>
            </w:r>
          </w:p>
        </w:tc>
        <w:tc>
          <w:tcPr>
            <w:tcW w:w="2414" w:type="pct"/>
          </w:tcPr>
          <w:p w14:paraId="54623DAA">
            <w:pPr>
              <w:pStyle w:val="124"/>
              <w:tabs>
                <w:tab w:val="left" w:pos="709"/>
              </w:tabs>
              <w:ind w:right="270"/>
              <w:jc w:val="both"/>
              <w:rPr>
                <w:rFonts w:ascii="Arial Narrow" w:hAnsi="Arial Narrow" w:eastAsia="Times New Roman" w:cs="Times New Roman"/>
              </w:rPr>
            </w:pPr>
            <w:r>
              <w:rPr>
                <w:rFonts w:ascii="Arial Narrow" w:hAnsi="Arial Narrow" w:eastAsia="Times New Roman" w:cs="Times New Roman"/>
              </w:rPr>
              <w:t>Chief and locals of Alimaow and Furaha villages</w:t>
            </w:r>
          </w:p>
          <w:p w14:paraId="57E48A62">
            <w:pPr>
              <w:pStyle w:val="124"/>
              <w:tabs>
                <w:tab w:val="left" w:pos="709"/>
              </w:tabs>
              <w:ind w:right="270"/>
              <w:jc w:val="both"/>
              <w:rPr>
                <w:rFonts w:ascii="Arial Narrow" w:hAnsi="Arial Narrow" w:eastAsia="Times New Roman" w:cs="Times New Roman"/>
              </w:rPr>
            </w:pPr>
            <w:r>
              <w:rPr>
                <w:rFonts w:ascii="Arial Narrow" w:hAnsi="Arial Narrow" w:eastAsia="Times New Roman" w:cs="Times New Roman"/>
              </w:rPr>
              <w:t>CEC Education</w:t>
            </w:r>
          </w:p>
          <w:p w14:paraId="759DB374">
            <w:pPr>
              <w:pStyle w:val="124"/>
              <w:tabs>
                <w:tab w:val="left" w:pos="709"/>
              </w:tabs>
              <w:ind w:right="270"/>
              <w:jc w:val="both"/>
              <w:rPr>
                <w:rFonts w:ascii="Arial Narrow" w:hAnsi="Arial Narrow" w:eastAsia="Times New Roman" w:cs="Times New Roman"/>
              </w:rPr>
            </w:pPr>
            <w:r>
              <w:rPr>
                <w:rFonts w:ascii="Arial Narrow" w:hAnsi="Arial Narrow" w:eastAsia="Times New Roman" w:cs="Times New Roman"/>
              </w:rPr>
              <w:t>WAJWASCO</w:t>
            </w:r>
          </w:p>
        </w:tc>
        <w:tc>
          <w:tcPr>
            <w:tcW w:w="776" w:type="pct"/>
          </w:tcPr>
          <w:p w14:paraId="541172BF">
            <w:pPr>
              <w:pStyle w:val="124"/>
              <w:tabs>
                <w:tab w:val="left" w:pos="709"/>
              </w:tabs>
              <w:ind w:right="270"/>
              <w:jc w:val="both"/>
              <w:rPr>
                <w:rFonts w:ascii="Arial Narrow" w:hAnsi="Arial Narrow" w:cs="Times New Roman"/>
              </w:rPr>
            </w:pPr>
            <w:r>
              <w:rPr>
                <w:rFonts w:ascii="Arial Narrow" w:hAnsi="Arial Narrow" w:cs="Times New Roman"/>
              </w:rPr>
              <w:t>30-Alimaow</w:t>
            </w:r>
          </w:p>
          <w:p w14:paraId="3DFA71E3">
            <w:pPr>
              <w:pStyle w:val="124"/>
              <w:tabs>
                <w:tab w:val="left" w:pos="709"/>
              </w:tabs>
              <w:ind w:right="270"/>
              <w:jc w:val="both"/>
              <w:rPr>
                <w:rFonts w:ascii="Arial Narrow" w:hAnsi="Arial Narrow" w:cs="Times New Roman"/>
              </w:rPr>
            </w:pPr>
            <w:r>
              <w:rPr>
                <w:rFonts w:ascii="Arial Narrow" w:hAnsi="Arial Narrow" w:cs="Times New Roman"/>
              </w:rPr>
              <w:t>30-Furaha</w:t>
            </w:r>
          </w:p>
        </w:tc>
        <w:tc>
          <w:tcPr>
            <w:tcW w:w="776" w:type="pct"/>
          </w:tcPr>
          <w:p w14:paraId="4BEFD7F9">
            <w:pPr>
              <w:pStyle w:val="124"/>
              <w:tabs>
                <w:tab w:val="left" w:pos="709"/>
              </w:tabs>
              <w:ind w:right="270"/>
              <w:jc w:val="both"/>
              <w:rPr>
                <w:rFonts w:ascii="Arial Narrow" w:hAnsi="Arial Narrow" w:cs="Times New Roman"/>
              </w:rPr>
            </w:pPr>
            <w:r>
              <w:rPr>
                <w:rFonts w:ascii="Arial Narrow" w:hAnsi="Arial Narrow" w:cs="Times New Roman"/>
              </w:rPr>
              <w:t>Male 50</w:t>
            </w:r>
          </w:p>
          <w:p w14:paraId="41EAE7BB">
            <w:pPr>
              <w:pStyle w:val="124"/>
              <w:tabs>
                <w:tab w:val="left" w:pos="709"/>
              </w:tabs>
              <w:ind w:right="270"/>
              <w:jc w:val="both"/>
              <w:rPr>
                <w:rFonts w:ascii="Arial Narrow" w:hAnsi="Arial Narrow" w:cs="Times New Roman"/>
              </w:rPr>
            </w:pPr>
            <w:r>
              <w:rPr>
                <w:rFonts w:ascii="Arial Narrow" w:hAnsi="Arial Narrow" w:cs="Times New Roman"/>
              </w:rPr>
              <w:t>Female 10</w:t>
            </w:r>
          </w:p>
          <w:p w14:paraId="4B3D4260">
            <w:pPr>
              <w:pStyle w:val="124"/>
              <w:tabs>
                <w:tab w:val="left" w:pos="709"/>
              </w:tabs>
              <w:ind w:right="270"/>
              <w:jc w:val="both"/>
              <w:rPr>
                <w:rFonts w:ascii="Arial Narrow" w:hAnsi="Arial Narrow" w:cs="Times New Roman"/>
                <w:b/>
              </w:rPr>
            </w:pPr>
            <w:r>
              <w:rPr>
                <w:rFonts w:ascii="Arial Narrow" w:hAnsi="Arial Narrow" w:cs="Times New Roman"/>
                <w:b/>
              </w:rPr>
              <w:t>Total: 60</w:t>
            </w:r>
          </w:p>
        </w:tc>
      </w:tr>
    </w:tbl>
    <w:p w14:paraId="0812EFD0">
      <w:pPr>
        <w:pStyle w:val="23"/>
      </w:pPr>
      <w:bookmarkStart w:id="342" w:name="_Toc179556827"/>
      <w:bookmarkStart w:id="343" w:name="_Toc168922657"/>
      <w:bookmarkStart w:id="344" w:name="_Toc163820129"/>
      <w:bookmarkStart w:id="345" w:name="_Toc165643051"/>
      <w:r>
        <w:t xml:space="preserve">Table </w:t>
      </w:r>
      <w:r>
        <w:fldChar w:fldCharType="begin"/>
      </w:r>
      <w:r>
        <w:instrText xml:space="preserve"> SEQ Table \* ARABIC </w:instrText>
      </w:r>
      <w:r>
        <w:fldChar w:fldCharType="separate"/>
      </w:r>
      <w:r>
        <w:t>16</w:t>
      </w:r>
      <w:r>
        <w:fldChar w:fldCharType="end"/>
      </w:r>
      <w:r>
        <w:t>: Summary of Stakeholder Consultation Issues</w:t>
      </w:r>
      <w:bookmarkEnd w:id="342"/>
      <w:bookmarkEnd w:id="343"/>
      <w:bookmarkEnd w:id="344"/>
      <w:bookmarkEnd w:id="345"/>
    </w:p>
    <w:tbl>
      <w:tblPr>
        <w:tblStyle w:val="86"/>
        <w:tblW w:w="8647" w:type="dxa"/>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7"/>
        <w:gridCol w:w="3681"/>
        <w:gridCol w:w="4459"/>
      </w:tblGrid>
      <w:tr w14:paraId="1D6F46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22" w:type="dxa"/>
            <w:shd w:val="clear" w:color="auto" w:fill="70AD47" w:themeFill="accent6"/>
          </w:tcPr>
          <w:p w14:paraId="5986BE2D">
            <w:pPr>
              <w:keepNext/>
              <w:keepLines/>
              <w:tabs>
                <w:tab w:val="left" w:pos="709"/>
              </w:tabs>
              <w:spacing w:before="100" w:beforeAutospacing="1" w:after="100" w:afterAutospacing="1" w:line="240" w:lineRule="auto"/>
              <w:jc w:val="both"/>
              <w:rPr>
                <w:rFonts w:cstheme="minorHAnsi"/>
                <w:b/>
              </w:rPr>
            </w:pPr>
            <w:r>
              <w:rPr>
                <w:rFonts w:cstheme="minorHAnsi"/>
                <w:b/>
              </w:rPr>
              <w:t>S No.</w:t>
            </w:r>
          </w:p>
        </w:tc>
        <w:tc>
          <w:tcPr>
            <w:tcW w:w="3747" w:type="dxa"/>
            <w:shd w:val="clear" w:color="auto" w:fill="70AD47" w:themeFill="accent6"/>
          </w:tcPr>
          <w:p w14:paraId="213AA65B">
            <w:pPr>
              <w:keepNext/>
              <w:keepLines/>
              <w:tabs>
                <w:tab w:val="left" w:pos="709"/>
              </w:tabs>
              <w:spacing w:before="100" w:beforeAutospacing="1" w:after="100" w:afterAutospacing="1" w:line="240" w:lineRule="auto"/>
              <w:jc w:val="both"/>
              <w:rPr>
                <w:rFonts w:cstheme="minorHAnsi"/>
                <w:b/>
              </w:rPr>
            </w:pPr>
            <w:r>
              <w:rPr>
                <w:rFonts w:cstheme="minorHAnsi"/>
                <w:b/>
              </w:rPr>
              <w:t>Concern/Comment/Question</w:t>
            </w:r>
          </w:p>
        </w:tc>
        <w:tc>
          <w:tcPr>
            <w:tcW w:w="4578" w:type="dxa"/>
            <w:shd w:val="clear" w:color="auto" w:fill="70AD47" w:themeFill="accent6"/>
          </w:tcPr>
          <w:p w14:paraId="620CBB03">
            <w:pPr>
              <w:keepNext/>
              <w:keepLines/>
              <w:tabs>
                <w:tab w:val="left" w:pos="709"/>
              </w:tabs>
              <w:spacing w:before="100" w:beforeAutospacing="1" w:after="100" w:afterAutospacing="1" w:line="240" w:lineRule="auto"/>
              <w:jc w:val="both"/>
              <w:rPr>
                <w:rFonts w:cstheme="minorHAnsi"/>
                <w:b/>
              </w:rPr>
            </w:pPr>
            <w:r>
              <w:rPr>
                <w:rFonts w:cstheme="minorHAnsi"/>
                <w:b/>
              </w:rPr>
              <w:t>Response/Recommendation</w:t>
            </w:r>
          </w:p>
        </w:tc>
      </w:tr>
      <w:tr w14:paraId="683C97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 w:type="dxa"/>
          </w:tcPr>
          <w:p w14:paraId="50F5F8A3">
            <w:pPr>
              <w:keepNext/>
              <w:keepLines/>
              <w:tabs>
                <w:tab w:val="left" w:pos="709"/>
              </w:tabs>
              <w:spacing w:before="100" w:beforeAutospacing="1" w:after="100" w:afterAutospacing="1" w:line="240" w:lineRule="auto"/>
              <w:jc w:val="both"/>
              <w:rPr>
                <w:rFonts w:cstheme="minorHAnsi"/>
              </w:rPr>
            </w:pPr>
            <w:r>
              <w:rPr>
                <w:rFonts w:cstheme="minorHAnsi"/>
              </w:rPr>
              <w:t>1</w:t>
            </w:r>
          </w:p>
        </w:tc>
        <w:tc>
          <w:tcPr>
            <w:tcW w:w="3747" w:type="dxa"/>
          </w:tcPr>
          <w:p w14:paraId="0750771C">
            <w:pPr>
              <w:keepNext/>
              <w:keepLines/>
              <w:tabs>
                <w:tab w:val="left" w:pos="709"/>
              </w:tabs>
              <w:spacing w:before="100" w:beforeAutospacing="1" w:after="100" w:afterAutospacing="1" w:line="240" w:lineRule="auto"/>
              <w:jc w:val="both"/>
              <w:rPr>
                <w:rFonts w:cstheme="minorHAnsi"/>
              </w:rPr>
            </w:pPr>
            <w:r>
              <w:rPr>
                <w:rFonts w:cstheme="minorHAnsi"/>
              </w:rPr>
              <w:t>Why shouldn’t the client do the sewer system that had been proposed initially?</w:t>
            </w:r>
          </w:p>
        </w:tc>
        <w:tc>
          <w:tcPr>
            <w:tcW w:w="4578" w:type="dxa"/>
          </w:tcPr>
          <w:p w14:paraId="34F6243F">
            <w:pPr>
              <w:keepNext/>
              <w:keepLines/>
              <w:tabs>
                <w:tab w:val="left" w:pos="709"/>
              </w:tabs>
              <w:spacing w:before="100" w:beforeAutospacing="1" w:after="100" w:afterAutospacing="1" w:line="240" w:lineRule="auto"/>
              <w:jc w:val="both"/>
              <w:rPr>
                <w:rFonts w:cstheme="minorHAnsi"/>
              </w:rPr>
            </w:pPr>
            <w:r>
              <w:rPr>
                <w:rFonts w:cstheme="minorHAnsi"/>
              </w:rPr>
              <w:t>The sewer system is not feasible given the area does not have sufficient water supply. Sewer system can only operate in areas where there is a lot of water sufficient to push the wastes in the trunks.</w:t>
            </w:r>
          </w:p>
          <w:p w14:paraId="61D94BC4">
            <w:pPr>
              <w:keepNext/>
              <w:keepLines/>
              <w:tabs>
                <w:tab w:val="left" w:pos="709"/>
              </w:tabs>
              <w:spacing w:before="100" w:beforeAutospacing="1" w:after="100" w:afterAutospacing="1" w:line="240" w:lineRule="auto"/>
              <w:jc w:val="both"/>
              <w:rPr>
                <w:rFonts w:cstheme="minorHAnsi"/>
              </w:rPr>
            </w:pPr>
            <w:r>
              <w:rPr>
                <w:rFonts w:cstheme="minorHAnsi"/>
              </w:rPr>
              <w:t>The area is also a flat plain, making it difficult for sewer system to operate as it is also dependent on gravity to enable the flow of the wastes down slope to the FSTP.</w:t>
            </w:r>
          </w:p>
        </w:tc>
      </w:tr>
      <w:tr w14:paraId="2487FF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 w:type="dxa"/>
          </w:tcPr>
          <w:p w14:paraId="779E9892">
            <w:pPr>
              <w:tabs>
                <w:tab w:val="left" w:pos="709"/>
              </w:tabs>
              <w:spacing w:before="100" w:beforeAutospacing="1" w:after="100" w:afterAutospacing="1" w:line="240" w:lineRule="auto"/>
              <w:jc w:val="both"/>
              <w:rPr>
                <w:rFonts w:cstheme="minorHAnsi"/>
              </w:rPr>
            </w:pPr>
            <w:r>
              <w:rPr>
                <w:rFonts w:cstheme="minorHAnsi"/>
              </w:rPr>
              <w:t>2</w:t>
            </w:r>
          </w:p>
        </w:tc>
        <w:tc>
          <w:tcPr>
            <w:tcW w:w="3747" w:type="dxa"/>
          </w:tcPr>
          <w:p w14:paraId="1A5021F0">
            <w:pPr>
              <w:tabs>
                <w:tab w:val="left" w:pos="709"/>
              </w:tabs>
              <w:spacing w:before="100" w:beforeAutospacing="1" w:after="100" w:afterAutospacing="1" w:line="240" w:lineRule="auto"/>
              <w:jc w:val="both"/>
              <w:rPr>
                <w:rFonts w:cstheme="minorHAnsi"/>
              </w:rPr>
            </w:pPr>
            <w:r>
              <w:rPr>
                <w:rFonts w:cstheme="minorHAnsi"/>
              </w:rPr>
              <w:t>Are there design methods that have been considered to mitigate the possible negative impacts of the plant, given it is a high risk, where there will be production of greenhouse gases in the ponds?</w:t>
            </w:r>
          </w:p>
        </w:tc>
        <w:tc>
          <w:tcPr>
            <w:tcW w:w="4578" w:type="dxa"/>
          </w:tcPr>
          <w:p w14:paraId="0F32A246">
            <w:pPr>
              <w:tabs>
                <w:tab w:val="left" w:pos="709"/>
              </w:tabs>
              <w:spacing w:before="100" w:beforeAutospacing="1" w:after="100" w:afterAutospacing="1" w:line="240" w:lineRule="auto"/>
              <w:jc w:val="both"/>
              <w:rPr>
                <w:rFonts w:cstheme="minorHAnsi"/>
              </w:rPr>
            </w:pPr>
            <w:r>
              <w:rPr>
                <w:rFonts w:cstheme="minorHAnsi"/>
              </w:rPr>
              <w:t>Yes, there are engineers who are still designing the plant with operation and maintenance considered, and a final design report shall be shared and discussed.</w:t>
            </w:r>
          </w:p>
        </w:tc>
      </w:tr>
      <w:tr w14:paraId="652B34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 w:type="dxa"/>
          </w:tcPr>
          <w:p w14:paraId="106AEB3A">
            <w:pPr>
              <w:tabs>
                <w:tab w:val="left" w:pos="709"/>
              </w:tabs>
              <w:spacing w:before="100" w:beforeAutospacing="1" w:after="100" w:afterAutospacing="1" w:line="240" w:lineRule="auto"/>
              <w:jc w:val="both"/>
              <w:rPr>
                <w:rFonts w:cstheme="minorHAnsi"/>
              </w:rPr>
            </w:pPr>
            <w:r>
              <w:rPr>
                <w:rFonts w:cstheme="minorHAnsi"/>
              </w:rPr>
              <w:t>3</w:t>
            </w:r>
          </w:p>
        </w:tc>
        <w:tc>
          <w:tcPr>
            <w:tcW w:w="3747" w:type="dxa"/>
          </w:tcPr>
          <w:p w14:paraId="70CEC352">
            <w:pPr>
              <w:tabs>
                <w:tab w:val="left" w:pos="709"/>
              </w:tabs>
              <w:spacing w:before="100" w:beforeAutospacing="1" w:after="100" w:afterAutospacing="1" w:line="240" w:lineRule="auto"/>
              <w:jc w:val="both"/>
              <w:rPr>
                <w:rFonts w:cstheme="minorHAnsi"/>
                <w:highlight w:val="yellow"/>
              </w:rPr>
            </w:pPr>
            <w:r>
              <w:rPr>
                <w:rFonts w:cstheme="minorHAnsi"/>
                <w:highlight w:val="yellow"/>
              </w:rPr>
              <w:t>With the existing court case on the management of the existing dumpsite, how is the client going to ensure it is handled to prevent conflicts with the locals</w:t>
            </w:r>
          </w:p>
        </w:tc>
        <w:tc>
          <w:tcPr>
            <w:tcW w:w="4578" w:type="dxa"/>
          </w:tcPr>
          <w:p w14:paraId="15233ECD">
            <w:pPr>
              <w:tabs>
                <w:tab w:val="left" w:pos="709"/>
              </w:tabs>
              <w:spacing w:before="100" w:beforeAutospacing="1" w:after="100" w:afterAutospacing="1" w:line="240" w:lineRule="auto"/>
              <w:jc w:val="both"/>
              <w:rPr>
                <w:rFonts w:cstheme="minorHAnsi"/>
              </w:rPr>
            </w:pPr>
            <w:r>
              <w:rPr>
                <w:rFonts w:cstheme="minorHAnsi"/>
              </w:rPr>
              <w:t>The client expressed his concern and said that he shall ensure every issue is addressed to enable the project progresses without fail for the better of the community and Wajir as a whole.</w:t>
            </w:r>
          </w:p>
          <w:p w14:paraId="042D03A3">
            <w:pPr>
              <w:tabs>
                <w:tab w:val="left" w:pos="709"/>
              </w:tabs>
              <w:spacing w:before="100" w:beforeAutospacing="1" w:after="100" w:afterAutospacing="1" w:line="240" w:lineRule="auto"/>
              <w:jc w:val="both"/>
              <w:rPr>
                <w:rFonts w:cstheme="minorHAnsi"/>
              </w:rPr>
            </w:pPr>
            <w:r>
              <w:rPr>
                <w:rFonts w:cstheme="minorHAnsi"/>
              </w:rPr>
              <w:t>In order to ensure fair hearing, this question shall be anchored in the project SEP as an ongoing concern.</w:t>
            </w:r>
          </w:p>
          <w:p w14:paraId="4DF12A6E">
            <w:pPr>
              <w:tabs>
                <w:tab w:val="left" w:pos="709"/>
              </w:tabs>
              <w:spacing w:before="100" w:beforeAutospacing="1" w:after="100" w:afterAutospacing="1" w:line="240" w:lineRule="auto"/>
              <w:jc w:val="both"/>
              <w:rPr>
                <w:rFonts w:cstheme="minorHAnsi"/>
              </w:rPr>
            </w:pPr>
            <w:r>
              <w:rPr>
                <w:rFonts w:cstheme="minorHAnsi"/>
              </w:rPr>
              <w:t xml:space="preserve">The Court has issued Stay Orders on the case and allowed parties to remedy the situation at the Dumpsite. The Environmental &amp; Management Coordination Act that regulates the proceedings of Tribunal and Environmental Law Court  provides an </w:t>
            </w:r>
            <w:r>
              <w:rPr>
                <w:rFonts w:cstheme="minorHAnsi"/>
                <w:b/>
                <w:bCs/>
              </w:rPr>
              <w:t>automatic stay</w:t>
            </w:r>
            <w:r>
              <w:rPr>
                <w:rFonts w:cstheme="minorHAnsi"/>
              </w:rPr>
              <w:t xml:space="preserve"> under section 130 which states the following;</w:t>
            </w:r>
            <w:r>
              <w:rPr>
                <w:rFonts w:cstheme="minorHAnsi"/>
                <w:i/>
                <w:iCs/>
              </w:rPr>
              <w:t xml:space="preserve"> No decision or order of the Tribunal shall be enforced until the time for lodging an appeal has expired or, where the appeal has been commenced, until the appeal has been determined. </w:t>
            </w:r>
          </w:p>
          <w:p w14:paraId="37F589DD">
            <w:pPr>
              <w:rPr>
                <w:rFonts w:cstheme="minorHAnsi"/>
              </w:rPr>
            </w:pPr>
            <w:r>
              <w:rPr>
                <w:rFonts w:cstheme="minorHAnsi"/>
              </w:rPr>
              <w:t>The Appeal has been allowed by the Environment and Court and amention done. As of now one of the Petitioners out of the two who had filed the case has since withdrawn from the Petition and sent withdrawal to the Court email. </w:t>
            </w:r>
          </w:p>
          <w:p w14:paraId="472803EB">
            <w:pPr>
              <w:tabs>
                <w:tab w:val="left" w:pos="709"/>
              </w:tabs>
              <w:spacing w:before="100" w:beforeAutospacing="1" w:after="100" w:afterAutospacing="1" w:line="240" w:lineRule="auto"/>
              <w:jc w:val="both"/>
              <w:rPr>
                <w:rFonts w:cstheme="minorHAnsi"/>
                <w:highlight w:val="yellow"/>
              </w:rPr>
            </w:pPr>
            <w:r>
              <w:rPr>
                <w:rFonts w:cstheme="minorHAnsi"/>
              </w:rPr>
              <w:t>This Project is one of the definite actions that the County is taking in order to improve the site and ensure the site in question is managed well including access control, solid waste management and air-fouling.</w:t>
            </w:r>
          </w:p>
        </w:tc>
      </w:tr>
      <w:tr w14:paraId="6C0477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 w:type="dxa"/>
          </w:tcPr>
          <w:p w14:paraId="457E5C99">
            <w:pPr>
              <w:tabs>
                <w:tab w:val="left" w:pos="709"/>
              </w:tabs>
              <w:spacing w:before="100" w:beforeAutospacing="1" w:after="100" w:afterAutospacing="1" w:line="240" w:lineRule="auto"/>
              <w:jc w:val="both"/>
              <w:rPr>
                <w:rFonts w:cstheme="minorHAnsi"/>
              </w:rPr>
            </w:pPr>
            <w:r>
              <w:rPr>
                <w:rFonts w:cstheme="minorHAnsi"/>
              </w:rPr>
              <w:t>4</w:t>
            </w:r>
          </w:p>
        </w:tc>
        <w:tc>
          <w:tcPr>
            <w:tcW w:w="3747" w:type="dxa"/>
          </w:tcPr>
          <w:p w14:paraId="1BB32BC8">
            <w:pPr>
              <w:tabs>
                <w:tab w:val="left" w:pos="709"/>
              </w:tabs>
              <w:spacing w:before="100" w:beforeAutospacing="1" w:after="100" w:afterAutospacing="1" w:line="240" w:lineRule="auto"/>
              <w:jc w:val="both"/>
              <w:rPr>
                <w:rFonts w:cstheme="minorHAnsi"/>
              </w:rPr>
            </w:pPr>
            <w:r>
              <w:rPr>
                <w:rFonts w:cstheme="minorHAnsi"/>
              </w:rPr>
              <w:t>A member proposed Public Private Partnerships during the proposed project operation phase to enable proper management of the plant.</w:t>
            </w:r>
          </w:p>
        </w:tc>
        <w:tc>
          <w:tcPr>
            <w:tcW w:w="4578" w:type="dxa"/>
          </w:tcPr>
          <w:p w14:paraId="43A35519">
            <w:pPr>
              <w:tabs>
                <w:tab w:val="left" w:pos="709"/>
              </w:tabs>
              <w:spacing w:before="100" w:beforeAutospacing="1" w:after="100" w:afterAutospacing="1" w:line="240" w:lineRule="auto"/>
              <w:jc w:val="both"/>
              <w:rPr>
                <w:rFonts w:cstheme="minorHAnsi"/>
              </w:rPr>
            </w:pPr>
            <w:r>
              <w:rPr>
                <w:rFonts w:cstheme="minorHAnsi"/>
              </w:rPr>
              <w:t>This was noted</w:t>
            </w:r>
          </w:p>
        </w:tc>
      </w:tr>
      <w:tr w14:paraId="1050CB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 w:type="dxa"/>
          </w:tcPr>
          <w:p w14:paraId="0275A808">
            <w:pPr>
              <w:tabs>
                <w:tab w:val="left" w:pos="709"/>
              </w:tabs>
              <w:spacing w:after="0" w:line="240" w:lineRule="auto"/>
              <w:jc w:val="both"/>
              <w:rPr>
                <w:rFonts w:cstheme="minorHAnsi"/>
              </w:rPr>
            </w:pPr>
            <w:r>
              <w:rPr>
                <w:rFonts w:cstheme="minorHAnsi"/>
              </w:rPr>
              <w:t>5</w:t>
            </w:r>
          </w:p>
        </w:tc>
        <w:tc>
          <w:tcPr>
            <w:tcW w:w="3747" w:type="dxa"/>
          </w:tcPr>
          <w:p w14:paraId="76BBEE61">
            <w:pPr>
              <w:tabs>
                <w:tab w:val="left" w:pos="709"/>
              </w:tabs>
              <w:spacing w:after="0" w:line="240" w:lineRule="auto"/>
              <w:jc w:val="both"/>
              <w:rPr>
                <w:rFonts w:cstheme="minorHAnsi"/>
              </w:rPr>
            </w:pPr>
            <w:r>
              <w:rPr>
                <w:rFonts w:cstheme="minorHAnsi"/>
              </w:rPr>
              <w:t>The attendees wanted to understand the importance of the byproducts of the proposed plant.</w:t>
            </w:r>
          </w:p>
        </w:tc>
        <w:tc>
          <w:tcPr>
            <w:tcW w:w="4578" w:type="dxa"/>
          </w:tcPr>
          <w:p w14:paraId="22B4F747">
            <w:pPr>
              <w:tabs>
                <w:tab w:val="left" w:pos="709"/>
              </w:tabs>
              <w:spacing w:after="0" w:line="240" w:lineRule="auto"/>
              <w:jc w:val="both"/>
              <w:rPr>
                <w:rFonts w:cstheme="minorHAnsi"/>
              </w:rPr>
            </w:pPr>
            <w:r>
              <w:rPr>
                <w:rFonts w:cstheme="minorHAnsi"/>
              </w:rPr>
              <w:t>There will be production of waste water, that after undergoing treatment can be used for irrigation in farms.</w:t>
            </w:r>
          </w:p>
          <w:p w14:paraId="137F28E6">
            <w:pPr>
              <w:tabs>
                <w:tab w:val="left" w:pos="709"/>
              </w:tabs>
              <w:spacing w:after="0" w:line="240" w:lineRule="auto"/>
              <w:jc w:val="both"/>
              <w:rPr>
                <w:rFonts w:cstheme="minorHAnsi"/>
              </w:rPr>
            </w:pPr>
            <w:r>
              <w:rPr>
                <w:rFonts w:cstheme="minorHAnsi"/>
              </w:rPr>
              <w:t>The dried sludge could be used as manure, or processed into briquettes.</w:t>
            </w:r>
          </w:p>
        </w:tc>
      </w:tr>
      <w:tr w14:paraId="13F378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2" w:type="dxa"/>
          </w:tcPr>
          <w:p w14:paraId="06A2C109">
            <w:pPr>
              <w:tabs>
                <w:tab w:val="left" w:pos="709"/>
              </w:tabs>
              <w:spacing w:after="0" w:line="240" w:lineRule="auto"/>
              <w:jc w:val="both"/>
              <w:rPr>
                <w:rFonts w:cstheme="minorHAnsi"/>
              </w:rPr>
            </w:pPr>
            <w:r>
              <w:rPr>
                <w:rFonts w:cstheme="minorHAnsi"/>
              </w:rPr>
              <w:t>6</w:t>
            </w:r>
          </w:p>
        </w:tc>
        <w:tc>
          <w:tcPr>
            <w:tcW w:w="3747" w:type="dxa"/>
          </w:tcPr>
          <w:p w14:paraId="2CD41C2F">
            <w:pPr>
              <w:tabs>
                <w:tab w:val="left" w:pos="709"/>
              </w:tabs>
              <w:spacing w:after="0" w:line="240" w:lineRule="auto"/>
              <w:jc w:val="both"/>
              <w:rPr>
                <w:rFonts w:cstheme="minorHAnsi"/>
              </w:rPr>
            </w:pPr>
            <w:r>
              <w:rPr>
                <w:rFonts w:cstheme="minorHAnsi"/>
              </w:rPr>
              <w:t>This is a high risk project, it should be taken with a lot of seriousness, and ensure all the possible negative impacts are addressed well.</w:t>
            </w:r>
          </w:p>
        </w:tc>
        <w:tc>
          <w:tcPr>
            <w:tcW w:w="4578" w:type="dxa"/>
          </w:tcPr>
          <w:p w14:paraId="604A0D77">
            <w:pPr>
              <w:tabs>
                <w:tab w:val="left" w:pos="709"/>
              </w:tabs>
              <w:spacing w:after="0" w:line="240" w:lineRule="auto"/>
              <w:jc w:val="both"/>
              <w:rPr>
                <w:rFonts w:cstheme="minorHAnsi"/>
              </w:rPr>
            </w:pPr>
            <w:r>
              <w:rPr>
                <w:rFonts w:cstheme="minorHAnsi"/>
              </w:rPr>
              <w:t>There shall be an ESMMP available that shall be addressing all the anticipated negative impacts and the costs indicated.</w:t>
            </w:r>
          </w:p>
        </w:tc>
      </w:tr>
    </w:tbl>
    <w:p w14:paraId="7E678FA0">
      <w:pPr>
        <w:pStyle w:val="23"/>
      </w:pPr>
      <w:bookmarkStart w:id="346" w:name="_Toc179556828"/>
      <w:bookmarkStart w:id="347" w:name="_Toc165561328"/>
      <w:bookmarkStart w:id="348" w:name="_Toc163820049"/>
      <w:bookmarkStart w:id="349" w:name="_Toc170723019"/>
      <w:bookmarkStart w:id="350" w:name="_Toc160348534"/>
      <w:r>
        <w:t xml:space="preserve">Table </w:t>
      </w:r>
      <w:r>
        <w:fldChar w:fldCharType="begin"/>
      </w:r>
      <w:r>
        <w:instrText xml:space="preserve"> SEQ Table \* ARABIC </w:instrText>
      </w:r>
      <w:r>
        <w:fldChar w:fldCharType="separate"/>
      </w:r>
      <w:r>
        <w:t>17</w:t>
      </w:r>
      <w:r>
        <w:fldChar w:fldCharType="end"/>
      </w:r>
      <w:r>
        <w:t>: Summary of Public Participation Issues</w:t>
      </w:r>
      <w:bookmarkEnd w:id="346"/>
    </w:p>
    <w:tbl>
      <w:tblPr>
        <w:tblStyle w:val="86"/>
        <w:tblW w:w="8647" w:type="dxa"/>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07"/>
        <w:gridCol w:w="3680"/>
        <w:gridCol w:w="4460"/>
      </w:tblGrid>
      <w:tr w14:paraId="41311B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trPr>
        <w:tc>
          <w:tcPr>
            <w:tcW w:w="349" w:type="dxa"/>
            <w:shd w:val="clear" w:color="auto" w:fill="70AD47" w:themeFill="accent6"/>
          </w:tcPr>
          <w:p w14:paraId="65FDF6D7">
            <w:pPr>
              <w:tabs>
                <w:tab w:val="left" w:pos="709"/>
              </w:tabs>
              <w:spacing w:before="100" w:beforeAutospacing="1" w:after="100" w:afterAutospacing="1" w:line="240" w:lineRule="auto"/>
              <w:jc w:val="both"/>
              <w:rPr>
                <w:rFonts w:cstheme="minorHAnsi"/>
                <w:b/>
              </w:rPr>
            </w:pPr>
            <w:r>
              <w:rPr>
                <w:rFonts w:cstheme="minorHAnsi"/>
                <w:b/>
              </w:rPr>
              <w:t>S No.</w:t>
            </w:r>
          </w:p>
        </w:tc>
        <w:tc>
          <w:tcPr>
            <w:tcW w:w="3737" w:type="dxa"/>
            <w:shd w:val="clear" w:color="auto" w:fill="70AD47" w:themeFill="accent6"/>
          </w:tcPr>
          <w:p w14:paraId="5AF390E9">
            <w:pPr>
              <w:tabs>
                <w:tab w:val="left" w:pos="709"/>
              </w:tabs>
              <w:spacing w:before="100" w:beforeAutospacing="1" w:after="100" w:afterAutospacing="1" w:line="240" w:lineRule="auto"/>
              <w:jc w:val="both"/>
              <w:rPr>
                <w:rFonts w:cstheme="minorHAnsi"/>
                <w:b/>
              </w:rPr>
            </w:pPr>
            <w:r>
              <w:rPr>
                <w:rFonts w:cstheme="minorHAnsi"/>
                <w:b/>
              </w:rPr>
              <w:t>Concern/Comment/Question</w:t>
            </w:r>
          </w:p>
        </w:tc>
        <w:tc>
          <w:tcPr>
            <w:tcW w:w="4561" w:type="dxa"/>
            <w:shd w:val="clear" w:color="auto" w:fill="70AD47" w:themeFill="accent6"/>
          </w:tcPr>
          <w:p w14:paraId="4D0B2FAF">
            <w:pPr>
              <w:tabs>
                <w:tab w:val="left" w:pos="709"/>
              </w:tabs>
              <w:spacing w:before="100" w:beforeAutospacing="1" w:after="100" w:afterAutospacing="1" w:line="240" w:lineRule="auto"/>
              <w:jc w:val="both"/>
              <w:rPr>
                <w:rFonts w:cstheme="minorHAnsi"/>
                <w:b/>
              </w:rPr>
            </w:pPr>
            <w:r>
              <w:rPr>
                <w:rFonts w:cstheme="minorHAnsi"/>
                <w:b/>
              </w:rPr>
              <w:t>Response/Recommendation</w:t>
            </w:r>
          </w:p>
        </w:tc>
      </w:tr>
      <w:tr w14:paraId="2D6540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9" w:type="dxa"/>
          </w:tcPr>
          <w:p w14:paraId="1403548C">
            <w:pPr>
              <w:tabs>
                <w:tab w:val="left" w:pos="709"/>
              </w:tabs>
              <w:spacing w:before="100" w:beforeAutospacing="1" w:after="100" w:afterAutospacing="1" w:line="240" w:lineRule="auto"/>
              <w:jc w:val="both"/>
              <w:rPr>
                <w:rFonts w:cstheme="minorHAnsi"/>
              </w:rPr>
            </w:pPr>
            <w:r>
              <w:rPr>
                <w:rFonts w:cstheme="minorHAnsi"/>
              </w:rPr>
              <w:t>1</w:t>
            </w:r>
          </w:p>
        </w:tc>
        <w:tc>
          <w:tcPr>
            <w:tcW w:w="3737" w:type="dxa"/>
          </w:tcPr>
          <w:p w14:paraId="5ECF3BA0">
            <w:pPr>
              <w:tabs>
                <w:tab w:val="left" w:pos="709"/>
              </w:tabs>
              <w:spacing w:before="100" w:beforeAutospacing="1" w:after="100" w:afterAutospacing="1" w:line="240" w:lineRule="auto"/>
              <w:jc w:val="both"/>
              <w:rPr>
                <w:rFonts w:cstheme="minorHAnsi"/>
              </w:rPr>
            </w:pPr>
            <w:r>
              <w:rPr>
                <w:rFonts w:cstheme="minorHAnsi"/>
              </w:rPr>
              <w:t>Already the existing dumpsite has not been well managed, how can the client assure us that it will not be the same with the proposed FSTP?</w:t>
            </w:r>
          </w:p>
        </w:tc>
        <w:tc>
          <w:tcPr>
            <w:tcW w:w="4561" w:type="dxa"/>
          </w:tcPr>
          <w:p w14:paraId="4F2F4EE1">
            <w:pPr>
              <w:tabs>
                <w:tab w:val="left" w:pos="709"/>
              </w:tabs>
              <w:spacing w:before="100" w:beforeAutospacing="1" w:after="100" w:afterAutospacing="1" w:line="240" w:lineRule="auto"/>
              <w:jc w:val="both"/>
              <w:rPr>
                <w:rFonts w:cstheme="minorHAnsi"/>
              </w:rPr>
            </w:pPr>
            <w:r>
              <w:rPr>
                <w:rFonts w:cstheme="minorHAnsi"/>
              </w:rPr>
              <w:t>The consultant and client stated that there shall be operation and maintenance plans in place to manage the plant.</w:t>
            </w:r>
          </w:p>
          <w:p w14:paraId="64F1DAD6">
            <w:pPr>
              <w:tabs>
                <w:tab w:val="left" w:pos="709"/>
              </w:tabs>
              <w:spacing w:before="100" w:beforeAutospacing="1" w:after="100" w:afterAutospacing="1" w:line="240" w:lineRule="auto"/>
              <w:jc w:val="both"/>
              <w:rPr>
                <w:rFonts w:cstheme="minorHAnsi"/>
              </w:rPr>
            </w:pPr>
            <w:r>
              <w:rPr>
                <w:rFonts w:cstheme="minorHAnsi"/>
              </w:rPr>
              <w:t>There shall also be PPPs which will help in this as well.</w:t>
            </w:r>
          </w:p>
        </w:tc>
      </w:tr>
      <w:tr w14:paraId="5E0F9A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9" w:type="dxa"/>
          </w:tcPr>
          <w:p w14:paraId="206552AB">
            <w:pPr>
              <w:tabs>
                <w:tab w:val="left" w:pos="709"/>
              </w:tabs>
              <w:spacing w:before="100" w:beforeAutospacing="1" w:after="100" w:afterAutospacing="1" w:line="240" w:lineRule="auto"/>
              <w:jc w:val="both"/>
              <w:rPr>
                <w:rFonts w:cstheme="minorHAnsi"/>
              </w:rPr>
            </w:pPr>
            <w:r>
              <w:rPr>
                <w:rFonts w:cstheme="minorHAnsi"/>
              </w:rPr>
              <w:t>2</w:t>
            </w:r>
          </w:p>
        </w:tc>
        <w:tc>
          <w:tcPr>
            <w:tcW w:w="3737" w:type="dxa"/>
          </w:tcPr>
          <w:p w14:paraId="6A211F05">
            <w:pPr>
              <w:tabs>
                <w:tab w:val="left" w:pos="709"/>
              </w:tabs>
              <w:spacing w:before="100" w:beforeAutospacing="1" w:after="100" w:afterAutospacing="1" w:line="240" w:lineRule="auto"/>
              <w:jc w:val="both"/>
              <w:rPr>
                <w:rFonts w:cstheme="minorHAnsi"/>
              </w:rPr>
            </w:pPr>
            <w:r>
              <w:rPr>
                <w:rFonts w:cstheme="minorHAnsi"/>
              </w:rPr>
              <w:t>There should be direct benefits to the locals of Alimaow and Furaha areas.</w:t>
            </w:r>
          </w:p>
        </w:tc>
        <w:tc>
          <w:tcPr>
            <w:tcW w:w="4561" w:type="dxa"/>
          </w:tcPr>
          <w:p w14:paraId="13AFE5CD">
            <w:pPr>
              <w:tabs>
                <w:tab w:val="left" w:pos="709"/>
              </w:tabs>
              <w:spacing w:before="100" w:beforeAutospacing="1" w:after="100" w:afterAutospacing="1" w:line="240" w:lineRule="auto"/>
              <w:jc w:val="both"/>
              <w:rPr>
                <w:rFonts w:cstheme="minorHAnsi"/>
              </w:rPr>
            </w:pPr>
            <w:r>
              <w:rPr>
                <w:rFonts w:cstheme="minorHAnsi"/>
              </w:rPr>
              <w:t>This was noted.</w:t>
            </w:r>
          </w:p>
        </w:tc>
      </w:tr>
      <w:tr w14:paraId="60227F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9" w:type="dxa"/>
          </w:tcPr>
          <w:p w14:paraId="17B74B72">
            <w:pPr>
              <w:tabs>
                <w:tab w:val="left" w:pos="709"/>
              </w:tabs>
              <w:spacing w:before="100" w:beforeAutospacing="1" w:after="100" w:afterAutospacing="1" w:line="240" w:lineRule="auto"/>
              <w:jc w:val="both"/>
              <w:rPr>
                <w:rFonts w:cstheme="minorHAnsi"/>
              </w:rPr>
            </w:pPr>
            <w:r>
              <w:rPr>
                <w:rFonts w:cstheme="minorHAnsi"/>
              </w:rPr>
              <w:t>3</w:t>
            </w:r>
          </w:p>
        </w:tc>
        <w:tc>
          <w:tcPr>
            <w:tcW w:w="3737" w:type="dxa"/>
          </w:tcPr>
          <w:p w14:paraId="6DD6039E">
            <w:pPr>
              <w:tabs>
                <w:tab w:val="left" w:pos="709"/>
              </w:tabs>
              <w:spacing w:before="100" w:beforeAutospacing="1" w:after="100" w:afterAutospacing="1" w:line="240" w:lineRule="auto"/>
              <w:jc w:val="both"/>
              <w:rPr>
                <w:rFonts w:cstheme="minorHAnsi"/>
              </w:rPr>
            </w:pPr>
            <w:r>
              <w:rPr>
                <w:rFonts w:cstheme="minorHAnsi"/>
              </w:rPr>
              <w:t>With the existing court case on the management of the existing dumpsite, how is the client going to ensure it is handled to prevent conflicts with the locals</w:t>
            </w:r>
          </w:p>
        </w:tc>
        <w:tc>
          <w:tcPr>
            <w:tcW w:w="4561" w:type="dxa"/>
          </w:tcPr>
          <w:p w14:paraId="17AE37D7">
            <w:pPr>
              <w:tabs>
                <w:tab w:val="left" w:pos="709"/>
              </w:tabs>
              <w:spacing w:before="100" w:beforeAutospacing="1" w:after="100" w:afterAutospacing="1" w:line="240" w:lineRule="auto"/>
              <w:jc w:val="both"/>
              <w:rPr>
                <w:rFonts w:cstheme="minorHAnsi"/>
              </w:rPr>
            </w:pPr>
            <w:r>
              <w:rPr>
                <w:rFonts w:cstheme="minorHAnsi"/>
              </w:rPr>
              <w:t>The client expressed his concern and said that he shall ensure every issue is addressed to enable the project progresses without fail for the better of the community and Wajir as a whole.</w:t>
            </w:r>
          </w:p>
          <w:p w14:paraId="2CC60C59">
            <w:pPr>
              <w:tabs>
                <w:tab w:val="left" w:pos="709"/>
              </w:tabs>
              <w:spacing w:before="100" w:beforeAutospacing="1" w:after="100" w:afterAutospacing="1" w:line="240" w:lineRule="auto"/>
              <w:jc w:val="both"/>
              <w:rPr>
                <w:rFonts w:cstheme="minorHAnsi"/>
              </w:rPr>
            </w:pPr>
            <w:r>
              <w:rPr>
                <w:rFonts w:cstheme="minorHAnsi"/>
              </w:rPr>
              <w:t>In order to ensure fair hearing, this question shall be anchored in the project SEP as an ongoing concern.</w:t>
            </w:r>
          </w:p>
          <w:p w14:paraId="7EF602A2">
            <w:pPr>
              <w:tabs>
                <w:tab w:val="left" w:pos="709"/>
              </w:tabs>
              <w:spacing w:before="100" w:beforeAutospacing="1" w:after="100" w:afterAutospacing="1" w:line="240" w:lineRule="auto"/>
              <w:jc w:val="both"/>
              <w:rPr>
                <w:rFonts w:cstheme="minorHAnsi"/>
              </w:rPr>
            </w:pPr>
            <w:r>
              <w:rPr>
                <w:rFonts w:cstheme="minorHAnsi"/>
              </w:rPr>
              <w:t xml:space="preserve">The Court has issued Stay Orders on the case and allowed parties to remedy the situation at the Dumpsite. The Environmental &amp; Management Coordination Act that regulates the proceedings of Tribunal and Environmental Law Court  provides an </w:t>
            </w:r>
            <w:r>
              <w:rPr>
                <w:rFonts w:cstheme="minorHAnsi"/>
                <w:b/>
                <w:bCs/>
              </w:rPr>
              <w:t>automatic stay</w:t>
            </w:r>
            <w:r>
              <w:rPr>
                <w:rFonts w:cstheme="minorHAnsi"/>
              </w:rPr>
              <w:t xml:space="preserve"> under section 130 which states the following;</w:t>
            </w:r>
            <w:r>
              <w:rPr>
                <w:rFonts w:cstheme="minorHAnsi"/>
                <w:i/>
                <w:iCs/>
              </w:rPr>
              <w:t xml:space="preserve"> No decision or order of the Tribunal shall be enforced until the time for lodging an appeal has expired or, where the appeal has been commenced, until the appeal has been determined. </w:t>
            </w:r>
          </w:p>
          <w:p w14:paraId="5146D02F">
            <w:pPr>
              <w:rPr>
                <w:rFonts w:cstheme="minorHAnsi"/>
              </w:rPr>
            </w:pPr>
            <w:r>
              <w:rPr>
                <w:rFonts w:cstheme="minorHAnsi"/>
              </w:rPr>
              <w:t>The Appeal has been allowed by the Environment and Court and amention done. As of now one of the Petitioners out of the two who had filed the case has since withdrawn from the Petition and sent withdrawal to the Court email. </w:t>
            </w:r>
          </w:p>
          <w:p w14:paraId="4655AEDF">
            <w:pPr>
              <w:tabs>
                <w:tab w:val="left" w:pos="709"/>
              </w:tabs>
              <w:spacing w:before="100" w:beforeAutospacing="1" w:after="100" w:afterAutospacing="1" w:line="240" w:lineRule="auto"/>
              <w:jc w:val="both"/>
              <w:rPr>
                <w:rFonts w:cstheme="minorHAnsi"/>
              </w:rPr>
            </w:pPr>
            <w:r>
              <w:rPr>
                <w:rFonts w:cstheme="minorHAnsi"/>
              </w:rPr>
              <w:t>This Project is one of the definite actions that the County is taking in order to improve the site and ensure the site in question is managed well including access control, solid waste management and air-fouling.</w:t>
            </w:r>
          </w:p>
        </w:tc>
      </w:tr>
      <w:tr w14:paraId="34991C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9" w:type="dxa"/>
          </w:tcPr>
          <w:p w14:paraId="2676875E">
            <w:pPr>
              <w:tabs>
                <w:tab w:val="left" w:pos="709"/>
              </w:tabs>
              <w:spacing w:before="100" w:beforeAutospacing="1" w:after="100" w:afterAutospacing="1" w:line="240" w:lineRule="auto"/>
              <w:jc w:val="both"/>
              <w:rPr>
                <w:rFonts w:cstheme="minorHAnsi"/>
              </w:rPr>
            </w:pPr>
            <w:r>
              <w:rPr>
                <w:rFonts w:cstheme="minorHAnsi"/>
              </w:rPr>
              <w:t>4</w:t>
            </w:r>
          </w:p>
        </w:tc>
        <w:tc>
          <w:tcPr>
            <w:tcW w:w="3737" w:type="dxa"/>
          </w:tcPr>
          <w:p w14:paraId="2C33F1B3">
            <w:pPr>
              <w:tabs>
                <w:tab w:val="left" w:pos="709"/>
              </w:tabs>
              <w:spacing w:before="100" w:beforeAutospacing="1" w:after="100" w:afterAutospacing="1" w:line="240" w:lineRule="auto"/>
              <w:jc w:val="both"/>
              <w:rPr>
                <w:rFonts w:cstheme="minorHAnsi"/>
              </w:rPr>
            </w:pPr>
            <w:r>
              <w:rPr>
                <w:rFonts w:cstheme="minorHAnsi"/>
              </w:rPr>
              <w:t xml:space="preserve">A member stated that other members of the community who had not attended the meeting should also be consulted at a later stage before the project starts. </w:t>
            </w:r>
          </w:p>
        </w:tc>
        <w:tc>
          <w:tcPr>
            <w:tcW w:w="4561" w:type="dxa"/>
          </w:tcPr>
          <w:p w14:paraId="5FCC1D9E">
            <w:pPr>
              <w:tabs>
                <w:tab w:val="left" w:pos="709"/>
              </w:tabs>
              <w:spacing w:before="100" w:beforeAutospacing="1" w:after="100" w:afterAutospacing="1" w:line="240" w:lineRule="auto"/>
              <w:jc w:val="both"/>
              <w:rPr>
                <w:rFonts w:cstheme="minorHAnsi"/>
              </w:rPr>
            </w:pPr>
            <w:r>
              <w:rPr>
                <w:rFonts w:cstheme="minorHAnsi"/>
              </w:rPr>
              <w:t>This was noted</w:t>
            </w:r>
          </w:p>
        </w:tc>
      </w:tr>
      <w:tr w14:paraId="1AD68A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9" w:type="dxa"/>
          </w:tcPr>
          <w:p w14:paraId="70D6F165">
            <w:pPr>
              <w:tabs>
                <w:tab w:val="left" w:pos="709"/>
              </w:tabs>
              <w:spacing w:after="0" w:line="240" w:lineRule="auto"/>
              <w:jc w:val="both"/>
              <w:rPr>
                <w:rFonts w:cstheme="minorHAnsi"/>
              </w:rPr>
            </w:pPr>
            <w:r>
              <w:rPr>
                <w:rFonts w:cstheme="minorHAnsi"/>
              </w:rPr>
              <w:t>5</w:t>
            </w:r>
          </w:p>
        </w:tc>
        <w:tc>
          <w:tcPr>
            <w:tcW w:w="3737" w:type="dxa"/>
          </w:tcPr>
          <w:p w14:paraId="00F7B07F">
            <w:pPr>
              <w:tabs>
                <w:tab w:val="left" w:pos="709"/>
              </w:tabs>
              <w:spacing w:after="0" w:line="240" w:lineRule="auto"/>
              <w:jc w:val="both"/>
              <w:rPr>
                <w:rFonts w:cstheme="minorHAnsi"/>
              </w:rPr>
            </w:pPr>
            <w:r>
              <w:rPr>
                <w:rFonts w:cstheme="minorHAnsi"/>
              </w:rPr>
              <w:t>The attendees wanted to understand the importance of the byproducts of the proposed plant.</w:t>
            </w:r>
          </w:p>
        </w:tc>
        <w:tc>
          <w:tcPr>
            <w:tcW w:w="4561" w:type="dxa"/>
          </w:tcPr>
          <w:p w14:paraId="393AB4E8">
            <w:pPr>
              <w:tabs>
                <w:tab w:val="left" w:pos="709"/>
              </w:tabs>
              <w:spacing w:after="0" w:line="240" w:lineRule="auto"/>
              <w:jc w:val="both"/>
              <w:rPr>
                <w:rFonts w:cstheme="minorHAnsi"/>
              </w:rPr>
            </w:pPr>
            <w:r>
              <w:rPr>
                <w:rFonts w:cstheme="minorHAnsi"/>
              </w:rPr>
              <w:t>There will be production of wastewater, that after undergoing treatment can be used for irrigation in farms.</w:t>
            </w:r>
          </w:p>
          <w:p w14:paraId="1C3AE7AD">
            <w:pPr>
              <w:tabs>
                <w:tab w:val="left" w:pos="709"/>
              </w:tabs>
              <w:spacing w:after="0" w:line="240" w:lineRule="auto"/>
              <w:jc w:val="both"/>
              <w:rPr>
                <w:rFonts w:cstheme="minorHAnsi"/>
              </w:rPr>
            </w:pPr>
            <w:r>
              <w:rPr>
                <w:rFonts w:cstheme="minorHAnsi"/>
              </w:rPr>
              <w:t>The dried sludge could be used as manure or processed into briquettes.</w:t>
            </w:r>
          </w:p>
        </w:tc>
      </w:tr>
      <w:tr w14:paraId="46BC25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49" w:type="dxa"/>
          </w:tcPr>
          <w:p w14:paraId="337AE306">
            <w:pPr>
              <w:tabs>
                <w:tab w:val="left" w:pos="709"/>
              </w:tabs>
              <w:spacing w:after="0" w:line="240" w:lineRule="auto"/>
              <w:jc w:val="both"/>
              <w:rPr>
                <w:rFonts w:cstheme="minorHAnsi"/>
              </w:rPr>
            </w:pPr>
            <w:r>
              <w:rPr>
                <w:rFonts w:cstheme="minorHAnsi"/>
              </w:rPr>
              <w:t>6</w:t>
            </w:r>
          </w:p>
        </w:tc>
        <w:tc>
          <w:tcPr>
            <w:tcW w:w="3737" w:type="dxa"/>
          </w:tcPr>
          <w:p w14:paraId="0C642FE7">
            <w:pPr>
              <w:tabs>
                <w:tab w:val="left" w:pos="709"/>
              </w:tabs>
              <w:spacing w:after="0" w:line="240" w:lineRule="auto"/>
              <w:jc w:val="both"/>
              <w:rPr>
                <w:rFonts w:cstheme="minorHAnsi"/>
              </w:rPr>
            </w:pPr>
            <w:r>
              <w:rPr>
                <w:rFonts w:cstheme="minorHAnsi"/>
              </w:rPr>
              <w:t>The attendees expressed their concern with the client, thus were reluctant if the project will be successful given the past incidences of corruption that have led to project failures in the community, and thus were requesting that the project to be taken with the serious it deserves  by audits to prevent project failures.</w:t>
            </w:r>
          </w:p>
        </w:tc>
        <w:tc>
          <w:tcPr>
            <w:tcW w:w="4561" w:type="dxa"/>
          </w:tcPr>
          <w:p w14:paraId="7A8E78C5">
            <w:pPr>
              <w:tabs>
                <w:tab w:val="left" w:pos="709"/>
              </w:tabs>
              <w:spacing w:after="0" w:line="240" w:lineRule="auto"/>
              <w:jc w:val="both"/>
              <w:rPr>
                <w:rFonts w:cstheme="minorHAnsi"/>
              </w:rPr>
            </w:pPr>
            <w:r>
              <w:rPr>
                <w:rFonts w:cstheme="minorHAnsi"/>
              </w:rPr>
              <w:t>This was noted.</w:t>
            </w:r>
          </w:p>
        </w:tc>
      </w:tr>
    </w:tbl>
    <w:p w14:paraId="3AEB7396">
      <w:pPr>
        <w:pStyle w:val="117"/>
      </w:pPr>
      <w:bookmarkStart w:id="351" w:name="_Toc179904086"/>
      <w:r>
        <w:t>7.5</w:t>
      </w:r>
      <w:r>
        <w:tab/>
      </w:r>
      <w:r>
        <w:t>Stakeholder Engagement Outcomes in the EIA report and Final Design of the Project</w:t>
      </w:r>
      <w:bookmarkEnd w:id="347"/>
      <w:bookmarkEnd w:id="348"/>
      <w:bookmarkEnd w:id="349"/>
      <w:bookmarkEnd w:id="350"/>
      <w:bookmarkEnd w:id="351"/>
    </w:p>
    <w:p w14:paraId="75BE1077">
      <w:pPr>
        <w:tabs>
          <w:tab w:val="left" w:pos="709"/>
        </w:tabs>
        <w:ind w:left="709"/>
        <w:jc w:val="both"/>
      </w:pPr>
      <w:bookmarkStart w:id="352" w:name="Employment_Opportunities_for_the_Public"/>
      <w:bookmarkEnd w:id="352"/>
      <w:bookmarkStart w:id="353" w:name="_bookmark95"/>
      <w:bookmarkEnd w:id="353"/>
      <w:bookmarkStart w:id="354" w:name="_Toc170723023"/>
      <w:r>
        <w:t>The stakeholders’ opinions on the design and operation of the proposed FSTP, were noted by the engineers and shall be in cooperated in the final design report.</w:t>
      </w:r>
    </w:p>
    <w:p w14:paraId="05F8D338">
      <w:pPr>
        <w:tabs>
          <w:tab w:val="left" w:pos="709"/>
        </w:tabs>
        <w:ind w:left="709"/>
        <w:jc w:val="both"/>
      </w:pPr>
      <w:r>
        <w:t>All the stakeholders that were engaged in the exercise confirmed that they were fully aware of the proposed project, and that they were concerned about how long it has taken for such a vital project had taken too long to be approved and implemented, as the locals and residents of Wajir are facing sanitation challenges. The other main concerns noted from the interviews and questionnaires are that;</w:t>
      </w:r>
    </w:p>
    <w:p w14:paraId="1F7AD1CE">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the water table is high and should be prioritized for protection during project implementation, </w:t>
      </w:r>
    </w:p>
    <w:p w14:paraId="4FD0A9AF">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the community should be engaged through questionnaires, public participation and public awareness as it is a high risk project, and their views and perception are key, since they had initially rejected the proposed project as well as the existing dumpsite.</w:t>
      </w:r>
    </w:p>
    <w:p w14:paraId="5CD672FD">
      <w:pPr>
        <w:tabs>
          <w:tab w:val="left" w:pos="709"/>
        </w:tabs>
        <w:ind w:left="709"/>
        <w:jc w:val="both"/>
      </w:pPr>
    </w:p>
    <w:p w14:paraId="729C3310">
      <w:pPr>
        <w:tabs>
          <w:tab w:val="left" w:pos="709"/>
        </w:tabs>
        <w:ind w:left="709"/>
        <w:jc w:val="both"/>
      </w:pPr>
      <w:r>
        <w:t>All the consulted stakeholders expressed their approval for the proposed project, as their departments would benefit more from the project. The positive impacts highlighted include but not limited to;</w:t>
      </w:r>
    </w:p>
    <w:p w14:paraId="33F24E57">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Improved sanitation</w:t>
      </w:r>
    </w:p>
    <w:p w14:paraId="3184C350">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Better management of solid wastes</w:t>
      </w:r>
    </w:p>
    <w:p w14:paraId="5DF26014">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Reduction in hygiene related illnesses</w:t>
      </w:r>
    </w:p>
    <w:p w14:paraId="43758EE5">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Enhance compliance status to EMCA 1999 and other regulations</w:t>
      </w:r>
    </w:p>
    <w:p w14:paraId="363800F7">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Reduced threat of pollution of water, air and soil</w:t>
      </w:r>
    </w:p>
    <w:p w14:paraId="396BDA76">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Improved aesthetic value of the County as a whole </w:t>
      </w:r>
    </w:p>
    <w:p w14:paraId="4465EDD4">
      <w:pPr>
        <w:tabs>
          <w:tab w:val="left" w:pos="709"/>
        </w:tabs>
        <w:ind w:left="709"/>
        <w:jc w:val="both"/>
      </w:pPr>
    </w:p>
    <w:p w14:paraId="695938C4">
      <w:pPr>
        <w:tabs>
          <w:tab w:val="left" w:pos="709"/>
        </w:tabs>
        <w:ind w:left="709"/>
        <w:jc w:val="both"/>
      </w:pPr>
      <w:r>
        <w:t>The negative impacts highlighted include;</w:t>
      </w:r>
    </w:p>
    <w:p w14:paraId="49D75C43">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Air pollution from the bad odor</w:t>
      </w:r>
    </w:p>
    <w:p w14:paraId="360835DE">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Soil pollution</w:t>
      </w:r>
    </w:p>
    <w:p w14:paraId="612E00B6">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Water pollution</w:t>
      </w:r>
    </w:p>
    <w:p w14:paraId="04E4A62C">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Occupational health and safety risks</w:t>
      </w:r>
    </w:p>
    <w:p w14:paraId="178A904E">
      <w:pPr>
        <w:pStyle w:val="117"/>
      </w:pPr>
      <w:bookmarkStart w:id="355" w:name="_Toc179904087"/>
      <w:r>
        <w:t xml:space="preserve">7.6 </w:t>
      </w:r>
      <w:r>
        <w:tab/>
      </w:r>
      <w:r>
        <w:t>Public Disclosure of ESIA and Annual Monitoring Reports</w:t>
      </w:r>
      <w:bookmarkEnd w:id="354"/>
      <w:bookmarkEnd w:id="355"/>
    </w:p>
    <w:p w14:paraId="39CEC98B">
      <w:pPr>
        <w:tabs>
          <w:tab w:val="left" w:pos="450"/>
          <w:tab w:val="left" w:pos="709"/>
          <w:tab w:val="left" w:pos="1080"/>
        </w:tabs>
        <w:spacing w:line="240" w:lineRule="auto"/>
        <w:ind w:left="709"/>
        <w:jc w:val="both"/>
        <w:rPr>
          <w:rFonts w:cs="Times New Roman"/>
        </w:rPr>
      </w:pPr>
      <w:r>
        <w:rPr>
          <w:rFonts w:cs="Times New Roman"/>
        </w:rPr>
        <w:t>In accordance with EMCA 1999 and amendment 2015 and World Bank OP 4.01, the Project Proponent in this case WAJWASCO, will ensure that the Results of Public Consultations including ESIA area disclosed on WSP website.</w:t>
      </w:r>
    </w:p>
    <w:p w14:paraId="4D169EBB">
      <w:pPr>
        <w:tabs>
          <w:tab w:val="left" w:pos="450"/>
          <w:tab w:val="left" w:pos="709"/>
          <w:tab w:val="left" w:pos="1080"/>
        </w:tabs>
        <w:spacing w:line="240" w:lineRule="auto"/>
        <w:ind w:left="709"/>
        <w:jc w:val="both"/>
        <w:rPr>
          <w:rFonts w:cs="Times New Roman"/>
        </w:rPr>
      </w:pPr>
      <w:r>
        <w:rPr>
          <w:rFonts w:cs="Times New Roman"/>
        </w:rPr>
        <w:t>The Reports will also be made available at the chiefs’ office for ease of access by the project interested parties at location level and Project site office, the local Chiefs offices.</w:t>
      </w:r>
    </w:p>
    <w:p w14:paraId="77D43F7A">
      <w:pPr>
        <w:tabs>
          <w:tab w:val="left" w:pos="450"/>
          <w:tab w:val="left" w:pos="709"/>
          <w:tab w:val="left" w:pos="1080"/>
        </w:tabs>
        <w:spacing w:line="240" w:lineRule="auto"/>
        <w:ind w:left="709"/>
        <w:jc w:val="both"/>
        <w:rPr>
          <w:rFonts w:cs="Times New Roman"/>
        </w:rPr>
      </w:pPr>
      <w:r>
        <w:rPr>
          <w:rFonts w:cs="Times New Roman"/>
        </w:rPr>
        <w:t>This disclosure will be done early before commencement of Project Works, 60 days before Contractor’s mobilization on site. In addition, WAJWASCO will ensure that the ESIA Reports are available throughout the project area. During the disclosure period, interested and affected parties will submit their final comments and concerns about the Reports.</w:t>
      </w:r>
    </w:p>
    <w:p w14:paraId="24941978">
      <w:pPr>
        <w:tabs>
          <w:tab w:val="left" w:pos="450"/>
          <w:tab w:val="left" w:pos="709"/>
          <w:tab w:val="left" w:pos="1080"/>
        </w:tabs>
        <w:spacing w:line="240" w:lineRule="auto"/>
        <w:ind w:left="709"/>
        <w:jc w:val="both"/>
        <w:rPr>
          <w:rFonts w:cs="Times New Roman"/>
        </w:rPr>
      </w:pPr>
      <w:r>
        <w:rPr>
          <w:rFonts w:cs="Times New Roman"/>
        </w:rPr>
        <w:t>The Reports and information will also be disclosed at the ESIA Stage by NEMA and during Project Implementation Stage by WAJWASCO. NEMA will require WAJWASCO to undertake a closeout audit after completion of the project and also undertake and initial Environment Audit (EA) immediately after commissioning of the project in the 1</w:t>
      </w:r>
      <w:r>
        <w:rPr>
          <w:rFonts w:cs="Times New Roman"/>
          <w:vertAlign w:val="superscript"/>
        </w:rPr>
        <w:t>st</w:t>
      </w:r>
      <w:r>
        <w:rPr>
          <w:rFonts w:cs="Times New Roman"/>
        </w:rPr>
        <w:t xml:space="preserve"> year, these audits are essential in determining the performance of the project in addressing issues related to environment and social safeguards, gaps identified are corrected through implementation of recommendation of the Environment and Social Audit Action Plan (ESAAP).</w:t>
      </w:r>
    </w:p>
    <w:p w14:paraId="60A1C4AB">
      <w:pPr>
        <w:tabs>
          <w:tab w:val="left" w:pos="709"/>
        </w:tabs>
        <w:ind w:left="709"/>
        <w:jc w:val="both"/>
        <w:rPr>
          <w:lang w:eastAsia="en-GB"/>
        </w:rPr>
      </w:pPr>
      <w:r>
        <w:rPr>
          <w:lang w:eastAsia="en-GB"/>
        </w:rPr>
        <w:pict>
          <v:shape id="_x0000_i1035" o:spt="75" type="#_x0000_t75" style="height:194.5pt;width:390.5pt;" filled="f" o:preferrelative="t" stroked="f" coordsize="21600,21600">
            <v:path/>
            <v:fill on="f" focussize="0,0"/>
            <v:stroke on="f" joinstyle="miter"/>
            <v:imagedata r:id="rId76" croptop="25866f" o:title="WhatsApp Image 2024-08-04 at 12"/>
            <o:lock v:ext="edit" aspectratio="t"/>
            <w10:wrap type="none"/>
            <w10:anchorlock/>
          </v:shape>
        </w:pict>
      </w:r>
      <w:r>
        <w:drawing>
          <wp:inline distT="0" distB="0" distL="0" distR="0">
            <wp:extent cx="5000625" cy="2438400"/>
            <wp:effectExtent l="0" t="0" r="9525" b="0"/>
            <wp:docPr id="3" name="Picture 3" descr="WhatsApp Image 2024-08-04 at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WhatsApp Image 2024-08-04 at 12"/>
                    <pic:cNvPicPr>
                      <a:picLocks noChangeAspect="1" noChangeArrowheads="1"/>
                    </pic:cNvPicPr>
                  </pic:nvPicPr>
                  <pic:blipFill>
                    <a:blip r:embed="rId77" cstate="print">
                      <a:extLst>
                        <a:ext uri="{28A0092B-C50C-407E-A947-70E740481C1C}">
                          <a14:useLocalDpi xmlns:a14="http://schemas.microsoft.com/office/drawing/2010/main" val="0"/>
                        </a:ext>
                      </a:extLst>
                    </a:blip>
                    <a:srcRect t="32373"/>
                    <a:stretch>
                      <a:fillRect/>
                    </a:stretch>
                  </pic:blipFill>
                  <pic:spPr>
                    <a:xfrm>
                      <a:off x="0" y="0"/>
                      <a:ext cx="5000625" cy="2438400"/>
                    </a:xfrm>
                    <a:prstGeom prst="rect">
                      <a:avLst/>
                    </a:prstGeom>
                    <a:noFill/>
                    <a:ln>
                      <a:noFill/>
                    </a:ln>
                  </pic:spPr>
                </pic:pic>
              </a:graphicData>
            </a:graphic>
          </wp:inline>
        </w:drawing>
      </w:r>
    </w:p>
    <w:p w14:paraId="3902B72D">
      <w:pPr>
        <w:tabs>
          <w:tab w:val="left" w:pos="709"/>
          <w:tab w:val="left" w:pos="825"/>
        </w:tabs>
        <w:ind w:left="709"/>
        <w:jc w:val="both"/>
        <w:rPr>
          <w:lang w:eastAsia="en-GB"/>
        </w:rPr>
      </w:pPr>
      <w:r>
        <w:drawing>
          <wp:inline distT="0" distB="0" distL="0" distR="0">
            <wp:extent cx="5019040" cy="2476500"/>
            <wp:effectExtent l="0" t="0" r="0" b="0"/>
            <wp:docPr id="12" name="Picture 12" descr="C:\Users\Ndava\AppData\Local\Microsoft\Windows\INetCache\Content.Word\WhatsApp Image 2024-08-04 at 12.05.19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Users\Ndava\AppData\Local\Microsoft\Windows\INetCache\Content.Word\WhatsApp Image 2024-08-04 at 12.05.19 (1).jpeg"/>
                    <pic:cNvPicPr>
                      <a:picLocks noChangeAspect="1" noChangeArrowheads="1"/>
                    </pic:cNvPicPr>
                  </pic:nvPicPr>
                  <pic:blipFill>
                    <a:blip r:embed="rId78">
                      <a:extLst>
                        <a:ext uri="{28A0092B-C50C-407E-A947-70E740481C1C}">
                          <a14:useLocalDpi xmlns:a14="http://schemas.microsoft.com/office/drawing/2010/main" val="0"/>
                        </a:ext>
                      </a:extLst>
                    </a:blip>
                    <a:srcRect t="25751"/>
                    <a:stretch>
                      <a:fillRect/>
                    </a:stretch>
                  </pic:blipFill>
                  <pic:spPr>
                    <a:xfrm>
                      <a:off x="0" y="0"/>
                      <a:ext cx="5039530" cy="2486610"/>
                    </a:xfrm>
                    <a:prstGeom prst="rect">
                      <a:avLst/>
                    </a:prstGeom>
                    <a:noFill/>
                    <a:ln>
                      <a:noFill/>
                    </a:ln>
                  </pic:spPr>
                </pic:pic>
              </a:graphicData>
            </a:graphic>
          </wp:inline>
        </w:drawing>
      </w:r>
    </w:p>
    <w:p w14:paraId="0A8F5A59">
      <w:pPr>
        <w:tabs>
          <w:tab w:val="left" w:pos="709"/>
          <w:tab w:val="left" w:pos="825"/>
        </w:tabs>
        <w:ind w:left="709"/>
        <w:jc w:val="both"/>
        <w:rPr>
          <w:lang w:eastAsia="en-GB"/>
        </w:rPr>
      </w:pPr>
      <w:bookmarkStart w:id="356" w:name="_Toc179551703"/>
      <w:r>
        <w:pict>
          <v:shape id="_x0000_s1026" o:spid="_x0000_s1026" o:spt="75" type="#_x0000_t75" style="position:absolute;left:0pt;margin-left:33.75pt;margin-top:22.6pt;height:186.65pt;width:396pt;mso-wrap-distance-bottom:0pt;mso-wrap-distance-left:9pt;mso-wrap-distance-right:9pt;mso-wrap-distance-top:0pt;z-index:251660288;mso-width-relative:page;mso-height-relative:page;" filled="f" o:preferrelative="t" stroked="f" coordsize="21600,21600">
            <v:path/>
            <v:fill on="f" focussize="0,0"/>
            <v:stroke on="f" joinstyle="miter"/>
            <v:imagedata r:id="rId79" croptop="20780f" o:title="WhatsApp Image 2024-08-04 at 12"/>
            <o:lock v:ext="edit" aspectratio="t"/>
            <w10:wrap type="square" side="right"/>
          </v:shape>
        </w:pict>
      </w:r>
      <w:r>
        <w:t xml:space="preserve">Figure </w:t>
      </w:r>
      <w:r>
        <w:rPr>
          <w:rFonts w:cstheme="minorHAnsi"/>
          <w:iCs/>
        </w:rPr>
        <w:fldChar w:fldCharType="begin"/>
      </w:r>
      <w:r>
        <w:rPr>
          <w:rFonts w:cstheme="minorHAnsi"/>
          <w:iCs/>
        </w:rPr>
        <w:instrText xml:space="preserve"> SEQ Figure \* ARABIC </w:instrText>
      </w:r>
      <w:r>
        <w:rPr>
          <w:rFonts w:cstheme="minorHAnsi"/>
          <w:iCs/>
        </w:rPr>
        <w:fldChar w:fldCharType="separate"/>
      </w:r>
      <w:r>
        <w:rPr>
          <w:rFonts w:cstheme="minorHAnsi"/>
          <w:iCs/>
        </w:rPr>
        <w:t>18</w:t>
      </w:r>
      <w:r>
        <w:fldChar w:fldCharType="end"/>
      </w:r>
      <w:r>
        <w:t>: Stakeholder engagement meeting</w:t>
      </w:r>
      <w:bookmarkEnd w:id="356"/>
    </w:p>
    <w:p w14:paraId="0A63758C">
      <w:pPr>
        <w:ind w:left="709"/>
        <w:rPr>
          <w:lang w:eastAsia="en-GB"/>
        </w:rPr>
      </w:pPr>
      <w:r>
        <w:rPr>
          <w:lang w:eastAsia="en-GB"/>
        </w:rPr>
        <w:br w:type="textWrapping" w:clear="all"/>
      </w:r>
      <w:r>
        <w:rPr>
          <w:lang w:eastAsia="en-GB"/>
        </w:rPr>
        <w:pict>
          <v:shape id="_x0000_i1036" o:spt="75" type="#_x0000_t75" style="height:179.5pt;width:396.5pt;" filled="f" o:preferrelative="t" stroked="f" coordsize="21600,21600">
            <v:path/>
            <v:fill on="f" focussize="0,0"/>
            <v:stroke on="f" joinstyle="miter"/>
            <v:imagedata r:id="rId80" croptop="24413f" cropright="11104f" o:title="WhatsApp Image 2024-08-04 at 12"/>
            <o:lock v:ext="edit" aspectratio="t"/>
            <w10:wrap type="none"/>
            <w10:anchorlock/>
          </v:shape>
        </w:pict>
      </w:r>
    </w:p>
    <w:p w14:paraId="3889C8EC">
      <w:pPr>
        <w:pStyle w:val="23"/>
      </w:pPr>
      <w:bookmarkStart w:id="357" w:name="_Toc179551704"/>
      <w:r>
        <w:t xml:space="preserve">Figure </w:t>
      </w:r>
      <w:r>
        <w:fldChar w:fldCharType="begin"/>
      </w:r>
      <w:r>
        <w:instrText xml:space="preserve"> SEQ Figure \* ARABIC </w:instrText>
      </w:r>
      <w:r>
        <w:fldChar w:fldCharType="separate"/>
      </w:r>
      <w:r>
        <w:t>19</w:t>
      </w:r>
      <w:r>
        <w:fldChar w:fldCharType="end"/>
      </w:r>
      <w:r>
        <w:t>: Public participation meeting</w:t>
      </w:r>
      <w:bookmarkEnd w:id="357"/>
    </w:p>
    <w:p w14:paraId="18EDCF3E">
      <w:pPr>
        <w:tabs>
          <w:tab w:val="left" w:pos="709"/>
        </w:tabs>
        <w:ind w:left="709"/>
        <w:jc w:val="both"/>
        <w:rPr>
          <w:lang w:eastAsia="en-GB"/>
        </w:rPr>
      </w:pPr>
      <w:r>
        <w:rPr>
          <w:lang w:eastAsia="en-GB"/>
        </w:rPr>
        <w:pict>
          <v:shape id="_x0000_i1037" o:spt="75" type="#_x0000_t75" style="height:199pt;width:399.5pt;" filled="f" o:preferrelative="t" stroked="f" coordsize="21600,21600">
            <v:path/>
            <v:fill on="f" focussize="0,0"/>
            <v:stroke on="f" joinstyle="miter"/>
            <v:imagedata r:id="rId81" o:title="WhatsApp Image 2024-08-04 at 12"/>
            <o:lock v:ext="edit" aspectratio="t"/>
            <w10:wrap type="none"/>
            <w10:anchorlock/>
          </v:shape>
        </w:pict>
      </w:r>
    </w:p>
    <w:p w14:paraId="4C5F7220">
      <w:pPr>
        <w:pStyle w:val="23"/>
      </w:pPr>
      <w:bookmarkStart w:id="358" w:name="_Toc179551705"/>
      <w:r>
        <w:t xml:space="preserve">Figure </w:t>
      </w:r>
      <w:r>
        <w:fldChar w:fldCharType="begin"/>
      </w:r>
      <w:r>
        <w:instrText xml:space="preserve"> SEQ Figure \* ARABIC </w:instrText>
      </w:r>
      <w:r>
        <w:fldChar w:fldCharType="separate"/>
      </w:r>
      <w:r>
        <w:t>20</w:t>
      </w:r>
      <w:r>
        <w:fldChar w:fldCharType="end"/>
      </w:r>
      <w:r>
        <w:t>:Photo with the area chiefs of Alimaow and Furaha</w:t>
      </w:r>
      <w:bookmarkEnd w:id="358"/>
    </w:p>
    <w:p w14:paraId="01E4E370">
      <w:pPr>
        <w:tabs>
          <w:tab w:val="left" w:pos="709"/>
        </w:tabs>
        <w:ind w:left="709"/>
        <w:jc w:val="both"/>
        <w:rPr>
          <w:lang w:eastAsia="en-GB"/>
        </w:rPr>
      </w:pPr>
      <w:r>
        <w:rPr>
          <w:lang w:eastAsia="en-GB"/>
        </w:rPr>
        <w:pict>
          <v:shape id="_x0000_i1038" o:spt="75" type="#_x0000_t75" style="height:198pt;width:372.5pt;" filled="f" o:preferrelative="t" stroked="f" coordsize="21600,21600">
            <v:path/>
            <v:fill on="f" focussize="0,0"/>
            <v:stroke on="f" joinstyle="miter"/>
            <v:imagedata r:id="rId82" o:title="WhatsApp Image 2024-08-04 at 12"/>
            <o:lock v:ext="edit" aspectratio="t"/>
            <w10:wrap type="none"/>
            <w10:anchorlock/>
          </v:shape>
        </w:pict>
      </w:r>
    </w:p>
    <w:p w14:paraId="34C9CA27">
      <w:pPr>
        <w:pStyle w:val="23"/>
      </w:pPr>
      <w:bookmarkStart w:id="359" w:name="_Toc179551706"/>
      <w:r>
        <w:t xml:space="preserve">Figure </w:t>
      </w:r>
      <w:r>
        <w:fldChar w:fldCharType="begin"/>
      </w:r>
      <w:r>
        <w:instrText xml:space="preserve"> SEQ Figure \* ARABIC </w:instrText>
      </w:r>
      <w:r>
        <w:fldChar w:fldCharType="separate"/>
      </w:r>
      <w:r>
        <w:t>21</w:t>
      </w:r>
      <w:r>
        <w:fldChar w:fldCharType="end"/>
      </w:r>
      <w:r>
        <w:t>: Interview with the NEMA County Director</w:t>
      </w:r>
      <w:bookmarkEnd w:id="359"/>
    </w:p>
    <w:p w14:paraId="152F704C">
      <w:pPr>
        <w:tabs>
          <w:tab w:val="left" w:pos="709"/>
        </w:tabs>
        <w:ind w:left="709"/>
        <w:jc w:val="both"/>
        <w:rPr>
          <w:lang w:eastAsia="en-GB"/>
        </w:rPr>
      </w:pPr>
      <w:r>
        <w:rPr>
          <w:lang w:eastAsia="en-GB"/>
        </w:rPr>
        <w:pict>
          <v:shape id="_x0000_i1039" o:spt="75" type="#_x0000_t75" style="height:177.5pt;width:372.5pt;" filled="f" o:preferrelative="t" stroked="f" coordsize="21600,21600">
            <v:path/>
            <v:fill on="f" focussize="0,0"/>
            <v:stroke on="f" joinstyle="miter"/>
            <v:imagedata r:id="rId83" o:title="WhatsApp Image 2024-08-04 at 12"/>
            <o:lock v:ext="edit" aspectratio="t"/>
            <w10:wrap type="none"/>
            <w10:anchorlock/>
          </v:shape>
        </w:pict>
      </w:r>
    </w:p>
    <w:p w14:paraId="01280314">
      <w:pPr>
        <w:pStyle w:val="23"/>
        <w:rPr>
          <w:lang w:eastAsia="en-GB"/>
        </w:rPr>
      </w:pPr>
      <w:bookmarkStart w:id="360" w:name="_Toc179551707"/>
      <w:r>
        <w:t xml:space="preserve">Figure </w:t>
      </w:r>
      <w:r>
        <w:fldChar w:fldCharType="begin"/>
      </w:r>
      <w:r>
        <w:instrText xml:space="preserve"> SEQ Figure \* ARABIC </w:instrText>
      </w:r>
      <w:r>
        <w:fldChar w:fldCharType="separate"/>
      </w:r>
      <w:r>
        <w:t>22</w:t>
      </w:r>
      <w:r>
        <w:fldChar w:fldCharType="end"/>
      </w:r>
      <w:r>
        <w:t xml:space="preserve">: </w:t>
      </w:r>
      <w:r>
        <w:rPr>
          <w:lang w:eastAsia="en-GB"/>
        </w:rPr>
        <w:t>Interview with the NDMA Director</w:t>
      </w:r>
      <w:bookmarkEnd w:id="360"/>
    </w:p>
    <w:p w14:paraId="04AA2559">
      <w:pPr>
        <w:tabs>
          <w:tab w:val="left" w:pos="709"/>
        </w:tabs>
        <w:ind w:left="709"/>
        <w:jc w:val="both"/>
        <w:rPr>
          <w:lang w:eastAsia="en-GB"/>
        </w:rPr>
      </w:pPr>
      <w:r>
        <w:rPr>
          <w:lang w:eastAsia="en-GB"/>
        </w:rPr>
        <w:pict>
          <v:shape id="_x0000_i1040" o:spt="75" type="#_x0000_t75" style="height:191.5pt;width:372.5pt;" filled="f" o:preferrelative="t" stroked="f" coordsize="21600,21600">
            <v:path/>
            <v:fill on="f" focussize="0,0"/>
            <v:stroke on="f" joinstyle="miter"/>
            <v:imagedata r:id="rId84" o:title="WhatsApp Image 2024-08-04 at 12"/>
            <o:lock v:ext="edit" aspectratio="t"/>
            <w10:wrap type="none"/>
            <w10:anchorlock/>
          </v:shape>
        </w:pict>
      </w:r>
    </w:p>
    <w:p w14:paraId="0E677424">
      <w:pPr>
        <w:pStyle w:val="23"/>
      </w:pPr>
      <w:bookmarkStart w:id="361" w:name="_Toc179551708"/>
      <w:r>
        <w:t xml:space="preserve">Figure </w:t>
      </w:r>
      <w:r>
        <w:fldChar w:fldCharType="begin"/>
      </w:r>
      <w:r>
        <w:instrText xml:space="preserve"> SEQ Figure \* ARABIC </w:instrText>
      </w:r>
      <w:r>
        <w:fldChar w:fldCharType="separate"/>
      </w:r>
      <w:r>
        <w:t>23</w:t>
      </w:r>
      <w:r>
        <w:fldChar w:fldCharType="end"/>
      </w:r>
      <w:r>
        <w:t>:  Interview with the Director of lands and Physical Planning Department</w:t>
      </w:r>
      <w:bookmarkEnd w:id="361"/>
    </w:p>
    <w:p w14:paraId="380A12F9">
      <w:pPr>
        <w:pStyle w:val="117"/>
      </w:pPr>
      <w:bookmarkStart w:id="362" w:name="_Toc179904088"/>
      <w:r>
        <w:t>7.7.</w:t>
      </w:r>
      <w:r>
        <w:tab/>
      </w:r>
      <w:r>
        <w:t>Continuous Public Participation and Engagement Outlook</w:t>
      </w:r>
      <w:bookmarkEnd w:id="362"/>
    </w:p>
    <w:p w14:paraId="7866C3AB">
      <w:pPr>
        <w:ind w:left="709"/>
        <w:jc w:val="both"/>
        <w:rPr>
          <w:lang w:val="en-GB" w:eastAsia="ja-JP"/>
        </w:rPr>
      </w:pPr>
      <w:r>
        <w:rPr>
          <w:lang w:val="en-GB" w:eastAsia="ja-JP"/>
        </w:rPr>
        <w:t xml:space="preserve">Being a high risk project, the Client (WAJWASCO), with the help of the consultant shall carry out continuous public participation which is expected to ensure exclusive disclosure of the proposed project and its anticipated impacts through all the project phases. </w:t>
      </w:r>
    </w:p>
    <w:p w14:paraId="663F4623">
      <w:pPr>
        <w:ind w:left="709"/>
        <w:jc w:val="both"/>
        <w:rPr>
          <w:lang w:val="en-GB" w:eastAsia="ja-JP"/>
        </w:rPr>
      </w:pPr>
      <w:r>
        <w:rPr>
          <w:lang w:val="en-GB" w:eastAsia="ja-JP"/>
        </w:rPr>
        <w:t>The data and information collected in the process shall cover more cultural and social impacts that might have been missed in the initial public participation exercise. Through this process, organizations such as Kenya Airports Authority, NEMA, Ministry of Water, Sanitation and Irrigation, NGOs and other organizations and stakeholders will be involved to get their concerns and perspective with regard to the progress of the proposed project.</w:t>
      </w:r>
    </w:p>
    <w:p w14:paraId="31CFCA1A">
      <w:pPr>
        <w:ind w:left="709"/>
        <w:jc w:val="both"/>
        <w:rPr>
          <w:lang w:val="en-GB" w:eastAsia="ja-JP"/>
        </w:rPr>
      </w:pPr>
      <w:r>
        <w:rPr>
          <w:lang w:val="en-GB" w:eastAsia="ja-JP"/>
        </w:rPr>
        <w:t xml:space="preserve">Additionally, the consultant shall ensure active involvement of the people of Alimaow and Furaha Villages.  Institutions such as the dispensary, Furaha Primary school and Furaha Secondary School will also be consulted further throughout all the project Phases. </w:t>
      </w:r>
    </w:p>
    <w:p w14:paraId="31D97524">
      <w:pPr>
        <w:ind w:left="709"/>
        <w:jc w:val="both"/>
        <w:rPr>
          <w:lang w:val="en-GB" w:eastAsia="ja-JP"/>
        </w:rPr>
      </w:pPr>
      <w:r>
        <w:rPr>
          <w:lang w:val="en-GB" w:eastAsia="ja-JP"/>
        </w:rPr>
        <w:t>Water Quality, Air Quality and Soil assessments shall also be further done, data, analysed and represented in the report to ensure all aspects of the environment have been fully captured.</w:t>
      </w:r>
    </w:p>
    <w:p w14:paraId="4F57481E">
      <w:pPr>
        <w:rPr>
          <w:lang w:val="en-GB" w:eastAsia="ja-JP"/>
        </w:rPr>
      </w:pPr>
    </w:p>
    <w:p w14:paraId="640C8799">
      <w:pPr>
        <w:rPr>
          <w:lang w:val="en-GB" w:eastAsia="ja-JP"/>
        </w:rPr>
        <w:sectPr>
          <w:headerReference r:id="rId28" w:type="default"/>
          <w:pgSz w:w="11906" w:h="16838"/>
          <w:pgMar w:top="1440" w:right="1440" w:bottom="1440" w:left="1440" w:header="708" w:footer="708" w:gutter="0"/>
          <w:cols w:space="708" w:num="1"/>
          <w:docGrid w:linePitch="360" w:charSpace="0"/>
        </w:sectPr>
      </w:pPr>
    </w:p>
    <w:p w14:paraId="31DF5462">
      <w:pPr>
        <w:pStyle w:val="2"/>
        <w:rPr>
          <w:w w:val="110"/>
          <w:lang w:eastAsia="en-GB"/>
        </w:rPr>
      </w:pPr>
      <w:bookmarkStart w:id="363" w:name="_Toc156294760"/>
      <w:bookmarkStart w:id="364" w:name="_Toc159931133"/>
      <w:bookmarkStart w:id="365" w:name="_Toc171919775"/>
      <w:bookmarkStart w:id="366" w:name="_Toc179904089"/>
      <w:bookmarkStart w:id="367" w:name="_Toc173301463"/>
      <w:bookmarkStart w:id="368" w:name="_Toc162272612"/>
      <w:bookmarkStart w:id="369" w:name="_Toc165561351"/>
      <w:bookmarkStart w:id="370" w:name="_Toc170723033"/>
      <w:bookmarkStart w:id="371" w:name="_Toc163820072"/>
      <w:r>
        <w:rPr>
          <w:w w:val="110"/>
          <w:lang w:eastAsia="en-GB"/>
        </w:rPr>
        <w:t>8.</w:t>
      </w:r>
      <w:bookmarkEnd w:id="363"/>
      <w:bookmarkEnd w:id="364"/>
      <w:r>
        <w:rPr>
          <w:w w:val="110"/>
          <w:lang w:eastAsia="en-GB"/>
        </w:rPr>
        <w:tab/>
      </w:r>
      <w:r>
        <w:rPr>
          <w:w w:val="110"/>
          <w:lang w:eastAsia="en-GB"/>
        </w:rPr>
        <w:t>IDENTIFICATION OF ENVIRONMENTAL &amp; SOCIAL IMPACTS AND MITIGATION MEASURES</w:t>
      </w:r>
      <w:bookmarkEnd w:id="365"/>
      <w:bookmarkEnd w:id="366"/>
      <w:bookmarkEnd w:id="367"/>
      <w:bookmarkEnd w:id="368"/>
    </w:p>
    <w:p w14:paraId="5FB4FC21">
      <w:pPr>
        <w:keepNext/>
        <w:keepLines/>
        <w:tabs>
          <w:tab w:val="left" w:pos="709"/>
        </w:tabs>
        <w:spacing w:before="100" w:beforeAutospacing="1" w:after="100" w:afterAutospacing="1" w:line="240" w:lineRule="auto"/>
        <w:jc w:val="both"/>
        <w:outlineLvl w:val="1"/>
        <w:rPr>
          <w:rFonts w:eastAsia="Times New Roman Bold" w:cstheme="minorHAnsi"/>
          <w:b/>
          <w:bCs/>
          <w:iCs/>
          <w:lang w:eastAsia="ja-JP"/>
        </w:rPr>
      </w:pPr>
      <w:bookmarkStart w:id="372" w:name="_Toc179904090"/>
      <w:r>
        <w:rPr>
          <w:rFonts w:eastAsia="Times New Roman Bold" w:cstheme="minorHAnsi"/>
          <w:b/>
          <w:bCs/>
          <w:iCs/>
          <w:lang w:eastAsia="ja-JP"/>
        </w:rPr>
        <w:t>8.1</w:t>
      </w:r>
      <w:r>
        <w:rPr>
          <w:rFonts w:eastAsia="Times New Roman Bold" w:cstheme="minorHAnsi"/>
          <w:b/>
          <w:bCs/>
          <w:iCs/>
          <w:lang w:eastAsia="ja-JP"/>
        </w:rPr>
        <w:tab/>
      </w:r>
      <w:r>
        <w:rPr>
          <w:rFonts w:eastAsia="Times New Roman Bold" w:cstheme="minorHAnsi"/>
          <w:b/>
          <w:bCs/>
          <w:iCs/>
          <w:lang w:eastAsia="ja-JP"/>
        </w:rPr>
        <w:t>Environmental and Social Impact Identification and Analysis/Rating</w:t>
      </w:r>
      <w:bookmarkEnd w:id="372"/>
    </w:p>
    <w:p w14:paraId="3D39779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The identification and assessment of environmental and social impacts is a multi-faceted process, using a combination of quantitative and qualitative descriptions and evaluations. It involves applying scientific measurements and professional judgement to determine the significance of environmental impacts associated with a proposed project. Other potentially significant impacts or those of stakeholder concern, the impact identification and evaluation process.</w:t>
      </w:r>
    </w:p>
    <w:p w14:paraId="60ADFADA">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The identified Impacts were categorized as negative and positive. Further, negative impacts were analyzed based on impacts consequence and impacts likelihood as shown below. Similarly, impacts rating was determined based on impacts consequence and impacts likelihood as shown below. Impacts prediction was made during all the phases of the proposed project. Mitigation measures were thereafter proposed with the hierarchy of avoidance, minimization, mitigation and offsetting the impacts.  </w:t>
      </w:r>
    </w:p>
    <w:p w14:paraId="0D7D67F9">
      <w:pPr>
        <w:widowControl w:val="0"/>
        <w:tabs>
          <w:tab w:val="left" w:pos="709"/>
        </w:tabs>
        <w:autoSpaceDE w:val="0"/>
        <w:autoSpaceDN w:val="0"/>
        <w:spacing w:before="100" w:beforeAutospacing="1" w:after="100" w:afterAutospacing="1" w:line="240" w:lineRule="auto"/>
        <w:ind w:left="709"/>
        <w:jc w:val="both"/>
        <w:rPr>
          <w:rFonts w:eastAsia="Calibri" w:cs="Calibri"/>
          <w:i/>
          <w:iCs/>
          <w:color w:val="44546A" w:themeColor="text2"/>
          <w:lang w:bidi="en-US"/>
          <w14:textFill>
            <w14:solidFill>
              <w14:schemeClr w14:val="tx2"/>
            </w14:solidFill>
          </w14:textFill>
        </w:rPr>
      </w:pPr>
      <w:bookmarkStart w:id="373" w:name="_Toc173252905"/>
      <w:bookmarkStart w:id="374" w:name="_Toc171916956"/>
      <w:bookmarkStart w:id="375" w:name="_Toc167798447"/>
      <w:bookmarkStart w:id="376" w:name="_Toc168326922"/>
      <w:bookmarkStart w:id="377" w:name="_Toc179556829"/>
      <w:r>
        <w:rPr>
          <w:rFonts w:eastAsia="Calibri" w:cs="Calibri"/>
          <w:i/>
          <w:iCs/>
          <w:color w:val="44546A" w:themeColor="text2"/>
          <w:lang w:bidi="en-US"/>
          <w14:textFill>
            <w14:solidFill>
              <w14:schemeClr w14:val="tx2"/>
            </w14:solidFill>
          </w14:textFill>
        </w:rPr>
        <w:t xml:space="preserve">Table </w:t>
      </w:r>
      <w:r>
        <w:rPr>
          <w:rFonts w:eastAsia="Calibri" w:cs="Calibri"/>
          <w:i/>
          <w:iCs/>
          <w:color w:val="44546A" w:themeColor="text2"/>
          <w:lang w:bidi="en-US"/>
          <w14:textFill>
            <w14:solidFill>
              <w14:schemeClr w14:val="tx2"/>
            </w14:solidFill>
          </w14:textFill>
        </w:rPr>
        <w:fldChar w:fldCharType="begin"/>
      </w:r>
      <w:r>
        <w:rPr>
          <w:rFonts w:eastAsia="Calibri" w:cs="Calibri"/>
          <w:i/>
          <w:iCs/>
          <w:color w:val="44546A" w:themeColor="text2"/>
          <w:lang w:bidi="en-US"/>
          <w14:textFill>
            <w14:solidFill>
              <w14:schemeClr w14:val="tx2"/>
            </w14:solidFill>
          </w14:textFill>
        </w:rPr>
        <w:instrText xml:space="preserve"> SEQ Table \* ARABIC </w:instrText>
      </w:r>
      <w:r>
        <w:rPr>
          <w:rFonts w:eastAsia="Calibri" w:cs="Calibri"/>
          <w:i/>
          <w:iCs/>
          <w:color w:val="44546A" w:themeColor="text2"/>
          <w:lang w:bidi="en-US"/>
          <w14:textFill>
            <w14:solidFill>
              <w14:schemeClr w14:val="tx2"/>
            </w14:solidFill>
          </w14:textFill>
        </w:rPr>
        <w:fldChar w:fldCharType="separate"/>
      </w:r>
      <w:r>
        <w:rPr>
          <w:rFonts w:eastAsia="Calibri" w:cs="Calibri"/>
          <w:i/>
          <w:iCs/>
          <w:color w:val="44546A" w:themeColor="text2"/>
          <w:lang w:bidi="en-US"/>
          <w14:textFill>
            <w14:solidFill>
              <w14:schemeClr w14:val="tx2"/>
            </w14:solidFill>
          </w14:textFill>
        </w:rPr>
        <w:t>18</w:t>
      </w:r>
      <w:r>
        <w:rPr>
          <w:rFonts w:eastAsia="Calibri" w:cs="Calibri"/>
          <w:i/>
          <w:iCs/>
          <w:color w:val="44546A" w:themeColor="text2"/>
          <w:lang w:bidi="en-US"/>
          <w14:textFill>
            <w14:solidFill>
              <w14:schemeClr w14:val="tx2"/>
            </w14:solidFill>
          </w14:textFill>
        </w:rPr>
        <w:fldChar w:fldCharType="end"/>
      </w:r>
      <w:r>
        <w:rPr>
          <w:rFonts w:eastAsia="Calibri" w:cs="Calibri"/>
          <w:i/>
          <w:iCs/>
          <w:color w:val="44546A" w:themeColor="text2"/>
          <w:lang w:bidi="en-US"/>
          <w14:textFill>
            <w14:solidFill>
              <w14:schemeClr w14:val="tx2"/>
            </w14:solidFill>
          </w14:textFill>
        </w:rPr>
        <w:t>: Impacts Consequences</w:t>
      </w:r>
      <w:bookmarkEnd w:id="373"/>
      <w:bookmarkEnd w:id="374"/>
      <w:bookmarkEnd w:id="375"/>
      <w:bookmarkEnd w:id="376"/>
      <w:bookmarkEnd w:id="377"/>
    </w:p>
    <w:tbl>
      <w:tblPr>
        <w:tblStyle w:val="12"/>
        <w:tblW w:w="8904" w:type="dxa"/>
        <w:tblInd w:w="730" w:type="dxa"/>
        <w:tblLayout w:type="autofit"/>
        <w:tblCellMar>
          <w:top w:w="8" w:type="dxa"/>
          <w:left w:w="107" w:type="dxa"/>
          <w:bottom w:w="0" w:type="dxa"/>
          <w:right w:w="23" w:type="dxa"/>
        </w:tblCellMar>
      </w:tblPr>
      <w:tblGrid>
        <w:gridCol w:w="2072"/>
        <w:gridCol w:w="709"/>
        <w:gridCol w:w="2537"/>
        <w:gridCol w:w="692"/>
        <w:gridCol w:w="2186"/>
        <w:gridCol w:w="708"/>
      </w:tblGrid>
      <w:tr w14:paraId="6303612B">
        <w:tblPrEx>
          <w:tblCellMar>
            <w:top w:w="8" w:type="dxa"/>
            <w:left w:w="107" w:type="dxa"/>
            <w:bottom w:w="0" w:type="dxa"/>
            <w:right w:w="23" w:type="dxa"/>
          </w:tblCellMar>
        </w:tblPrEx>
        <w:trPr>
          <w:trHeight w:val="698" w:hRule="atLeast"/>
        </w:trPr>
        <w:tc>
          <w:tcPr>
            <w:tcW w:w="2072" w:type="dxa"/>
            <w:tcBorders>
              <w:top w:val="single" w:color="000000" w:sz="4" w:space="0"/>
              <w:left w:val="single" w:color="000000" w:sz="4" w:space="0"/>
              <w:bottom w:val="single" w:color="000000" w:sz="4" w:space="0"/>
              <w:right w:val="single" w:color="000000" w:sz="4" w:space="0"/>
            </w:tcBorders>
            <w:shd w:val="clear" w:color="auto" w:fill="B4C6E7"/>
          </w:tcPr>
          <w:p w14:paraId="1F0A68B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Severity / Magnitude of Impact </w:t>
            </w:r>
          </w:p>
        </w:tc>
        <w:tc>
          <w:tcPr>
            <w:tcW w:w="709" w:type="dxa"/>
            <w:tcBorders>
              <w:top w:val="single" w:color="000000" w:sz="4" w:space="0"/>
              <w:left w:val="single" w:color="000000" w:sz="4" w:space="0"/>
              <w:bottom w:val="single" w:color="000000" w:sz="4" w:space="0"/>
              <w:right w:val="single" w:color="000000" w:sz="4" w:space="0"/>
            </w:tcBorders>
            <w:shd w:val="clear" w:color="auto" w:fill="B4C6E7"/>
          </w:tcPr>
          <w:p w14:paraId="6D60033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Rating </w:t>
            </w:r>
          </w:p>
        </w:tc>
        <w:tc>
          <w:tcPr>
            <w:tcW w:w="2537" w:type="dxa"/>
            <w:tcBorders>
              <w:top w:val="single" w:color="000000" w:sz="4" w:space="0"/>
              <w:left w:val="single" w:color="000000" w:sz="4" w:space="0"/>
              <w:bottom w:val="single" w:color="000000" w:sz="4" w:space="0"/>
              <w:right w:val="single" w:color="000000" w:sz="4" w:space="0"/>
            </w:tcBorders>
            <w:shd w:val="clear" w:color="auto" w:fill="B4C6E7"/>
          </w:tcPr>
          <w:p w14:paraId="1768C49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Spatial Scope / Geographic Extent of Impact </w:t>
            </w:r>
          </w:p>
        </w:tc>
        <w:tc>
          <w:tcPr>
            <w:tcW w:w="692" w:type="dxa"/>
            <w:tcBorders>
              <w:top w:val="single" w:color="000000" w:sz="4" w:space="0"/>
              <w:left w:val="single" w:color="000000" w:sz="4" w:space="0"/>
              <w:bottom w:val="single" w:color="000000" w:sz="4" w:space="0"/>
              <w:right w:val="single" w:color="000000" w:sz="4" w:space="0"/>
            </w:tcBorders>
            <w:shd w:val="clear" w:color="auto" w:fill="B4C6E7"/>
          </w:tcPr>
          <w:p w14:paraId="294B1D9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Rating </w:t>
            </w:r>
          </w:p>
        </w:tc>
        <w:tc>
          <w:tcPr>
            <w:tcW w:w="2186" w:type="dxa"/>
            <w:tcBorders>
              <w:top w:val="single" w:color="000000" w:sz="4" w:space="0"/>
              <w:left w:val="single" w:color="000000" w:sz="4" w:space="0"/>
              <w:bottom w:val="single" w:color="000000" w:sz="4" w:space="0"/>
              <w:right w:val="single" w:color="000000" w:sz="4" w:space="0"/>
            </w:tcBorders>
            <w:shd w:val="clear" w:color="auto" w:fill="B4C6E7"/>
          </w:tcPr>
          <w:p w14:paraId="41BAF4E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Duration of Impact </w:t>
            </w:r>
          </w:p>
        </w:tc>
        <w:tc>
          <w:tcPr>
            <w:tcW w:w="708" w:type="dxa"/>
            <w:tcBorders>
              <w:top w:val="single" w:color="000000" w:sz="4" w:space="0"/>
              <w:left w:val="single" w:color="000000" w:sz="4" w:space="0"/>
              <w:bottom w:val="single" w:color="000000" w:sz="4" w:space="0"/>
              <w:right w:val="single" w:color="000000" w:sz="4" w:space="0"/>
            </w:tcBorders>
            <w:shd w:val="clear" w:color="auto" w:fill="B4C6E7"/>
          </w:tcPr>
          <w:p w14:paraId="3C534ED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Rating </w:t>
            </w:r>
          </w:p>
        </w:tc>
      </w:tr>
      <w:tr w14:paraId="4BEEC923">
        <w:tblPrEx>
          <w:tblCellMar>
            <w:top w:w="8" w:type="dxa"/>
            <w:left w:w="107" w:type="dxa"/>
            <w:bottom w:w="0" w:type="dxa"/>
            <w:right w:w="23" w:type="dxa"/>
          </w:tblCellMar>
        </w:tblPrEx>
        <w:trPr>
          <w:trHeight w:val="472" w:hRule="atLeast"/>
        </w:trPr>
        <w:tc>
          <w:tcPr>
            <w:tcW w:w="2072" w:type="dxa"/>
            <w:tcBorders>
              <w:top w:val="single" w:color="000000" w:sz="4" w:space="0"/>
              <w:left w:val="single" w:color="000000" w:sz="4" w:space="0"/>
              <w:bottom w:val="single" w:color="000000" w:sz="4" w:space="0"/>
              <w:right w:val="single" w:color="000000" w:sz="4" w:space="0"/>
            </w:tcBorders>
          </w:tcPr>
          <w:p w14:paraId="13B3A62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Insignificant / non-harmful </w:t>
            </w:r>
          </w:p>
        </w:tc>
        <w:tc>
          <w:tcPr>
            <w:tcW w:w="709" w:type="dxa"/>
            <w:tcBorders>
              <w:top w:val="single" w:color="000000" w:sz="4" w:space="0"/>
              <w:left w:val="single" w:color="000000" w:sz="4" w:space="0"/>
              <w:bottom w:val="single" w:color="000000" w:sz="4" w:space="0"/>
              <w:right w:val="single" w:color="000000" w:sz="4" w:space="0"/>
            </w:tcBorders>
          </w:tcPr>
          <w:p w14:paraId="6DF9355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1 </w:t>
            </w:r>
          </w:p>
        </w:tc>
        <w:tc>
          <w:tcPr>
            <w:tcW w:w="2537" w:type="dxa"/>
            <w:tcBorders>
              <w:top w:val="single" w:color="000000" w:sz="4" w:space="0"/>
              <w:left w:val="single" w:color="000000" w:sz="4" w:space="0"/>
              <w:bottom w:val="single" w:color="000000" w:sz="4" w:space="0"/>
              <w:right w:val="single" w:color="000000" w:sz="4" w:space="0"/>
            </w:tcBorders>
          </w:tcPr>
          <w:p w14:paraId="0C7F9C3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Activity specific </w:t>
            </w:r>
          </w:p>
        </w:tc>
        <w:tc>
          <w:tcPr>
            <w:tcW w:w="692" w:type="dxa"/>
            <w:tcBorders>
              <w:top w:val="single" w:color="000000" w:sz="4" w:space="0"/>
              <w:left w:val="single" w:color="000000" w:sz="4" w:space="0"/>
              <w:bottom w:val="single" w:color="000000" w:sz="4" w:space="0"/>
              <w:right w:val="single" w:color="000000" w:sz="4" w:space="0"/>
            </w:tcBorders>
          </w:tcPr>
          <w:p w14:paraId="1699264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1 </w:t>
            </w:r>
          </w:p>
        </w:tc>
        <w:tc>
          <w:tcPr>
            <w:tcW w:w="2186" w:type="dxa"/>
            <w:tcBorders>
              <w:top w:val="single" w:color="000000" w:sz="4" w:space="0"/>
              <w:left w:val="single" w:color="000000" w:sz="4" w:space="0"/>
              <w:bottom w:val="single" w:color="000000" w:sz="4" w:space="0"/>
              <w:right w:val="single" w:color="000000" w:sz="4" w:space="0"/>
            </w:tcBorders>
          </w:tcPr>
          <w:p w14:paraId="0C5E370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One day to one month </w:t>
            </w:r>
          </w:p>
        </w:tc>
        <w:tc>
          <w:tcPr>
            <w:tcW w:w="708" w:type="dxa"/>
            <w:tcBorders>
              <w:top w:val="single" w:color="000000" w:sz="4" w:space="0"/>
              <w:left w:val="single" w:color="000000" w:sz="4" w:space="0"/>
              <w:bottom w:val="single" w:color="000000" w:sz="4" w:space="0"/>
              <w:right w:val="single" w:color="000000" w:sz="4" w:space="0"/>
            </w:tcBorders>
          </w:tcPr>
          <w:p w14:paraId="1571DB1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1 </w:t>
            </w:r>
          </w:p>
        </w:tc>
      </w:tr>
      <w:tr w14:paraId="045EA087">
        <w:tblPrEx>
          <w:tblCellMar>
            <w:top w:w="8" w:type="dxa"/>
            <w:left w:w="107" w:type="dxa"/>
            <w:bottom w:w="0" w:type="dxa"/>
            <w:right w:w="23" w:type="dxa"/>
          </w:tblCellMar>
        </w:tblPrEx>
        <w:trPr>
          <w:trHeight w:val="470" w:hRule="atLeast"/>
        </w:trPr>
        <w:tc>
          <w:tcPr>
            <w:tcW w:w="2072" w:type="dxa"/>
            <w:tcBorders>
              <w:top w:val="single" w:color="000000" w:sz="4" w:space="0"/>
              <w:left w:val="single" w:color="000000" w:sz="4" w:space="0"/>
              <w:bottom w:val="single" w:color="000000" w:sz="4" w:space="0"/>
              <w:right w:val="single" w:color="000000" w:sz="4" w:space="0"/>
            </w:tcBorders>
          </w:tcPr>
          <w:p w14:paraId="22A71E0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Small / potentially harmful </w:t>
            </w:r>
          </w:p>
        </w:tc>
        <w:tc>
          <w:tcPr>
            <w:tcW w:w="709" w:type="dxa"/>
            <w:tcBorders>
              <w:top w:val="single" w:color="000000" w:sz="4" w:space="0"/>
              <w:left w:val="single" w:color="000000" w:sz="4" w:space="0"/>
              <w:bottom w:val="single" w:color="000000" w:sz="4" w:space="0"/>
              <w:right w:val="single" w:color="000000" w:sz="4" w:space="0"/>
            </w:tcBorders>
          </w:tcPr>
          <w:p w14:paraId="0036E17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2 </w:t>
            </w:r>
          </w:p>
        </w:tc>
        <w:tc>
          <w:tcPr>
            <w:tcW w:w="2537" w:type="dxa"/>
            <w:tcBorders>
              <w:top w:val="single" w:color="000000" w:sz="4" w:space="0"/>
              <w:left w:val="single" w:color="000000" w:sz="4" w:space="0"/>
              <w:bottom w:val="single" w:color="000000" w:sz="4" w:space="0"/>
              <w:right w:val="single" w:color="000000" w:sz="4" w:space="0"/>
            </w:tcBorders>
          </w:tcPr>
          <w:p w14:paraId="547512B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Area Specific </w:t>
            </w:r>
          </w:p>
        </w:tc>
        <w:tc>
          <w:tcPr>
            <w:tcW w:w="692" w:type="dxa"/>
            <w:tcBorders>
              <w:top w:val="single" w:color="000000" w:sz="4" w:space="0"/>
              <w:left w:val="single" w:color="000000" w:sz="4" w:space="0"/>
              <w:bottom w:val="single" w:color="000000" w:sz="4" w:space="0"/>
              <w:right w:val="single" w:color="000000" w:sz="4" w:space="0"/>
            </w:tcBorders>
          </w:tcPr>
          <w:p w14:paraId="2A5BA09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2 </w:t>
            </w:r>
          </w:p>
        </w:tc>
        <w:tc>
          <w:tcPr>
            <w:tcW w:w="2186" w:type="dxa"/>
            <w:tcBorders>
              <w:top w:val="single" w:color="000000" w:sz="4" w:space="0"/>
              <w:left w:val="single" w:color="000000" w:sz="4" w:space="0"/>
              <w:bottom w:val="single" w:color="000000" w:sz="4" w:space="0"/>
              <w:right w:val="single" w:color="000000" w:sz="4" w:space="0"/>
            </w:tcBorders>
          </w:tcPr>
          <w:p w14:paraId="04D8121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One month to one year </w:t>
            </w:r>
          </w:p>
        </w:tc>
        <w:tc>
          <w:tcPr>
            <w:tcW w:w="708" w:type="dxa"/>
            <w:tcBorders>
              <w:top w:val="single" w:color="000000" w:sz="4" w:space="0"/>
              <w:left w:val="single" w:color="000000" w:sz="4" w:space="0"/>
              <w:bottom w:val="single" w:color="000000" w:sz="4" w:space="0"/>
              <w:right w:val="single" w:color="000000" w:sz="4" w:space="0"/>
            </w:tcBorders>
          </w:tcPr>
          <w:p w14:paraId="703A370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2 </w:t>
            </w:r>
          </w:p>
        </w:tc>
      </w:tr>
      <w:tr w14:paraId="782D32E7">
        <w:tblPrEx>
          <w:tblCellMar>
            <w:top w:w="8" w:type="dxa"/>
            <w:left w:w="107" w:type="dxa"/>
            <w:bottom w:w="0" w:type="dxa"/>
            <w:right w:w="23" w:type="dxa"/>
          </w:tblCellMar>
        </w:tblPrEx>
        <w:trPr>
          <w:trHeight w:val="468" w:hRule="atLeast"/>
        </w:trPr>
        <w:tc>
          <w:tcPr>
            <w:tcW w:w="2072" w:type="dxa"/>
            <w:tcBorders>
              <w:top w:val="single" w:color="000000" w:sz="4" w:space="0"/>
              <w:left w:val="single" w:color="000000" w:sz="4" w:space="0"/>
              <w:bottom w:val="single" w:color="000000" w:sz="4" w:space="0"/>
              <w:right w:val="single" w:color="000000" w:sz="4" w:space="0"/>
            </w:tcBorders>
          </w:tcPr>
          <w:p w14:paraId="3D41148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Significant /slightly harmful </w:t>
            </w:r>
          </w:p>
        </w:tc>
        <w:tc>
          <w:tcPr>
            <w:tcW w:w="709" w:type="dxa"/>
            <w:tcBorders>
              <w:top w:val="single" w:color="000000" w:sz="4" w:space="0"/>
              <w:left w:val="single" w:color="000000" w:sz="4" w:space="0"/>
              <w:bottom w:val="single" w:color="000000" w:sz="4" w:space="0"/>
              <w:right w:val="single" w:color="000000" w:sz="4" w:space="0"/>
            </w:tcBorders>
          </w:tcPr>
          <w:p w14:paraId="04BCCBA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3 </w:t>
            </w:r>
          </w:p>
        </w:tc>
        <w:tc>
          <w:tcPr>
            <w:tcW w:w="2537" w:type="dxa"/>
            <w:tcBorders>
              <w:top w:val="single" w:color="000000" w:sz="4" w:space="0"/>
              <w:left w:val="single" w:color="000000" w:sz="4" w:space="0"/>
              <w:bottom w:val="single" w:color="000000" w:sz="4" w:space="0"/>
              <w:right w:val="single" w:color="000000" w:sz="4" w:space="0"/>
            </w:tcBorders>
          </w:tcPr>
          <w:p w14:paraId="59DD3B8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Whole Site </w:t>
            </w:r>
          </w:p>
        </w:tc>
        <w:tc>
          <w:tcPr>
            <w:tcW w:w="692" w:type="dxa"/>
            <w:tcBorders>
              <w:top w:val="single" w:color="000000" w:sz="4" w:space="0"/>
              <w:left w:val="single" w:color="000000" w:sz="4" w:space="0"/>
              <w:bottom w:val="single" w:color="000000" w:sz="4" w:space="0"/>
              <w:right w:val="single" w:color="000000" w:sz="4" w:space="0"/>
            </w:tcBorders>
          </w:tcPr>
          <w:p w14:paraId="17427C6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3 </w:t>
            </w:r>
          </w:p>
        </w:tc>
        <w:tc>
          <w:tcPr>
            <w:tcW w:w="2186" w:type="dxa"/>
            <w:tcBorders>
              <w:top w:val="single" w:color="000000" w:sz="4" w:space="0"/>
              <w:left w:val="single" w:color="000000" w:sz="4" w:space="0"/>
              <w:bottom w:val="single" w:color="000000" w:sz="4" w:space="0"/>
              <w:right w:val="single" w:color="000000" w:sz="4" w:space="0"/>
            </w:tcBorders>
          </w:tcPr>
          <w:p w14:paraId="1C9AFAA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One year to ten years </w:t>
            </w:r>
          </w:p>
        </w:tc>
        <w:tc>
          <w:tcPr>
            <w:tcW w:w="708" w:type="dxa"/>
            <w:tcBorders>
              <w:top w:val="single" w:color="000000" w:sz="4" w:space="0"/>
              <w:left w:val="single" w:color="000000" w:sz="4" w:space="0"/>
              <w:bottom w:val="single" w:color="000000" w:sz="4" w:space="0"/>
              <w:right w:val="single" w:color="000000" w:sz="4" w:space="0"/>
            </w:tcBorders>
          </w:tcPr>
          <w:p w14:paraId="008E8FB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3 </w:t>
            </w:r>
          </w:p>
        </w:tc>
      </w:tr>
      <w:tr w14:paraId="2FC38FDC">
        <w:tblPrEx>
          <w:tblCellMar>
            <w:top w:w="8" w:type="dxa"/>
            <w:left w:w="107" w:type="dxa"/>
            <w:bottom w:w="0" w:type="dxa"/>
            <w:right w:w="23" w:type="dxa"/>
          </w:tblCellMar>
        </w:tblPrEx>
        <w:trPr>
          <w:trHeight w:val="470" w:hRule="atLeast"/>
        </w:trPr>
        <w:tc>
          <w:tcPr>
            <w:tcW w:w="2072" w:type="dxa"/>
            <w:tcBorders>
              <w:top w:val="single" w:color="000000" w:sz="4" w:space="0"/>
              <w:left w:val="single" w:color="000000" w:sz="4" w:space="0"/>
              <w:bottom w:val="single" w:color="000000" w:sz="4" w:space="0"/>
              <w:right w:val="single" w:color="000000" w:sz="4" w:space="0"/>
            </w:tcBorders>
          </w:tcPr>
          <w:p w14:paraId="7906C1A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Great / harmful </w:t>
            </w:r>
          </w:p>
        </w:tc>
        <w:tc>
          <w:tcPr>
            <w:tcW w:w="709" w:type="dxa"/>
            <w:tcBorders>
              <w:top w:val="single" w:color="000000" w:sz="4" w:space="0"/>
              <w:left w:val="single" w:color="000000" w:sz="4" w:space="0"/>
              <w:bottom w:val="single" w:color="000000" w:sz="4" w:space="0"/>
              <w:right w:val="single" w:color="000000" w:sz="4" w:space="0"/>
            </w:tcBorders>
          </w:tcPr>
          <w:p w14:paraId="1340F5A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4 </w:t>
            </w:r>
          </w:p>
        </w:tc>
        <w:tc>
          <w:tcPr>
            <w:tcW w:w="2537" w:type="dxa"/>
            <w:tcBorders>
              <w:top w:val="single" w:color="000000" w:sz="4" w:space="0"/>
              <w:left w:val="single" w:color="000000" w:sz="4" w:space="0"/>
              <w:bottom w:val="single" w:color="000000" w:sz="4" w:space="0"/>
              <w:right w:val="single" w:color="000000" w:sz="4" w:space="0"/>
            </w:tcBorders>
          </w:tcPr>
          <w:p w14:paraId="3E1D89A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Regional/Neighboring areas </w:t>
            </w:r>
          </w:p>
        </w:tc>
        <w:tc>
          <w:tcPr>
            <w:tcW w:w="692" w:type="dxa"/>
            <w:tcBorders>
              <w:top w:val="single" w:color="000000" w:sz="4" w:space="0"/>
              <w:left w:val="single" w:color="000000" w:sz="4" w:space="0"/>
              <w:bottom w:val="single" w:color="000000" w:sz="4" w:space="0"/>
              <w:right w:val="single" w:color="000000" w:sz="4" w:space="0"/>
            </w:tcBorders>
          </w:tcPr>
          <w:p w14:paraId="0E3667B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4 </w:t>
            </w:r>
          </w:p>
        </w:tc>
        <w:tc>
          <w:tcPr>
            <w:tcW w:w="2186" w:type="dxa"/>
            <w:tcBorders>
              <w:top w:val="single" w:color="000000" w:sz="4" w:space="0"/>
              <w:left w:val="single" w:color="000000" w:sz="4" w:space="0"/>
              <w:bottom w:val="single" w:color="000000" w:sz="4" w:space="0"/>
              <w:right w:val="single" w:color="000000" w:sz="4" w:space="0"/>
            </w:tcBorders>
          </w:tcPr>
          <w:p w14:paraId="5834C89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Life of operation </w:t>
            </w:r>
          </w:p>
        </w:tc>
        <w:tc>
          <w:tcPr>
            <w:tcW w:w="708" w:type="dxa"/>
            <w:tcBorders>
              <w:top w:val="single" w:color="000000" w:sz="4" w:space="0"/>
              <w:left w:val="single" w:color="000000" w:sz="4" w:space="0"/>
              <w:bottom w:val="single" w:color="000000" w:sz="4" w:space="0"/>
              <w:right w:val="single" w:color="000000" w:sz="4" w:space="0"/>
            </w:tcBorders>
          </w:tcPr>
          <w:p w14:paraId="7C003A2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4 </w:t>
            </w:r>
          </w:p>
        </w:tc>
      </w:tr>
      <w:tr w14:paraId="77342BFB">
        <w:tblPrEx>
          <w:tblCellMar>
            <w:top w:w="8" w:type="dxa"/>
            <w:left w:w="107" w:type="dxa"/>
            <w:bottom w:w="0" w:type="dxa"/>
            <w:right w:w="23" w:type="dxa"/>
          </w:tblCellMar>
        </w:tblPrEx>
        <w:trPr>
          <w:trHeight w:val="470" w:hRule="atLeast"/>
        </w:trPr>
        <w:tc>
          <w:tcPr>
            <w:tcW w:w="2072" w:type="dxa"/>
            <w:tcBorders>
              <w:top w:val="single" w:color="000000" w:sz="4" w:space="0"/>
              <w:left w:val="single" w:color="000000" w:sz="4" w:space="0"/>
              <w:bottom w:val="single" w:color="000000" w:sz="4" w:space="0"/>
              <w:right w:val="single" w:color="000000" w:sz="4" w:space="0"/>
            </w:tcBorders>
          </w:tcPr>
          <w:p w14:paraId="7C72AC7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Disastrous / Extremely harmful </w:t>
            </w:r>
          </w:p>
        </w:tc>
        <w:tc>
          <w:tcPr>
            <w:tcW w:w="709" w:type="dxa"/>
            <w:tcBorders>
              <w:top w:val="single" w:color="000000" w:sz="4" w:space="0"/>
              <w:left w:val="single" w:color="000000" w:sz="4" w:space="0"/>
              <w:bottom w:val="single" w:color="000000" w:sz="4" w:space="0"/>
              <w:right w:val="single" w:color="000000" w:sz="4" w:space="0"/>
            </w:tcBorders>
          </w:tcPr>
          <w:p w14:paraId="564FE86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5 </w:t>
            </w:r>
          </w:p>
        </w:tc>
        <w:tc>
          <w:tcPr>
            <w:tcW w:w="2537" w:type="dxa"/>
            <w:tcBorders>
              <w:top w:val="single" w:color="000000" w:sz="4" w:space="0"/>
              <w:left w:val="single" w:color="000000" w:sz="4" w:space="0"/>
              <w:bottom w:val="single" w:color="000000" w:sz="4" w:space="0"/>
              <w:right w:val="single" w:color="000000" w:sz="4" w:space="0"/>
            </w:tcBorders>
          </w:tcPr>
          <w:p w14:paraId="5293FC8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National </w:t>
            </w:r>
          </w:p>
        </w:tc>
        <w:tc>
          <w:tcPr>
            <w:tcW w:w="692" w:type="dxa"/>
            <w:tcBorders>
              <w:top w:val="single" w:color="000000" w:sz="4" w:space="0"/>
              <w:left w:val="single" w:color="000000" w:sz="4" w:space="0"/>
              <w:bottom w:val="single" w:color="000000" w:sz="4" w:space="0"/>
              <w:right w:val="single" w:color="000000" w:sz="4" w:space="0"/>
            </w:tcBorders>
          </w:tcPr>
          <w:p w14:paraId="124CA97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5 </w:t>
            </w:r>
          </w:p>
        </w:tc>
        <w:tc>
          <w:tcPr>
            <w:tcW w:w="2186" w:type="dxa"/>
            <w:tcBorders>
              <w:top w:val="single" w:color="000000" w:sz="4" w:space="0"/>
              <w:left w:val="single" w:color="000000" w:sz="4" w:space="0"/>
              <w:bottom w:val="single" w:color="000000" w:sz="4" w:space="0"/>
              <w:right w:val="single" w:color="000000" w:sz="4" w:space="0"/>
            </w:tcBorders>
          </w:tcPr>
          <w:p w14:paraId="220DA72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Post  closure / permanent </w:t>
            </w:r>
          </w:p>
        </w:tc>
        <w:tc>
          <w:tcPr>
            <w:tcW w:w="708" w:type="dxa"/>
            <w:tcBorders>
              <w:top w:val="single" w:color="000000" w:sz="4" w:space="0"/>
              <w:left w:val="single" w:color="000000" w:sz="4" w:space="0"/>
              <w:bottom w:val="single" w:color="000000" w:sz="4" w:space="0"/>
              <w:right w:val="single" w:color="000000" w:sz="4" w:space="0"/>
            </w:tcBorders>
          </w:tcPr>
          <w:p w14:paraId="00D1444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5 </w:t>
            </w:r>
          </w:p>
        </w:tc>
      </w:tr>
    </w:tbl>
    <w:p w14:paraId="2D9EC06A">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b/>
          <w:lang w:bidi="en-US"/>
        </w:rPr>
        <w:t xml:space="preserve">Note: </w:t>
      </w:r>
      <w:r>
        <w:rPr>
          <w:rFonts w:eastAsia="Calibri" w:cs="Calibri"/>
          <w:lang w:bidi="en-US"/>
        </w:rPr>
        <w:t>Total Rating of Impact Consequence = Rating of Severity/Magnitude + Rating of Spatial Scope of Impact + Rating of Impact Duration</w:t>
      </w:r>
      <w:r>
        <w:rPr>
          <w:rFonts w:eastAsia="Calibri" w:cs="Calibri"/>
          <w:b/>
          <w:lang w:bidi="en-US"/>
        </w:rPr>
        <w:t xml:space="preserve"> </w:t>
      </w:r>
    </w:p>
    <w:p w14:paraId="3E486BCA">
      <w:pPr>
        <w:widowControl w:val="0"/>
        <w:tabs>
          <w:tab w:val="left" w:pos="709"/>
        </w:tabs>
        <w:autoSpaceDE w:val="0"/>
        <w:autoSpaceDN w:val="0"/>
        <w:spacing w:before="100" w:beforeAutospacing="1" w:after="100" w:afterAutospacing="1" w:line="240" w:lineRule="auto"/>
        <w:ind w:left="709"/>
        <w:jc w:val="both"/>
        <w:rPr>
          <w:rFonts w:eastAsia="Calibri" w:cs="Calibri"/>
          <w:i/>
          <w:iCs/>
          <w:color w:val="44546A" w:themeColor="text2"/>
          <w:lang w:bidi="en-US"/>
          <w14:textFill>
            <w14:solidFill>
              <w14:schemeClr w14:val="tx2"/>
            </w14:solidFill>
          </w14:textFill>
        </w:rPr>
      </w:pPr>
      <w:bookmarkStart w:id="378" w:name="_Toc168326923"/>
      <w:bookmarkStart w:id="379" w:name="_Toc167798448"/>
      <w:bookmarkStart w:id="380" w:name="_Toc179556830"/>
      <w:bookmarkStart w:id="381" w:name="_Toc171916957"/>
      <w:bookmarkStart w:id="382" w:name="_Toc173252906"/>
      <w:r>
        <w:rPr>
          <w:rFonts w:eastAsia="Calibri" w:cs="Calibri"/>
          <w:i/>
          <w:iCs/>
          <w:color w:val="44546A" w:themeColor="text2"/>
          <w:lang w:bidi="en-US"/>
          <w14:textFill>
            <w14:solidFill>
              <w14:schemeClr w14:val="tx2"/>
            </w14:solidFill>
          </w14:textFill>
        </w:rPr>
        <w:t xml:space="preserve">Table </w:t>
      </w:r>
      <w:r>
        <w:rPr>
          <w:rFonts w:eastAsia="Calibri" w:cs="Calibri"/>
          <w:i/>
          <w:iCs/>
          <w:color w:val="44546A" w:themeColor="text2"/>
          <w:lang w:bidi="en-US"/>
          <w14:textFill>
            <w14:solidFill>
              <w14:schemeClr w14:val="tx2"/>
            </w14:solidFill>
          </w14:textFill>
        </w:rPr>
        <w:fldChar w:fldCharType="begin"/>
      </w:r>
      <w:r>
        <w:rPr>
          <w:rFonts w:eastAsia="Calibri" w:cs="Calibri"/>
          <w:i/>
          <w:iCs/>
          <w:color w:val="44546A" w:themeColor="text2"/>
          <w:lang w:bidi="en-US"/>
          <w14:textFill>
            <w14:solidFill>
              <w14:schemeClr w14:val="tx2"/>
            </w14:solidFill>
          </w14:textFill>
        </w:rPr>
        <w:instrText xml:space="preserve"> SEQ Table \* ARABIC </w:instrText>
      </w:r>
      <w:r>
        <w:rPr>
          <w:rFonts w:eastAsia="Calibri" w:cs="Calibri"/>
          <w:i/>
          <w:iCs/>
          <w:color w:val="44546A" w:themeColor="text2"/>
          <w:lang w:bidi="en-US"/>
          <w14:textFill>
            <w14:solidFill>
              <w14:schemeClr w14:val="tx2"/>
            </w14:solidFill>
          </w14:textFill>
        </w:rPr>
        <w:fldChar w:fldCharType="separate"/>
      </w:r>
      <w:r>
        <w:rPr>
          <w:rFonts w:eastAsia="Calibri" w:cs="Calibri"/>
          <w:i/>
          <w:iCs/>
          <w:color w:val="44546A" w:themeColor="text2"/>
          <w:lang w:bidi="en-US"/>
          <w14:textFill>
            <w14:solidFill>
              <w14:schemeClr w14:val="tx2"/>
            </w14:solidFill>
          </w14:textFill>
        </w:rPr>
        <w:t>19</w:t>
      </w:r>
      <w:r>
        <w:rPr>
          <w:rFonts w:eastAsia="Calibri" w:cs="Calibri"/>
          <w:i/>
          <w:iCs/>
          <w:color w:val="44546A" w:themeColor="text2"/>
          <w:lang w:bidi="en-US"/>
          <w14:textFill>
            <w14:solidFill>
              <w14:schemeClr w14:val="tx2"/>
            </w14:solidFill>
          </w14:textFill>
        </w:rPr>
        <w:fldChar w:fldCharType="end"/>
      </w:r>
      <w:r>
        <w:rPr>
          <w:rFonts w:eastAsia="Calibri" w:cs="Calibri"/>
          <w:b/>
          <w:iCs/>
          <w:color w:val="44546A" w:themeColor="text2"/>
          <w:lang w:bidi="en-US"/>
          <w14:textFill>
            <w14:solidFill>
              <w14:schemeClr w14:val="tx2"/>
            </w14:solidFill>
          </w14:textFill>
        </w:rPr>
        <w:t xml:space="preserve">: </w:t>
      </w:r>
      <w:r>
        <w:rPr>
          <w:rFonts w:eastAsia="Calibri" w:cs="Calibri"/>
          <w:iCs/>
          <w:color w:val="44546A" w:themeColor="text2"/>
          <w:lang w:bidi="en-US"/>
          <w14:textFill>
            <w14:solidFill>
              <w14:schemeClr w14:val="tx2"/>
            </w14:solidFill>
          </w14:textFill>
        </w:rPr>
        <w:t>Impacts Likelihood</w:t>
      </w:r>
      <w:bookmarkEnd w:id="378"/>
      <w:bookmarkEnd w:id="379"/>
      <w:bookmarkEnd w:id="380"/>
      <w:bookmarkEnd w:id="381"/>
      <w:bookmarkEnd w:id="382"/>
      <w:r>
        <w:rPr>
          <w:rFonts w:eastAsia="Calibri" w:cs="Calibri"/>
          <w:b/>
          <w:iCs/>
          <w:color w:val="44546A" w:themeColor="text2"/>
          <w:lang w:bidi="en-US"/>
          <w14:textFill>
            <w14:solidFill>
              <w14:schemeClr w14:val="tx2"/>
            </w14:solidFill>
          </w14:textFill>
        </w:rPr>
        <w:t xml:space="preserve"> </w:t>
      </w:r>
    </w:p>
    <w:tbl>
      <w:tblPr>
        <w:tblStyle w:val="12"/>
        <w:tblW w:w="7371" w:type="dxa"/>
        <w:tblInd w:w="846" w:type="dxa"/>
        <w:tblLayout w:type="autofit"/>
        <w:tblCellMar>
          <w:top w:w="8" w:type="dxa"/>
          <w:left w:w="107" w:type="dxa"/>
          <w:bottom w:w="0" w:type="dxa"/>
          <w:right w:w="115" w:type="dxa"/>
        </w:tblCellMar>
      </w:tblPr>
      <w:tblGrid>
        <w:gridCol w:w="2356"/>
        <w:gridCol w:w="904"/>
        <w:gridCol w:w="2977"/>
        <w:gridCol w:w="1134"/>
      </w:tblGrid>
      <w:tr w14:paraId="5EFEAD39">
        <w:tblPrEx>
          <w:tblCellMar>
            <w:top w:w="8" w:type="dxa"/>
            <w:left w:w="107" w:type="dxa"/>
            <w:bottom w:w="0" w:type="dxa"/>
            <w:right w:w="115" w:type="dxa"/>
          </w:tblCellMar>
        </w:tblPrEx>
        <w:trPr>
          <w:trHeight w:val="353" w:hRule="atLeast"/>
        </w:trPr>
        <w:tc>
          <w:tcPr>
            <w:tcW w:w="2356" w:type="dxa"/>
            <w:tcBorders>
              <w:top w:val="single" w:color="000000" w:sz="4" w:space="0"/>
              <w:left w:val="single" w:color="000000" w:sz="4" w:space="0"/>
              <w:bottom w:val="single" w:color="000000" w:sz="4" w:space="0"/>
              <w:right w:val="single" w:color="000000" w:sz="4" w:space="0"/>
            </w:tcBorders>
            <w:shd w:val="clear" w:color="auto" w:fill="B4C6E7"/>
          </w:tcPr>
          <w:p w14:paraId="7B5BF09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Frequency / duration of activity </w:t>
            </w:r>
          </w:p>
        </w:tc>
        <w:tc>
          <w:tcPr>
            <w:tcW w:w="904" w:type="dxa"/>
            <w:tcBorders>
              <w:top w:val="single" w:color="000000" w:sz="4" w:space="0"/>
              <w:left w:val="single" w:color="000000" w:sz="4" w:space="0"/>
              <w:bottom w:val="single" w:color="000000" w:sz="4" w:space="0"/>
              <w:right w:val="single" w:color="000000" w:sz="4" w:space="0"/>
            </w:tcBorders>
            <w:shd w:val="clear" w:color="auto" w:fill="B4C6E7"/>
          </w:tcPr>
          <w:p w14:paraId="112979E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Rating </w:t>
            </w:r>
          </w:p>
        </w:tc>
        <w:tc>
          <w:tcPr>
            <w:tcW w:w="2977" w:type="dxa"/>
            <w:tcBorders>
              <w:top w:val="single" w:color="000000" w:sz="4" w:space="0"/>
              <w:left w:val="single" w:color="000000" w:sz="4" w:space="0"/>
              <w:bottom w:val="single" w:color="000000" w:sz="4" w:space="0"/>
              <w:right w:val="single" w:color="000000" w:sz="4" w:space="0"/>
            </w:tcBorders>
            <w:shd w:val="clear" w:color="auto" w:fill="B4C6E7"/>
          </w:tcPr>
          <w:p w14:paraId="7F36F48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Frequency of impact </w:t>
            </w:r>
          </w:p>
        </w:tc>
        <w:tc>
          <w:tcPr>
            <w:tcW w:w="1134" w:type="dxa"/>
            <w:tcBorders>
              <w:top w:val="single" w:color="000000" w:sz="4" w:space="0"/>
              <w:left w:val="single" w:color="000000" w:sz="4" w:space="0"/>
              <w:bottom w:val="single" w:color="000000" w:sz="4" w:space="0"/>
              <w:right w:val="single" w:color="000000" w:sz="4" w:space="0"/>
            </w:tcBorders>
            <w:shd w:val="clear" w:color="auto" w:fill="B4C6E7"/>
          </w:tcPr>
          <w:p w14:paraId="7A4FB5C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Rating </w:t>
            </w:r>
          </w:p>
        </w:tc>
      </w:tr>
      <w:tr w14:paraId="46E520F2">
        <w:tblPrEx>
          <w:tblCellMar>
            <w:top w:w="8" w:type="dxa"/>
            <w:left w:w="107" w:type="dxa"/>
            <w:bottom w:w="0" w:type="dxa"/>
            <w:right w:w="115" w:type="dxa"/>
          </w:tblCellMar>
        </w:tblPrEx>
        <w:trPr>
          <w:trHeight w:val="356" w:hRule="atLeast"/>
        </w:trPr>
        <w:tc>
          <w:tcPr>
            <w:tcW w:w="2356" w:type="dxa"/>
            <w:tcBorders>
              <w:top w:val="single" w:color="000000" w:sz="4" w:space="0"/>
              <w:left w:val="single" w:color="000000" w:sz="4" w:space="0"/>
              <w:bottom w:val="single" w:color="000000" w:sz="4" w:space="0"/>
              <w:right w:val="single" w:color="000000" w:sz="4" w:space="0"/>
            </w:tcBorders>
          </w:tcPr>
          <w:p w14:paraId="6B485A9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Annually or less </w:t>
            </w:r>
          </w:p>
        </w:tc>
        <w:tc>
          <w:tcPr>
            <w:tcW w:w="904" w:type="dxa"/>
            <w:tcBorders>
              <w:top w:val="single" w:color="000000" w:sz="4" w:space="0"/>
              <w:left w:val="single" w:color="000000" w:sz="4" w:space="0"/>
              <w:bottom w:val="single" w:color="000000" w:sz="4" w:space="0"/>
              <w:right w:val="single" w:color="000000" w:sz="4" w:space="0"/>
            </w:tcBorders>
          </w:tcPr>
          <w:p w14:paraId="51C9435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1 </w:t>
            </w:r>
          </w:p>
        </w:tc>
        <w:tc>
          <w:tcPr>
            <w:tcW w:w="2977" w:type="dxa"/>
            <w:tcBorders>
              <w:top w:val="single" w:color="000000" w:sz="4" w:space="0"/>
              <w:left w:val="single" w:color="000000" w:sz="4" w:space="0"/>
              <w:bottom w:val="single" w:color="000000" w:sz="4" w:space="0"/>
              <w:right w:val="single" w:color="000000" w:sz="4" w:space="0"/>
            </w:tcBorders>
          </w:tcPr>
          <w:p w14:paraId="3129B98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Almost never / Impossible </w:t>
            </w:r>
          </w:p>
        </w:tc>
        <w:tc>
          <w:tcPr>
            <w:tcW w:w="1134" w:type="dxa"/>
            <w:tcBorders>
              <w:top w:val="single" w:color="000000" w:sz="4" w:space="0"/>
              <w:left w:val="single" w:color="000000" w:sz="4" w:space="0"/>
              <w:bottom w:val="single" w:color="000000" w:sz="4" w:space="0"/>
              <w:right w:val="single" w:color="000000" w:sz="4" w:space="0"/>
            </w:tcBorders>
          </w:tcPr>
          <w:p w14:paraId="28BF1DC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1 </w:t>
            </w:r>
          </w:p>
        </w:tc>
      </w:tr>
      <w:tr w14:paraId="5E3A8428">
        <w:tblPrEx>
          <w:tblCellMar>
            <w:top w:w="8" w:type="dxa"/>
            <w:left w:w="107" w:type="dxa"/>
            <w:bottom w:w="0" w:type="dxa"/>
            <w:right w:w="115" w:type="dxa"/>
          </w:tblCellMar>
        </w:tblPrEx>
        <w:trPr>
          <w:trHeight w:val="355" w:hRule="atLeast"/>
        </w:trPr>
        <w:tc>
          <w:tcPr>
            <w:tcW w:w="2356" w:type="dxa"/>
            <w:tcBorders>
              <w:top w:val="single" w:color="000000" w:sz="4" w:space="0"/>
              <w:left w:val="single" w:color="000000" w:sz="4" w:space="0"/>
              <w:bottom w:val="single" w:color="000000" w:sz="4" w:space="0"/>
              <w:right w:val="single" w:color="000000" w:sz="4" w:space="0"/>
            </w:tcBorders>
          </w:tcPr>
          <w:p w14:paraId="5F2DC7B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6 monthly / temporary </w:t>
            </w:r>
          </w:p>
        </w:tc>
        <w:tc>
          <w:tcPr>
            <w:tcW w:w="904" w:type="dxa"/>
            <w:tcBorders>
              <w:top w:val="single" w:color="000000" w:sz="4" w:space="0"/>
              <w:left w:val="single" w:color="000000" w:sz="4" w:space="0"/>
              <w:bottom w:val="single" w:color="000000" w:sz="4" w:space="0"/>
              <w:right w:val="single" w:color="000000" w:sz="4" w:space="0"/>
            </w:tcBorders>
          </w:tcPr>
          <w:p w14:paraId="7A53B59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2 </w:t>
            </w:r>
          </w:p>
        </w:tc>
        <w:tc>
          <w:tcPr>
            <w:tcW w:w="2977" w:type="dxa"/>
            <w:tcBorders>
              <w:top w:val="single" w:color="000000" w:sz="4" w:space="0"/>
              <w:left w:val="single" w:color="000000" w:sz="4" w:space="0"/>
              <w:bottom w:val="single" w:color="000000" w:sz="4" w:space="0"/>
              <w:right w:val="single" w:color="000000" w:sz="4" w:space="0"/>
            </w:tcBorders>
          </w:tcPr>
          <w:p w14:paraId="786A09D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Very seldom / highly unlikely </w:t>
            </w:r>
          </w:p>
        </w:tc>
        <w:tc>
          <w:tcPr>
            <w:tcW w:w="1134" w:type="dxa"/>
            <w:tcBorders>
              <w:top w:val="single" w:color="000000" w:sz="4" w:space="0"/>
              <w:left w:val="single" w:color="000000" w:sz="4" w:space="0"/>
              <w:bottom w:val="single" w:color="000000" w:sz="4" w:space="0"/>
              <w:right w:val="single" w:color="000000" w:sz="4" w:space="0"/>
            </w:tcBorders>
          </w:tcPr>
          <w:p w14:paraId="1709637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2 </w:t>
            </w:r>
          </w:p>
        </w:tc>
      </w:tr>
      <w:tr w14:paraId="20EA925C">
        <w:tblPrEx>
          <w:tblCellMar>
            <w:top w:w="8" w:type="dxa"/>
            <w:left w:w="107" w:type="dxa"/>
            <w:bottom w:w="0" w:type="dxa"/>
            <w:right w:w="115" w:type="dxa"/>
          </w:tblCellMar>
        </w:tblPrEx>
        <w:trPr>
          <w:trHeight w:val="355" w:hRule="atLeast"/>
        </w:trPr>
        <w:tc>
          <w:tcPr>
            <w:tcW w:w="2356" w:type="dxa"/>
            <w:tcBorders>
              <w:top w:val="single" w:color="000000" w:sz="4" w:space="0"/>
              <w:left w:val="single" w:color="000000" w:sz="4" w:space="0"/>
              <w:bottom w:val="single" w:color="000000" w:sz="4" w:space="0"/>
              <w:right w:val="single" w:color="000000" w:sz="4" w:space="0"/>
            </w:tcBorders>
          </w:tcPr>
          <w:p w14:paraId="05ECD2E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Monthly / infrequent </w:t>
            </w:r>
          </w:p>
        </w:tc>
        <w:tc>
          <w:tcPr>
            <w:tcW w:w="904" w:type="dxa"/>
            <w:tcBorders>
              <w:top w:val="single" w:color="000000" w:sz="4" w:space="0"/>
              <w:left w:val="single" w:color="000000" w:sz="4" w:space="0"/>
              <w:bottom w:val="single" w:color="000000" w:sz="4" w:space="0"/>
              <w:right w:val="single" w:color="000000" w:sz="4" w:space="0"/>
            </w:tcBorders>
          </w:tcPr>
          <w:p w14:paraId="69633EE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3 </w:t>
            </w:r>
          </w:p>
        </w:tc>
        <w:tc>
          <w:tcPr>
            <w:tcW w:w="2977" w:type="dxa"/>
            <w:tcBorders>
              <w:top w:val="single" w:color="000000" w:sz="4" w:space="0"/>
              <w:left w:val="single" w:color="000000" w:sz="4" w:space="0"/>
              <w:bottom w:val="single" w:color="000000" w:sz="4" w:space="0"/>
              <w:right w:val="single" w:color="000000" w:sz="4" w:space="0"/>
            </w:tcBorders>
          </w:tcPr>
          <w:p w14:paraId="1F7222F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Infrequent / unlikely / seldom </w:t>
            </w:r>
          </w:p>
        </w:tc>
        <w:tc>
          <w:tcPr>
            <w:tcW w:w="1134" w:type="dxa"/>
            <w:tcBorders>
              <w:top w:val="single" w:color="000000" w:sz="4" w:space="0"/>
              <w:left w:val="single" w:color="000000" w:sz="4" w:space="0"/>
              <w:bottom w:val="single" w:color="000000" w:sz="4" w:space="0"/>
              <w:right w:val="single" w:color="000000" w:sz="4" w:space="0"/>
            </w:tcBorders>
          </w:tcPr>
          <w:p w14:paraId="78B3B31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3 </w:t>
            </w:r>
          </w:p>
        </w:tc>
      </w:tr>
      <w:tr w14:paraId="1F5FB32A">
        <w:tblPrEx>
          <w:tblCellMar>
            <w:top w:w="8" w:type="dxa"/>
            <w:left w:w="107" w:type="dxa"/>
            <w:bottom w:w="0" w:type="dxa"/>
            <w:right w:w="115" w:type="dxa"/>
          </w:tblCellMar>
        </w:tblPrEx>
        <w:trPr>
          <w:trHeight w:val="353" w:hRule="atLeast"/>
        </w:trPr>
        <w:tc>
          <w:tcPr>
            <w:tcW w:w="2356" w:type="dxa"/>
            <w:tcBorders>
              <w:top w:val="single" w:color="000000" w:sz="4" w:space="0"/>
              <w:left w:val="single" w:color="000000" w:sz="4" w:space="0"/>
              <w:bottom w:val="single" w:color="000000" w:sz="4" w:space="0"/>
              <w:right w:val="single" w:color="000000" w:sz="4" w:space="0"/>
            </w:tcBorders>
          </w:tcPr>
          <w:p w14:paraId="61FDA9F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Weekly / life of operation </w:t>
            </w:r>
          </w:p>
        </w:tc>
        <w:tc>
          <w:tcPr>
            <w:tcW w:w="904" w:type="dxa"/>
            <w:tcBorders>
              <w:top w:val="single" w:color="000000" w:sz="4" w:space="0"/>
              <w:left w:val="single" w:color="000000" w:sz="4" w:space="0"/>
              <w:bottom w:val="single" w:color="000000" w:sz="4" w:space="0"/>
              <w:right w:val="single" w:color="000000" w:sz="4" w:space="0"/>
            </w:tcBorders>
          </w:tcPr>
          <w:p w14:paraId="5B6E3AB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4 </w:t>
            </w:r>
          </w:p>
        </w:tc>
        <w:tc>
          <w:tcPr>
            <w:tcW w:w="2977" w:type="dxa"/>
            <w:tcBorders>
              <w:top w:val="single" w:color="000000" w:sz="4" w:space="0"/>
              <w:left w:val="single" w:color="000000" w:sz="4" w:space="0"/>
              <w:bottom w:val="single" w:color="000000" w:sz="4" w:space="0"/>
              <w:right w:val="single" w:color="000000" w:sz="4" w:space="0"/>
            </w:tcBorders>
          </w:tcPr>
          <w:p w14:paraId="2ECEDA4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Often / regularly / likely / possible </w:t>
            </w:r>
          </w:p>
        </w:tc>
        <w:tc>
          <w:tcPr>
            <w:tcW w:w="1134" w:type="dxa"/>
            <w:tcBorders>
              <w:top w:val="single" w:color="000000" w:sz="4" w:space="0"/>
              <w:left w:val="single" w:color="000000" w:sz="4" w:space="0"/>
              <w:bottom w:val="single" w:color="000000" w:sz="4" w:space="0"/>
              <w:right w:val="single" w:color="000000" w:sz="4" w:space="0"/>
            </w:tcBorders>
          </w:tcPr>
          <w:p w14:paraId="50992CF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4 </w:t>
            </w:r>
          </w:p>
        </w:tc>
      </w:tr>
      <w:tr w14:paraId="4B359179">
        <w:tblPrEx>
          <w:tblCellMar>
            <w:top w:w="8" w:type="dxa"/>
            <w:left w:w="107" w:type="dxa"/>
            <w:bottom w:w="0" w:type="dxa"/>
            <w:right w:w="115" w:type="dxa"/>
          </w:tblCellMar>
        </w:tblPrEx>
        <w:trPr>
          <w:trHeight w:val="358" w:hRule="atLeast"/>
        </w:trPr>
        <w:tc>
          <w:tcPr>
            <w:tcW w:w="2356" w:type="dxa"/>
            <w:tcBorders>
              <w:top w:val="single" w:color="000000" w:sz="4" w:space="0"/>
              <w:left w:val="single" w:color="000000" w:sz="4" w:space="0"/>
              <w:bottom w:val="single" w:color="000000" w:sz="4" w:space="0"/>
              <w:right w:val="single" w:color="000000" w:sz="4" w:space="0"/>
            </w:tcBorders>
          </w:tcPr>
          <w:p w14:paraId="3569102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Post closure </w:t>
            </w:r>
          </w:p>
        </w:tc>
        <w:tc>
          <w:tcPr>
            <w:tcW w:w="904" w:type="dxa"/>
            <w:tcBorders>
              <w:top w:val="single" w:color="000000" w:sz="4" w:space="0"/>
              <w:left w:val="single" w:color="000000" w:sz="4" w:space="0"/>
              <w:bottom w:val="single" w:color="000000" w:sz="4" w:space="0"/>
              <w:right w:val="single" w:color="000000" w:sz="4" w:space="0"/>
            </w:tcBorders>
          </w:tcPr>
          <w:p w14:paraId="1A9D5CF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5 </w:t>
            </w:r>
          </w:p>
        </w:tc>
        <w:tc>
          <w:tcPr>
            <w:tcW w:w="2977" w:type="dxa"/>
            <w:tcBorders>
              <w:top w:val="single" w:color="000000" w:sz="4" w:space="0"/>
              <w:left w:val="single" w:color="000000" w:sz="4" w:space="0"/>
              <w:bottom w:val="single" w:color="000000" w:sz="4" w:space="0"/>
              <w:right w:val="single" w:color="000000" w:sz="4" w:space="0"/>
            </w:tcBorders>
          </w:tcPr>
          <w:p w14:paraId="2205584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Daily / highly likely / definitely </w:t>
            </w:r>
          </w:p>
        </w:tc>
        <w:tc>
          <w:tcPr>
            <w:tcW w:w="1134" w:type="dxa"/>
            <w:tcBorders>
              <w:top w:val="single" w:color="000000" w:sz="4" w:space="0"/>
              <w:left w:val="single" w:color="000000" w:sz="4" w:space="0"/>
              <w:bottom w:val="single" w:color="000000" w:sz="4" w:space="0"/>
              <w:right w:val="single" w:color="000000" w:sz="4" w:space="0"/>
            </w:tcBorders>
          </w:tcPr>
          <w:p w14:paraId="4218C47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5 </w:t>
            </w:r>
          </w:p>
        </w:tc>
      </w:tr>
    </w:tbl>
    <w:p w14:paraId="611AA80C">
      <w:pPr>
        <w:widowControl w:val="0"/>
        <w:tabs>
          <w:tab w:val="left" w:pos="709"/>
        </w:tabs>
        <w:autoSpaceDE w:val="0"/>
        <w:autoSpaceDN w:val="0"/>
        <w:spacing w:before="100" w:beforeAutospacing="1" w:after="100" w:afterAutospacing="1" w:line="240" w:lineRule="auto"/>
        <w:ind w:left="709"/>
        <w:jc w:val="both"/>
        <w:rPr>
          <w:rFonts w:eastAsia="Calibri" w:cs="Calibri"/>
          <w:kern w:val="2"/>
          <w:lang w:bidi="en-US"/>
          <w14:ligatures w14:val="standardContextual"/>
        </w:rPr>
      </w:pPr>
      <w:r>
        <w:rPr>
          <w:rFonts w:eastAsia="Calibri" w:cs="Calibri"/>
          <w:lang w:bidi="en-US"/>
        </w:rPr>
        <w:t>Total Rating of Impact Likelihood = Rating of Frequency/Duration of Activity + Rating of Impact Frequency</w:t>
      </w:r>
      <w:r>
        <w:rPr>
          <w:rFonts w:eastAsia="Calibri" w:cs="Calibri"/>
          <w:b/>
          <w:lang w:bidi="en-US"/>
        </w:rPr>
        <w:t xml:space="preserve"> </w:t>
      </w:r>
    </w:p>
    <w:p w14:paraId="56ADAD13">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The definitions used in the impact assessment are given below: </w:t>
      </w:r>
    </w:p>
    <w:p w14:paraId="5FD58E23">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Frequency of activity refers to how often the proposed activity will take place. </w:t>
      </w:r>
    </w:p>
    <w:p w14:paraId="1EBAC58F">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Frequency of impact refers to the frequency with which a stressor (aspect) will impact on the receptor. </w:t>
      </w:r>
    </w:p>
    <w:p w14:paraId="7E39C78D">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Severity refers to the degree of change to the receptor status in terms of the reversibility of the impact; sensitivity of receptor to stressor; duration of impact (increasing or decreasing with time); controversy potential and precedent setting; threat to environmental and health standards. </w:t>
      </w:r>
    </w:p>
    <w:p w14:paraId="09A96CCE">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Spatial scope refers to the geographical scale of the impact. </w:t>
      </w:r>
    </w:p>
    <w:p w14:paraId="43BFC29F">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Duration refers to the length of time over which the stressor will cause a change in the resource or receptor.</w:t>
      </w:r>
    </w:p>
    <w:p w14:paraId="2E9A38E9">
      <w:pPr>
        <w:widowControl w:val="0"/>
        <w:tabs>
          <w:tab w:val="left" w:pos="709"/>
        </w:tabs>
        <w:autoSpaceDE w:val="0"/>
        <w:autoSpaceDN w:val="0"/>
        <w:spacing w:before="100" w:beforeAutospacing="1" w:after="100" w:afterAutospacing="1" w:line="240" w:lineRule="auto"/>
        <w:ind w:left="709"/>
        <w:jc w:val="both"/>
        <w:rPr>
          <w:rFonts w:eastAsia="Calibri" w:cs="Calibri"/>
          <w:b/>
          <w:iCs/>
          <w:color w:val="44546A" w:themeColor="text2"/>
          <w:lang w:bidi="en-US"/>
          <w14:textFill>
            <w14:solidFill>
              <w14:schemeClr w14:val="tx2"/>
            </w14:solidFill>
          </w14:textFill>
        </w:rPr>
      </w:pPr>
      <w:bookmarkStart w:id="383" w:name="_Toc168326924"/>
      <w:bookmarkStart w:id="384" w:name="_Toc171916958"/>
      <w:bookmarkStart w:id="385" w:name="_Toc167798449"/>
      <w:bookmarkStart w:id="386" w:name="_Toc179556831"/>
      <w:bookmarkStart w:id="387" w:name="_Toc173252907"/>
      <w:r>
        <w:rPr>
          <w:rFonts w:eastAsia="Calibri" w:cs="Calibri"/>
          <w:i/>
          <w:iCs/>
          <w:color w:val="44546A" w:themeColor="text2"/>
          <w:lang w:bidi="en-US"/>
          <w14:textFill>
            <w14:solidFill>
              <w14:schemeClr w14:val="tx2"/>
            </w14:solidFill>
          </w14:textFill>
        </w:rPr>
        <w:t xml:space="preserve">Table </w:t>
      </w:r>
      <w:r>
        <w:rPr>
          <w:rFonts w:eastAsia="Calibri" w:cs="Calibri"/>
          <w:i/>
          <w:iCs/>
          <w:color w:val="44546A" w:themeColor="text2"/>
          <w:lang w:bidi="en-US"/>
          <w14:textFill>
            <w14:solidFill>
              <w14:schemeClr w14:val="tx2"/>
            </w14:solidFill>
          </w14:textFill>
        </w:rPr>
        <w:fldChar w:fldCharType="begin"/>
      </w:r>
      <w:r>
        <w:rPr>
          <w:rFonts w:eastAsia="Calibri" w:cs="Calibri"/>
          <w:i/>
          <w:iCs/>
          <w:color w:val="44546A" w:themeColor="text2"/>
          <w:lang w:bidi="en-US"/>
          <w14:textFill>
            <w14:solidFill>
              <w14:schemeClr w14:val="tx2"/>
            </w14:solidFill>
          </w14:textFill>
        </w:rPr>
        <w:instrText xml:space="preserve"> SEQ Table \* ARABIC </w:instrText>
      </w:r>
      <w:r>
        <w:rPr>
          <w:rFonts w:eastAsia="Calibri" w:cs="Calibri"/>
          <w:i/>
          <w:iCs/>
          <w:color w:val="44546A" w:themeColor="text2"/>
          <w:lang w:bidi="en-US"/>
          <w14:textFill>
            <w14:solidFill>
              <w14:schemeClr w14:val="tx2"/>
            </w14:solidFill>
          </w14:textFill>
        </w:rPr>
        <w:fldChar w:fldCharType="separate"/>
      </w:r>
      <w:r>
        <w:rPr>
          <w:rFonts w:eastAsia="Calibri" w:cs="Calibri"/>
          <w:i/>
          <w:iCs/>
          <w:color w:val="44546A" w:themeColor="text2"/>
          <w:lang w:bidi="en-US"/>
          <w14:textFill>
            <w14:solidFill>
              <w14:schemeClr w14:val="tx2"/>
            </w14:solidFill>
          </w14:textFill>
        </w:rPr>
        <w:t>20</w:t>
      </w:r>
      <w:r>
        <w:rPr>
          <w:rFonts w:eastAsia="Calibri" w:cs="Calibri"/>
          <w:i/>
          <w:iCs/>
          <w:color w:val="44546A" w:themeColor="text2"/>
          <w:lang w:bidi="en-US"/>
          <w14:textFill>
            <w14:solidFill>
              <w14:schemeClr w14:val="tx2"/>
            </w14:solidFill>
          </w14:textFill>
        </w:rPr>
        <w:fldChar w:fldCharType="end"/>
      </w:r>
      <w:r>
        <w:rPr>
          <w:rFonts w:eastAsia="Calibri" w:cs="Calibri"/>
          <w:b/>
          <w:iCs/>
          <w:color w:val="44546A" w:themeColor="text2"/>
          <w:lang w:bidi="en-US"/>
          <w14:textFill>
            <w14:solidFill>
              <w14:schemeClr w14:val="tx2"/>
            </w14:solidFill>
          </w14:textFill>
        </w:rPr>
        <w:t xml:space="preserve">: </w:t>
      </w:r>
      <w:r>
        <w:rPr>
          <w:rFonts w:eastAsia="Calibri" w:cs="Calibri"/>
          <w:iCs/>
          <w:color w:val="44546A" w:themeColor="text2"/>
          <w:lang w:bidi="en-US"/>
          <w14:textFill>
            <w14:solidFill>
              <w14:schemeClr w14:val="tx2"/>
            </w14:solidFill>
          </w14:textFill>
        </w:rPr>
        <w:t>Significance Rating Matrix</w:t>
      </w:r>
      <w:bookmarkEnd w:id="383"/>
      <w:bookmarkEnd w:id="384"/>
      <w:bookmarkEnd w:id="385"/>
      <w:bookmarkEnd w:id="386"/>
      <w:bookmarkEnd w:id="387"/>
      <w:r>
        <w:rPr>
          <w:rFonts w:eastAsia="Calibri" w:cs="Calibri"/>
          <w:b/>
          <w:iCs/>
          <w:color w:val="44546A" w:themeColor="text2"/>
          <w:lang w:bidi="en-US"/>
          <w14:textFill>
            <w14:solidFill>
              <w14:schemeClr w14:val="tx2"/>
            </w14:solidFill>
          </w14:textFill>
        </w:rPr>
        <w:t xml:space="preserve"> </w:t>
      </w:r>
    </w:p>
    <w:tbl>
      <w:tblPr>
        <w:tblStyle w:val="138"/>
        <w:tblW w:w="4684" w:type="pct"/>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960"/>
        <w:gridCol w:w="686"/>
        <w:gridCol w:w="911"/>
        <w:gridCol w:w="911"/>
        <w:gridCol w:w="904"/>
        <w:gridCol w:w="1141"/>
        <w:gridCol w:w="1145"/>
      </w:tblGrid>
      <w:tr w14:paraId="4B89E3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6" w:hRule="atLeast"/>
        </w:trPr>
        <w:tc>
          <w:tcPr>
            <w:tcW w:w="5000" w:type="pct"/>
            <w:gridSpan w:val="7"/>
            <w:tcBorders>
              <w:top w:val="single" w:color="auto" w:sz="4" w:space="0"/>
              <w:left w:val="single" w:color="auto" w:sz="4" w:space="0"/>
              <w:bottom w:val="single" w:color="auto" w:sz="4" w:space="0"/>
              <w:right w:val="single" w:color="auto" w:sz="4" w:space="0"/>
            </w:tcBorders>
          </w:tcPr>
          <w:p w14:paraId="6D8612BE">
            <w:pPr>
              <w:widowControl w:val="0"/>
              <w:tabs>
                <w:tab w:val="left" w:pos="709"/>
              </w:tabs>
              <w:autoSpaceDE w:val="0"/>
              <w:autoSpaceDN w:val="0"/>
              <w:spacing w:before="100" w:beforeAutospacing="1" w:after="100" w:afterAutospacing="1" w:line="240" w:lineRule="auto"/>
              <w:jc w:val="both"/>
              <w:rPr>
                <w:rFonts w:eastAsia="Calibri" w:cs="Calibri"/>
                <w:b/>
                <w:lang w:val="en-GB" w:eastAsia="en-GB" w:bidi="en-US"/>
              </w:rPr>
            </w:pPr>
            <w:r>
              <w:rPr>
                <w:rFonts w:eastAsia="Calibri" w:cs="Calibri"/>
                <w:b/>
                <w:sz w:val="20"/>
                <w:szCs w:val="20"/>
                <w:lang w:val="en-GB" w:eastAsia="en-GB" w:bidi="en-US"/>
              </w:rPr>
              <w:t>Consequence (Magnitude+ Geographic extent + Duration of the Impact)</w:t>
            </w:r>
          </w:p>
        </w:tc>
      </w:tr>
      <w:tr w14:paraId="17C84E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trPr>
        <w:tc>
          <w:tcPr>
            <w:tcW w:w="1710" w:type="pct"/>
            <w:vMerge w:val="restart"/>
            <w:tcBorders>
              <w:top w:val="single" w:color="auto" w:sz="4" w:space="0"/>
              <w:left w:val="single" w:color="auto" w:sz="4" w:space="0"/>
              <w:bottom w:val="single" w:color="auto" w:sz="4" w:space="0"/>
              <w:right w:val="single" w:color="auto" w:sz="4" w:space="0"/>
            </w:tcBorders>
          </w:tcPr>
          <w:p w14:paraId="5D7FEFA9">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b/>
                <w:sz w:val="20"/>
                <w:szCs w:val="20"/>
                <w:lang w:val="en-GB" w:eastAsia="en-GB" w:bidi="en-US"/>
              </w:rPr>
              <w:t>Likelihood (Frequency of Activity + Frequency  of Impact)</w:t>
            </w:r>
          </w:p>
        </w:tc>
        <w:tc>
          <w:tcPr>
            <w:tcW w:w="396" w:type="pct"/>
            <w:tcBorders>
              <w:top w:val="single" w:color="auto" w:sz="4" w:space="0"/>
              <w:left w:val="single" w:color="auto" w:sz="4" w:space="0"/>
              <w:bottom w:val="single" w:color="auto" w:sz="4" w:space="0"/>
              <w:right w:val="single" w:color="auto" w:sz="4" w:space="0"/>
            </w:tcBorders>
            <w:shd w:val="clear" w:color="auto" w:fill="02D2EE"/>
          </w:tcPr>
          <w:p w14:paraId="101A15F7">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w:t>
            </w:r>
          </w:p>
        </w:tc>
        <w:tc>
          <w:tcPr>
            <w:tcW w:w="526" w:type="pct"/>
            <w:tcBorders>
              <w:top w:val="single" w:color="auto" w:sz="4" w:space="0"/>
              <w:left w:val="single" w:color="auto" w:sz="4" w:space="0"/>
              <w:bottom w:val="single" w:color="auto" w:sz="4" w:space="0"/>
              <w:right w:val="single" w:color="auto" w:sz="4" w:space="0"/>
            </w:tcBorders>
            <w:shd w:val="clear" w:color="auto" w:fill="02D2EE"/>
          </w:tcPr>
          <w:p w14:paraId="53C969F7">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2</w:t>
            </w:r>
          </w:p>
        </w:tc>
        <w:tc>
          <w:tcPr>
            <w:tcW w:w="526" w:type="pct"/>
            <w:tcBorders>
              <w:top w:val="single" w:color="auto" w:sz="4" w:space="0"/>
              <w:left w:val="single" w:color="auto" w:sz="4" w:space="0"/>
              <w:bottom w:val="single" w:color="auto" w:sz="4" w:space="0"/>
              <w:right w:val="single" w:color="auto" w:sz="4" w:space="0"/>
            </w:tcBorders>
            <w:shd w:val="clear" w:color="auto" w:fill="02D2EE"/>
          </w:tcPr>
          <w:p w14:paraId="70F2FC46">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3</w:t>
            </w:r>
          </w:p>
        </w:tc>
        <w:tc>
          <w:tcPr>
            <w:tcW w:w="522" w:type="pct"/>
            <w:tcBorders>
              <w:top w:val="single" w:color="auto" w:sz="4" w:space="0"/>
              <w:left w:val="single" w:color="auto" w:sz="4" w:space="0"/>
              <w:bottom w:val="single" w:color="auto" w:sz="4" w:space="0"/>
              <w:right w:val="single" w:color="auto" w:sz="4" w:space="0"/>
            </w:tcBorders>
            <w:shd w:val="clear" w:color="auto" w:fill="02D2EE"/>
          </w:tcPr>
          <w:p w14:paraId="34C4F793">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4</w:t>
            </w:r>
          </w:p>
        </w:tc>
        <w:tc>
          <w:tcPr>
            <w:tcW w:w="659" w:type="pct"/>
            <w:tcBorders>
              <w:top w:val="single" w:color="auto" w:sz="4" w:space="0"/>
              <w:left w:val="single" w:color="auto" w:sz="4" w:space="0"/>
              <w:bottom w:val="single" w:color="auto" w:sz="4" w:space="0"/>
              <w:right w:val="single" w:color="auto" w:sz="4" w:space="0"/>
            </w:tcBorders>
            <w:shd w:val="clear" w:color="auto" w:fill="1A03C3"/>
          </w:tcPr>
          <w:p w14:paraId="035A9CD8">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5</w:t>
            </w:r>
          </w:p>
        </w:tc>
        <w:tc>
          <w:tcPr>
            <w:tcW w:w="659" w:type="pct"/>
            <w:tcBorders>
              <w:top w:val="single" w:color="auto" w:sz="4" w:space="0"/>
              <w:left w:val="single" w:color="auto" w:sz="4" w:space="0"/>
              <w:bottom w:val="single" w:color="auto" w:sz="4" w:space="0"/>
              <w:right w:val="single" w:color="auto" w:sz="4" w:space="0"/>
            </w:tcBorders>
            <w:shd w:val="clear" w:color="auto" w:fill="1A03C3"/>
          </w:tcPr>
          <w:p w14:paraId="463FC729">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6</w:t>
            </w:r>
          </w:p>
        </w:tc>
      </w:tr>
      <w:tr w14:paraId="5E8E1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1710" w:type="pct"/>
            <w:vMerge w:val="continue"/>
            <w:tcBorders>
              <w:top w:val="single" w:color="auto" w:sz="4" w:space="0"/>
              <w:left w:val="single" w:color="auto" w:sz="4" w:space="0"/>
              <w:bottom w:val="single" w:color="auto" w:sz="4" w:space="0"/>
              <w:right w:val="single" w:color="auto" w:sz="4" w:space="0"/>
            </w:tcBorders>
            <w:vAlign w:val="center"/>
          </w:tcPr>
          <w:p w14:paraId="7A7F3A6E">
            <w:pPr>
              <w:widowControl w:val="0"/>
              <w:tabs>
                <w:tab w:val="left" w:pos="709"/>
              </w:tabs>
              <w:autoSpaceDE w:val="0"/>
              <w:autoSpaceDN w:val="0"/>
              <w:spacing w:before="100" w:beforeAutospacing="1" w:after="100" w:afterAutospacing="1" w:line="240" w:lineRule="auto"/>
              <w:ind w:left="709"/>
              <w:jc w:val="both"/>
              <w:rPr>
                <w:rFonts w:eastAsia="Calibri" w:cs="Calibri"/>
                <w:kern w:val="2"/>
                <w:lang w:val="en-GB" w:eastAsia="en-GB" w:bidi="en-US"/>
                <w14:ligatures w14:val="standardContextual"/>
              </w:rPr>
            </w:pPr>
          </w:p>
        </w:tc>
        <w:tc>
          <w:tcPr>
            <w:tcW w:w="396" w:type="pct"/>
            <w:tcBorders>
              <w:top w:val="single" w:color="auto" w:sz="4" w:space="0"/>
              <w:left w:val="single" w:color="auto" w:sz="4" w:space="0"/>
              <w:bottom w:val="single" w:color="auto" w:sz="4" w:space="0"/>
              <w:right w:val="single" w:color="auto" w:sz="4" w:space="0"/>
            </w:tcBorders>
            <w:shd w:val="clear" w:color="auto" w:fill="02D2EE"/>
          </w:tcPr>
          <w:p w14:paraId="7DF18A43">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2</w:t>
            </w:r>
          </w:p>
        </w:tc>
        <w:tc>
          <w:tcPr>
            <w:tcW w:w="526" w:type="pct"/>
            <w:tcBorders>
              <w:top w:val="single" w:color="auto" w:sz="4" w:space="0"/>
              <w:left w:val="single" w:color="auto" w:sz="4" w:space="0"/>
              <w:bottom w:val="single" w:color="auto" w:sz="4" w:space="0"/>
              <w:right w:val="single" w:color="auto" w:sz="4" w:space="0"/>
            </w:tcBorders>
            <w:shd w:val="clear" w:color="auto" w:fill="02D2EE"/>
          </w:tcPr>
          <w:p w14:paraId="365239BB">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4</w:t>
            </w:r>
          </w:p>
        </w:tc>
        <w:tc>
          <w:tcPr>
            <w:tcW w:w="526" w:type="pct"/>
            <w:tcBorders>
              <w:top w:val="single" w:color="auto" w:sz="4" w:space="0"/>
              <w:left w:val="single" w:color="auto" w:sz="4" w:space="0"/>
              <w:bottom w:val="single" w:color="auto" w:sz="4" w:space="0"/>
              <w:right w:val="single" w:color="auto" w:sz="4" w:space="0"/>
            </w:tcBorders>
            <w:shd w:val="clear" w:color="auto" w:fill="02D2EE"/>
          </w:tcPr>
          <w:p w14:paraId="0B7D8B7C">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6</w:t>
            </w:r>
          </w:p>
        </w:tc>
        <w:tc>
          <w:tcPr>
            <w:tcW w:w="522" w:type="pct"/>
            <w:tcBorders>
              <w:top w:val="single" w:color="auto" w:sz="4" w:space="0"/>
              <w:left w:val="single" w:color="auto" w:sz="4" w:space="0"/>
              <w:bottom w:val="single" w:color="auto" w:sz="4" w:space="0"/>
              <w:right w:val="single" w:color="auto" w:sz="4" w:space="0"/>
            </w:tcBorders>
            <w:shd w:val="clear" w:color="auto" w:fill="1A03C3"/>
          </w:tcPr>
          <w:p w14:paraId="6A5CD1A3">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8</w:t>
            </w:r>
          </w:p>
        </w:tc>
        <w:tc>
          <w:tcPr>
            <w:tcW w:w="659" w:type="pct"/>
            <w:tcBorders>
              <w:top w:val="single" w:color="auto" w:sz="4" w:space="0"/>
              <w:left w:val="single" w:color="auto" w:sz="4" w:space="0"/>
              <w:bottom w:val="single" w:color="auto" w:sz="4" w:space="0"/>
              <w:right w:val="single" w:color="auto" w:sz="4" w:space="0"/>
            </w:tcBorders>
            <w:shd w:val="clear" w:color="auto" w:fill="1A03C3"/>
          </w:tcPr>
          <w:p w14:paraId="05E33FE5">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10</w:t>
            </w:r>
          </w:p>
        </w:tc>
        <w:tc>
          <w:tcPr>
            <w:tcW w:w="659" w:type="pct"/>
            <w:tcBorders>
              <w:top w:val="single" w:color="auto" w:sz="4" w:space="0"/>
              <w:left w:val="single" w:color="auto" w:sz="4" w:space="0"/>
              <w:bottom w:val="single" w:color="auto" w:sz="4" w:space="0"/>
              <w:right w:val="single" w:color="auto" w:sz="4" w:space="0"/>
            </w:tcBorders>
            <w:shd w:val="clear" w:color="auto" w:fill="70AD47" w:themeFill="accent6"/>
          </w:tcPr>
          <w:p w14:paraId="7A16FA52">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12</w:t>
            </w:r>
          </w:p>
        </w:tc>
      </w:tr>
      <w:tr w14:paraId="584D8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1710" w:type="pct"/>
            <w:vMerge w:val="continue"/>
            <w:tcBorders>
              <w:top w:val="single" w:color="auto" w:sz="4" w:space="0"/>
              <w:left w:val="single" w:color="auto" w:sz="4" w:space="0"/>
              <w:bottom w:val="single" w:color="auto" w:sz="4" w:space="0"/>
              <w:right w:val="single" w:color="auto" w:sz="4" w:space="0"/>
            </w:tcBorders>
            <w:vAlign w:val="center"/>
          </w:tcPr>
          <w:p w14:paraId="0CEBAFFD">
            <w:pPr>
              <w:widowControl w:val="0"/>
              <w:tabs>
                <w:tab w:val="left" w:pos="709"/>
              </w:tabs>
              <w:autoSpaceDE w:val="0"/>
              <w:autoSpaceDN w:val="0"/>
              <w:spacing w:before="100" w:beforeAutospacing="1" w:after="100" w:afterAutospacing="1" w:line="240" w:lineRule="auto"/>
              <w:ind w:left="709"/>
              <w:jc w:val="both"/>
              <w:rPr>
                <w:rFonts w:eastAsia="Calibri" w:cs="Calibri"/>
                <w:kern w:val="2"/>
                <w:lang w:val="en-GB" w:eastAsia="en-GB" w:bidi="en-US"/>
                <w14:ligatures w14:val="standardContextual"/>
              </w:rPr>
            </w:pPr>
          </w:p>
        </w:tc>
        <w:tc>
          <w:tcPr>
            <w:tcW w:w="396" w:type="pct"/>
            <w:tcBorders>
              <w:top w:val="single" w:color="auto" w:sz="4" w:space="0"/>
              <w:left w:val="single" w:color="auto" w:sz="4" w:space="0"/>
              <w:bottom w:val="single" w:color="auto" w:sz="4" w:space="0"/>
              <w:right w:val="single" w:color="auto" w:sz="4" w:space="0"/>
            </w:tcBorders>
            <w:shd w:val="clear" w:color="auto" w:fill="02D2EE"/>
          </w:tcPr>
          <w:p w14:paraId="48CB3C4D">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3</w:t>
            </w:r>
          </w:p>
        </w:tc>
        <w:tc>
          <w:tcPr>
            <w:tcW w:w="526" w:type="pct"/>
            <w:tcBorders>
              <w:top w:val="single" w:color="auto" w:sz="4" w:space="0"/>
              <w:left w:val="single" w:color="auto" w:sz="4" w:space="0"/>
              <w:bottom w:val="single" w:color="auto" w:sz="4" w:space="0"/>
              <w:right w:val="single" w:color="auto" w:sz="4" w:space="0"/>
            </w:tcBorders>
            <w:shd w:val="clear" w:color="auto" w:fill="02D2EE"/>
          </w:tcPr>
          <w:p w14:paraId="37D52313">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6</w:t>
            </w:r>
          </w:p>
        </w:tc>
        <w:tc>
          <w:tcPr>
            <w:tcW w:w="526" w:type="pct"/>
            <w:tcBorders>
              <w:top w:val="single" w:color="auto" w:sz="4" w:space="0"/>
              <w:left w:val="single" w:color="auto" w:sz="4" w:space="0"/>
              <w:bottom w:val="single" w:color="auto" w:sz="4" w:space="0"/>
              <w:right w:val="single" w:color="auto" w:sz="4" w:space="0"/>
            </w:tcBorders>
            <w:shd w:val="clear" w:color="auto" w:fill="1A03C3"/>
          </w:tcPr>
          <w:p w14:paraId="06AF6639">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9</w:t>
            </w:r>
          </w:p>
        </w:tc>
        <w:tc>
          <w:tcPr>
            <w:tcW w:w="522" w:type="pct"/>
            <w:tcBorders>
              <w:top w:val="single" w:color="auto" w:sz="4" w:space="0"/>
              <w:left w:val="single" w:color="auto" w:sz="4" w:space="0"/>
              <w:bottom w:val="single" w:color="auto" w:sz="4" w:space="0"/>
              <w:right w:val="single" w:color="auto" w:sz="4" w:space="0"/>
            </w:tcBorders>
            <w:shd w:val="clear" w:color="auto" w:fill="70AD47" w:themeFill="accent6"/>
          </w:tcPr>
          <w:p w14:paraId="11F155C7">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12</w:t>
            </w:r>
          </w:p>
        </w:tc>
        <w:tc>
          <w:tcPr>
            <w:tcW w:w="659" w:type="pct"/>
            <w:tcBorders>
              <w:top w:val="single" w:color="auto" w:sz="4" w:space="0"/>
              <w:left w:val="single" w:color="auto" w:sz="4" w:space="0"/>
              <w:bottom w:val="single" w:color="auto" w:sz="4" w:space="0"/>
              <w:right w:val="single" w:color="auto" w:sz="4" w:space="0"/>
            </w:tcBorders>
            <w:shd w:val="clear" w:color="auto" w:fill="70AD47" w:themeFill="accent6"/>
          </w:tcPr>
          <w:p w14:paraId="72746831">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15</w:t>
            </w:r>
          </w:p>
        </w:tc>
        <w:tc>
          <w:tcPr>
            <w:tcW w:w="659" w:type="pct"/>
            <w:tcBorders>
              <w:top w:val="single" w:color="auto" w:sz="4" w:space="0"/>
              <w:left w:val="single" w:color="auto" w:sz="4" w:space="0"/>
              <w:bottom w:val="single" w:color="auto" w:sz="4" w:space="0"/>
              <w:right w:val="single" w:color="auto" w:sz="4" w:space="0"/>
            </w:tcBorders>
            <w:shd w:val="clear" w:color="auto" w:fill="70AD47" w:themeFill="accent6"/>
          </w:tcPr>
          <w:p w14:paraId="76CE02C7">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18</w:t>
            </w:r>
          </w:p>
        </w:tc>
      </w:tr>
      <w:tr w14:paraId="650488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1710" w:type="pct"/>
            <w:vMerge w:val="continue"/>
            <w:tcBorders>
              <w:top w:val="single" w:color="auto" w:sz="4" w:space="0"/>
              <w:left w:val="single" w:color="auto" w:sz="4" w:space="0"/>
              <w:bottom w:val="single" w:color="auto" w:sz="4" w:space="0"/>
              <w:right w:val="single" w:color="auto" w:sz="4" w:space="0"/>
            </w:tcBorders>
            <w:vAlign w:val="center"/>
          </w:tcPr>
          <w:p w14:paraId="31C8F93F">
            <w:pPr>
              <w:widowControl w:val="0"/>
              <w:tabs>
                <w:tab w:val="left" w:pos="709"/>
              </w:tabs>
              <w:autoSpaceDE w:val="0"/>
              <w:autoSpaceDN w:val="0"/>
              <w:spacing w:before="100" w:beforeAutospacing="1" w:after="100" w:afterAutospacing="1" w:line="240" w:lineRule="auto"/>
              <w:ind w:left="709"/>
              <w:jc w:val="both"/>
              <w:rPr>
                <w:rFonts w:eastAsia="Calibri" w:cs="Calibri"/>
                <w:kern w:val="2"/>
                <w:lang w:val="en-GB" w:eastAsia="en-GB" w:bidi="en-US"/>
                <w14:ligatures w14:val="standardContextual"/>
              </w:rPr>
            </w:pPr>
          </w:p>
        </w:tc>
        <w:tc>
          <w:tcPr>
            <w:tcW w:w="396" w:type="pct"/>
            <w:tcBorders>
              <w:top w:val="single" w:color="auto" w:sz="4" w:space="0"/>
              <w:left w:val="single" w:color="auto" w:sz="4" w:space="0"/>
              <w:bottom w:val="single" w:color="auto" w:sz="4" w:space="0"/>
              <w:right w:val="single" w:color="auto" w:sz="4" w:space="0"/>
            </w:tcBorders>
            <w:shd w:val="clear" w:color="auto" w:fill="02D2EE"/>
          </w:tcPr>
          <w:p w14:paraId="060EBE4E">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4</w:t>
            </w:r>
          </w:p>
        </w:tc>
        <w:tc>
          <w:tcPr>
            <w:tcW w:w="526" w:type="pct"/>
            <w:tcBorders>
              <w:top w:val="single" w:color="auto" w:sz="4" w:space="0"/>
              <w:left w:val="single" w:color="auto" w:sz="4" w:space="0"/>
              <w:bottom w:val="single" w:color="auto" w:sz="4" w:space="0"/>
              <w:right w:val="single" w:color="auto" w:sz="4" w:space="0"/>
            </w:tcBorders>
            <w:shd w:val="clear" w:color="auto" w:fill="1A03C3"/>
          </w:tcPr>
          <w:p w14:paraId="7EA776B2">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8</w:t>
            </w:r>
          </w:p>
        </w:tc>
        <w:tc>
          <w:tcPr>
            <w:tcW w:w="526" w:type="pct"/>
            <w:tcBorders>
              <w:top w:val="single" w:color="auto" w:sz="4" w:space="0"/>
              <w:left w:val="single" w:color="auto" w:sz="4" w:space="0"/>
              <w:bottom w:val="single" w:color="auto" w:sz="4" w:space="0"/>
              <w:right w:val="single" w:color="auto" w:sz="4" w:space="0"/>
            </w:tcBorders>
            <w:shd w:val="clear" w:color="auto" w:fill="70AD47" w:themeFill="accent6"/>
          </w:tcPr>
          <w:p w14:paraId="79818BFD">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12</w:t>
            </w:r>
          </w:p>
        </w:tc>
        <w:tc>
          <w:tcPr>
            <w:tcW w:w="522" w:type="pct"/>
            <w:tcBorders>
              <w:top w:val="single" w:color="auto" w:sz="4" w:space="0"/>
              <w:left w:val="single" w:color="auto" w:sz="4" w:space="0"/>
              <w:bottom w:val="single" w:color="auto" w:sz="4" w:space="0"/>
              <w:right w:val="single" w:color="auto" w:sz="4" w:space="0"/>
            </w:tcBorders>
            <w:shd w:val="clear" w:color="auto" w:fill="70AD47" w:themeFill="accent6"/>
          </w:tcPr>
          <w:p w14:paraId="79E45687">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16</w:t>
            </w:r>
          </w:p>
        </w:tc>
        <w:tc>
          <w:tcPr>
            <w:tcW w:w="659" w:type="pct"/>
            <w:tcBorders>
              <w:top w:val="single" w:color="auto" w:sz="4" w:space="0"/>
              <w:left w:val="single" w:color="auto" w:sz="4" w:space="0"/>
              <w:bottom w:val="single" w:color="auto" w:sz="4" w:space="0"/>
              <w:right w:val="single" w:color="auto" w:sz="4" w:space="0"/>
            </w:tcBorders>
            <w:shd w:val="clear" w:color="auto" w:fill="FFE599" w:themeFill="accent4" w:themeFillTint="66"/>
          </w:tcPr>
          <w:p w14:paraId="47D86F5B">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20</w:t>
            </w:r>
          </w:p>
        </w:tc>
        <w:tc>
          <w:tcPr>
            <w:tcW w:w="659" w:type="pct"/>
            <w:tcBorders>
              <w:top w:val="single" w:color="auto" w:sz="4" w:space="0"/>
              <w:left w:val="single" w:color="auto" w:sz="4" w:space="0"/>
              <w:bottom w:val="single" w:color="auto" w:sz="4" w:space="0"/>
              <w:right w:val="single" w:color="auto" w:sz="4" w:space="0"/>
            </w:tcBorders>
            <w:shd w:val="clear" w:color="auto" w:fill="FFE599" w:themeFill="accent4" w:themeFillTint="66"/>
          </w:tcPr>
          <w:p w14:paraId="5534C8B4">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24</w:t>
            </w:r>
          </w:p>
        </w:tc>
      </w:tr>
      <w:tr w14:paraId="49E65A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1710" w:type="pct"/>
            <w:vMerge w:val="continue"/>
            <w:tcBorders>
              <w:top w:val="single" w:color="auto" w:sz="4" w:space="0"/>
              <w:left w:val="single" w:color="auto" w:sz="4" w:space="0"/>
              <w:bottom w:val="single" w:color="auto" w:sz="4" w:space="0"/>
              <w:right w:val="single" w:color="auto" w:sz="4" w:space="0"/>
            </w:tcBorders>
            <w:vAlign w:val="center"/>
          </w:tcPr>
          <w:p w14:paraId="79FAE0F4">
            <w:pPr>
              <w:widowControl w:val="0"/>
              <w:tabs>
                <w:tab w:val="left" w:pos="709"/>
              </w:tabs>
              <w:autoSpaceDE w:val="0"/>
              <w:autoSpaceDN w:val="0"/>
              <w:spacing w:before="100" w:beforeAutospacing="1" w:after="100" w:afterAutospacing="1" w:line="240" w:lineRule="auto"/>
              <w:ind w:left="709"/>
              <w:jc w:val="both"/>
              <w:rPr>
                <w:rFonts w:eastAsia="Calibri" w:cs="Calibri"/>
                <w:kern w:val="2"/>
                <w:lang w:val="en-GB" w:eastAsia="en-GB" w:bidi="en-US"/>
                <w14:ligatures w14:val="standardContextual"/>
              </w:rPr>
            </w:pPr>
          </w:p>
        </w:tc>
        <w:tc>
          <w:tcPr>
            <w:tcW w:w="396" w:type="pct"/>
            <w:tcBorders>
              <w:top w:val="single" w:color="auto" w:sz="4" w:space="0"/>
              <w:left w:val="single" w:color="auto" w:sz="4" w:space="0"/>
              <w:bottom w:val="single" w:color="auto" w:sz="4" w:space="0"/>
              <w:right w:val="single" w:color="auto" w:sz="4" w:space="0"/>
            </w:tcBorders>
            <w:shd w:val="clear" w:color="auto" w:fill="02D2EE"/>
          </w:tcPr>
          <w:p w14:paraId="2894E7A1">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5</w:t>
            </w:r>
          </w:p>
        </w:tc>
        <w:tc>
          <w:tcPr>
            <w:tcW w:w="526" w:type="pct"/>
            <w:tcBorders>
              <w:top w:val="single" w:color="auto" w:sz="4" w:space="0"/>
              <w:left w:val="single" w:color="auto" w:sz="4" w:space="0"/>
              <w:bottom w:val="single" w:color="auto" w:sz="4" w:space="0"/>
              <w:right w:val="single" w:color="auto" w:sz="4" w:space="0"/>
            </w:tcBorders>
            <w:shd w:val="clear" w:color="auto" w:fill="1A03C3"/>
          </w:tcPr>
          <w:p w14:paraId="7386D00B">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10</w:t>
            </w:r>
          </w:p>
        </w:tc>
        <w:tc>
          <w:tcPr>
            <w:tcW w:w="526" w:type="pct"/>
            <w:tcBorders>
              <w:top w:val="single" w:color="auto" w:sz="4" w:space="0"/>
              <w:left w:val="single" w:color="auto" w:sz="4" w:space="0"/>
              <w:bottom w:val="single" w:color="auto" w:sz="4" w:space="0"/>
              <w:right w:val="single" w:color="auto" w:sz="4" w:space="0"/>
            </w:tcBorders>
            <w:shd w:val="clear" w:color="auto" w:fill="70AD47" w:themeFill="accent6"/>
          </w:tcPr>
          <w:p w14:paraId="15E83DEB">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15</w:t>
            </w:r>
          </w:p>
        </w:tc>
        <w:tc>
          <w:tcPr>
            <w:tcW w:w="522" w:type="pct"/>
            <w:tcBorders>
              <w:top w:val="single" w:color="auto" w:sz="4" w:space="0"/>
              <w:left w:val="single" w:color="auto" w:sz="4" w:space="0"/>
              <w:bottom w:val="single" w:color="auto" w:sz="4" w:space="0"/>
              <w:right w:val="single" w:color="auto" w:sz="4" w:space="0"/>
            </w:tcBorders>
            <w:shd w:val="clear" w:color="auto" w:fill="FFE599" w:themeFill="accent4" w:themeFillTint="66"/>
          </w:tcPr>
          <w:p w14:paraId="099C2708">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20</w:t>
            </w:r>
          </w:p>
        </w:tc>
        <w:tc>
          <w:tcPr>
            <w:tcW w:w="659" w:type="pct"/>
            <w:tcBorders>
              <w:top w:val="single" w:color="auto" w:sz="4" w:space="0"/>
              <w:left w:val="single" w:color="auto" w:sz="4" w:space="0"/>
              <w:bottom w:val="single" w:color="auto" w:sz="4" w:space="0"/>
              <w:right w:val="single" w:color="auto" w:sz="4" w:space="0"/>
            </w:tcBorders>
            <w:shd w:val="clear" w:color="auto" w:fill="ED7D31" w:themeFill="accent2"/>
          </w:tcPr>
          <w:p w14:paraId="46921C65">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25</w:t>
            </w:r>
          </w:p>
        </w:tc>
        <w:tc>
          <w:tcPr>
            <w:tcW w:w="659" w:type="pct"/>
            <w:tcBorders>
              <w:top w:val="single" w:color="auto" w:sz="4" w:space="0"/>
              <w:left w:val="single" w:color="auto" w:sz="4" w:space="0"/>
              <w:bottom w:val="single" w:color="auto" w:sz="4" w:space="0"/>
              <w:right w:val="single" w:color="auto" w:sz="4" w:space="0"/>
            </w:tcBorders>
            <w:shd w:val="clear" w:color="auto" w:fill="ED7D31"/>
          </w:tcPr>
          <w:p w14:paraId="6E583B43">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30</w:t>
            </w:r>
          </w:p>
        </w:tc>
      </w:tr>
      <w:tr w14:paraId="57B88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1710" w:type="pct"/>
            <w:vMerge w:val="continue"/>
            <w:tcBorders>
              <w:top w:val="single" w:color="auto" w:sz="4" w:space="0"/>
              <w:left w:val="single" w:color="auto" w:sz="4" w:space="0"/>
              <w:bottom w:val="single" w:color="auto" w:sz="4" w:space="0"/>
              <w:right w:val="single" w:color="auto" w:sz="4" w:space="0"/>
            </w:tcBorders>
            <w:vAlign w:val="center"/>
          </w:tcPr>
          <w:p w14:paraId="25343053">
            <w:pPr>
              <w:widowControl w:val="0"/>
              <w:tabs>
                <w:tab w:val="left" w:pos="709"/>
              </w:tabs>
              <w:autoSpaceDE w:val="0"/>
              <w:autoSpaceDN w:val="0"/>
              <w:spacing w:before="100" w:beforeAutospacing="1" w:after="100" w:afterAutospacing="1" w:line="240" w:lineRule="auto"/>
              <w:ind w:left="709"/>
              <w:jc w:val="both"/>
              <w:rPr>
                <w:rFonts w:eastAsia="Calibri" w:cs="Calibri"/>
                <w:kern w:val="2"/>
                <w:lang w:val="en-GB" w:eastAsia="en-GB" w:bidi="en-US"/>
                <w14:ligatures w14:val="standardContextual"/>
              </w:rPr>
            </w:pPr>
          </w:p>
        </w:tc>
        <w:tc>
          <w:tcPr>
            <w:tcW w:w="396" w:type="pct"/>
            <w:tcBorders>
              <w:top w:val="single" w:color="auto" w:sz="4" w:space="0"/>
              <w:left w:val="single" w:color="auto" w:sz="4" w:space="0"/>
              <w:bottom w:val="single" w:color="auto" w:sz="4" w:space="0"/>
              <w:right w:val="single" w:color="auto" w:sz="4" w:space="0"/>
            </w:tcBorders>
            <w:shd w:val="clear" w:color="auto" w:fill="02D2EE"/>
          </w:tcPr>
          <w:p w14:paraId="5E2E98F2">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6</w:t>
            </w:r>
          </w:p>
        </w:tc>
        <w:tc>
          <w:tcPr>
            <w:tcW w:w="526" w:type="pct"/>
            <w:tcBorders>
              <w:top w:val="single" w:color="auto" w:sz="4" w:space="0"/>
              <w:left w:val="single" w:color="auto" w:sz="4" w:space="0"/>
              <w:bottom w:val="single" w:color="auto" w:sz="4" w:space="0"/>
              <w:right w:val="single" w:color="auto" w:sz="4" w:space="0"/>
            </w:tcBorders>
            <w:shd w:val="clear" w:color="auto" w:fill="70AD47" w:themeFill="accent6"/>
          </w:tcPr>
          <w:p w14:paraId="3CAE6FFA">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12</w:t>
            </w:r>
          </w:p>
        </w:tc>
        <w:tc>
          <w:tcPr>
            <w:tcW w:w="526" w:type="pct"/>
            <w:tcBorders>
              <w:top w:val="single" w:color="auto" w:sz="4" w:space="0"/>
              <w:left w:val="single" w:color="auto" w:sz="4" w:space="0"/>
              <w:bottom w:val="single" w:color="auto" w:sz="4" w:space="0"/>
              <w:right w:val="single" w:color="auto" w:sz="4" w:space="0"/>
            </w:tcBorders>
            <w:shd w:val="clear" w:color="auto" w:fill="70AD47" w:themeFill="accent6"/>
          </w:tcPr>
          <w:p w14:paraId="0B0AB186">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18</w:t>
            </w:r>
          </w:p>
        </w:tc>
        <w:tc>
          <w:tcPr>
            <w:tcW w:w="522" w:type="pct"/>
            <w:tcBorders>
              <w:top w:val="single" w:color="auto" w:sz="4" w:space="0"/>
              <w:left w:val="single" w:color="auto" w:sz="4" w:space="0"/>
              <w:bottom w:val="single" w:color="auto" w:sz="4" w:space="0"/>
              <w:right w:val="single" w:color="auto" w:sz="4" w:space="0"/>
            </w:tcBorders>
            <w:shd w:val="clear" w:color="auto" w:fill="FFE599" w:themeFill="accent4" w:themeFillTint="66"/>
          </w:tcPr>
          <w:p w14:paraId="34492424">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24</w:t>
            </w:r>
          </w:p>
        </w:tc>
        <w:tc>
          <w:tcPr>
            <w:tcW w:w="659" w:type="pct"/>
            <w:tcBorders>
              <w:top w:val="single" w:color="auto" w:sz="4" w:space="0"/>
              <w:left w:val="single" w:color="auto" w:sz="4" w:space="0"/>
              <w:bottom w:val="single" w:color="auto" w:sz="4" w:space="0"/>
              <w:right w:val="single" w:color="auto" w:sz="4" w:space="0"/>
            </w:tcBorders>
            <w:shd w:val="clear" w:color="auto" w:fill="FF0000"/>
          </w:tcPr>
          <w:p w14:paraId="74FC5756">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30</w:t>
            </w:r>
          </w:p>
        </w:tc>
        <w:tc>
          <w:tcPr>
            <w:tcW w:w="659" w:type="pct"/>
            <w:tcBorders>
              <w:top w:val="single" w:color="auto" w:sz="4" w:space="0"/>
              <w:left w:val="single" w:color="auto" w:sz="4" w:space="0"/>
              <w:bottom w:val="single" w:color="auto" w:sz="4" w:space="0"/>
              <w:right w:val="single" w:color="auto" w:sz="4" w:space="0"/>
            </w:tcBorders>
            <w:shd w:val="clear" w:color="auto" w:fill="FF0000"/>
          </w:tcPr>
          <w:p w14:paraId="0FAF6B6A">
            <w:pPr>
              <w:widowControl w:val="0"/>
              <w:tabs>
                <w:tab w:val="left" w:pos="709"/>
              </w:tabs>
              <w:autoSpaceDE w:val="0"/>
              <w:autoSpaceDN w:val="0"/>
              <w:spacing w:before="100" w:beforeAutospacing="1" w:after="100" w:afterAutospacing="1" w:line="240" w:lineRule="auto"/>
              <w:jc w:val="both"/>
              <w:rPr>
                <w:rFonts w:eastAsia="Calibri" w:cs="Calibri"/>
                <w:lang w:val="en-GB" w:eastAsia="en-GB" w:bidi="en-US"/>
              </w:rPr>
            </w:pPr>
            <w:r>
              <w:rPr>
                <w:rFonts w:eastAsia="Calibri" w:cs="Calibri"/>
                <w:sz w:val="20"/>
                <w:szCs w:val="20"/>
                <w:lang w:val="en-GB" w:eastAsia="en-GB" w:bidi="en-US"/>
              </w:rPr>
              <w:t>36</w:t>
            </w:r>
          </w:p>
        </w:tc>
      </w:tr>
    </w:tbl>
    <w:p w14:paraId="77E89A36">
      <w:pPr>
        <w:widowControl w:val="0"/>
        <w:tabs>
          <w:tab w:val="left" w:pos="709"/>
        </w:tabs>
        <w:autoSpaceDE w:val="0"/>
        <w:autoSpaceDN w:val="0"/>
        <w:spacing w:before="100" w:beforeAutospacing="1" w:after="100" w:afterAutospacing="1" w:line="240" w:lineRule="auto"/>
        <w:ind w:left="709"/>
        <w:jc w:val="both"/>
        <w:rPr>
          <w:rFonts w:eastAsia="Calibri" w:cs="Calibri"/>
          <w:b/>
          <w:i/>
          <w:lang w:bidi="en-US"/>
        </w:rPr>
      </w:pPr>
      <w:r>
        <w:rPr>
          <w:rFonts w:eastAsia="Calibri" w:cs="Calibri"/>
          <w:b/>
          <w:lang w:bidi="en-US"/>
        </w:rPr>
        <w:t xml:space="preserve">Note: </w:t>
      </w:r>
      <w:r>
        <w:rPr>
          <w:rFonts w:eastAsia="Calibri" w:cs="Calibri"/>
          <w:lang w:bidi="en-US"/>
        </w:rPr>
        <w:t>Rating of Impact Significance = Rating of Likelihood X Rating of Consequence</w:t>
      </w:r>
    </w:p>
    <w:p w14:paraId="3171083F">
      <w:pPr>
        <w:widowControl w:val="0"/>
        <w:tabs>
          <w:tab w:val="left" w:pos="709"/>
        </w:tabs>
        <w:autoSpaceDE w:val="0"/>
        <w:autoSpaceDN w:val="0"/>
        <w:spacing w:before="100" w:beforeAutospacing="1" w:after="100" w:afterAutospacing="1" w:line="240" w:lineRule="auto"/>
        <w:ind w:left="709"/>
        <w:jc w:val="both"/>
        <w:rPr>
          <w:rFonts w:eastAsia="Calibri" w:cs="Calibri"/>
          <w:i/>
          <w:iCs/>
          <w:color w:val="44546A" w:themeColor="text2"/>
          <w:lang w:bidi="en-US"/>
          <w14:textFill>
            <w14:solidFill>
              <w14:schemeClr w14:val="tx2"/>
            </w14:solidFill>
          </w14:textFill>
        </w:rPr>
      </w:pPr>
      <w:bookmarkStart w:id="388" w:name="_Toc173252908"/>
      <w:bookmarkStart w:id="389" w:name="_Toc167798450"/>
      <w:bookmarkStart w:id="390" w:name="_Toc179556832"/>
      <w:bookmarkStart w:id="391" w:name="_Toc171916959"/>
      <w:bookmarkStart w:id="392" w:name="_Toc168326925"/>
      <w:r>
        <w:rPr>
          <w:rFonts w:eastAsia="Calibri" w:cs="Calibri"/>
          <w:i/>
          <w:iCs/>
          <w:color w:val="44546A" w:themeColor="text2"/>
          <w:lang w:bidi="en-US"/>
          <w14:textFill>
            <w14:solidFill>
              <w14:schemeClr w14:val="tx2"/>
            </w14:solidFill>
          </w14:textFill>
        </w:rPr>
        <w:t xml:space="preserve">Table </w:t>
      </w:r>
      <w:r>
        <w:rPr>
          <w:rFonts w:eastAsia="Calibri" w:cs="Calibri"/>
          <w:i/>
          <w:iCs/>
          <w:color w:val="44546A" w:themeColor="text2"/>
          <w:lang w:bidi="en-US"/>
          <w14:textFill>
            <w14:solidFill>
              <w14:schemeClr w14:val="tx2"/>
            </w14:solidFill>
          </w14:textFill>
        </w:rPr>
        <w:fldChar w:fldCharType="begin"/>
      </w:r>
      <w:r>
        <w:rPr>
          <w:rFonts w:eastAsia="Calibri" w:cs="Calibri"/>
          <w:i/>
          <w:iCs/>
          <w:color w:val="44546A" w:themeColor="text2"/>
          <w:lang w:bidi="en-US"/>
          <w14:textFill>
            <w14:solidFill>
              <w14:schemeClr w14:val="tx2"/>
            </w14:solidFill>
          </w14:textFill>
        </w:rPr>
        <w:instrText xml:space="preserve"> SEQ Table \* ARABIC </w:instrText>
      </w:r>
      <w:r>
        <w:rPr>
          <w:rFonts w:eastAsia="Calibri" w:cs="Calibri"/>
          <w:i/>
          <w:iCs/>
          <w:color w:val="44546A" w:themeColor="text2"/>
          <w:lang w:bidi="en-US"/>
          <w14:textFill>
            <w14:solidFill>
              <w14:schemeClr w14:val="tx2"/>
            </w14:solidFill>
          </w14:textFill>
        </w:rPr>
        <w:fldChar w:fldCharType="separate"/>
      </w:r>
      <w:r>
        <w:rPr>
          <w:rFonts w:eastAsia="Calibri" w:cs="Calibri"/>
          <w:i/>
          <w:iCs/>
          <w:color w:val="44546A" w:themeColor="text2"/>
          <w:lang w:bidi="en-US"/>
          <w14:textFill>
            <w14:solidFill>
              <w14:schemeClr w14:val="tx2"/>
            </w14:solidFill>
          </w14:textFill>
        </w:rPr>
        <w:t>21</w:t>
      </w:r>
      <w:r>
        <w:rPr>
          <w:rFonts w:eastAsia="Calibri" w:cs="Calibri"/>
          <w:i/>
          <w:iCs/>
          <w:color w:val="44546A" w:themeColor="text2"/>
          <w:lang w:bidi="en-US"/>
          <w14:textFill>
            <w14:solidFill>
              <w14:schemeClr w14:val="tx2"/>
            </w14:solidFill>
          </w14:textFill>
        </w:rPr>
        <w:fldChar w:fldCharType="end"/>
      </w:r>
      <w:r>
        <w:rPr>
          <w:rFonts w:eastAsia="Calibri" w:cs="Calibri"/>
          <w:b/>
          <w:iCs/>
          <w:color w:val="44546A" w:themeColor="text2"/>
          <w:lang w:bidi="en-US"/>
          <w14:textFill>
            <w14:solidFill>
              <w14:schemeClr w14:val="tx2"/>
            </w14:solidFill>
          </w14:textFill>
        </w:rPr>
        <w:t xml:space="preserve">: </w:t>
      </w:r>
      <w:r>
        <w:rPr>
          <w:rFonts w:eastAsia="Calibri" w:cs="Calibri"/>
          <w:iCs/>
          <w:color w:val="44546A" w:themeColor="text2"/>
          <w:lang w:bidi="en-US"/>
          <w14:textFill>
            <w14:solidFill>
              <w14:schemeClr w14:val="tx2"/>
            </w14:solidFill>
          </w14:textFill>
        </w:rPr>
        <w:t>Negative Impacts ratings and associated color codes</w:t>
      </w:r>
      <w:bookmarkEnd w:id="388"/>
      <w:bookmarkEnd w:id="389"/>
      <w:bookmarkEnd w:id="390"/>
      <w:bookmarkEnd w:id="391"/>
      <w:bookmarkEnd w:id="392"/>
      <w:r>
        <w:rPr>
          <w:rFonts w:eastAsia="Calibri" w:cs="Calibri"/>
          <w:b/>
          <w:iCs/>
          <w:color w:val="44546A" w:themeColor="text2"/>
          <w:lang w:bidi="en-US"/>
          <w14:textFill>
            <w14:solidFill>
              <w14:schemeClr w14:val="tx2"/>
            </w14:solidFill>
          </w14:textFill>
        </w:rPr>
        <w:t xml:space="preserve"> </w:t>
      </w:r>
    </w:p>
    <w:tbl>
      <w:tblPr>
        <w:tblStyle w:val="12"/>
        <w:tblW w:w="8221" w:type="dxa"/>
        <w:tblInd w:w="846" w:type="dxa"/>
        <w:tblLayout w:type="autofit"/>
        <w:tblCellMar>
          <w:top w:w="9" w:type="dxa"/>
          <w:left w:w="104" w:type="dxa"/>
          <w:bottom w:w="0" w:type="dxa"/>
          <w:right w:w="55" w:type="dxa"/>
        </w:tblCellMar>
      </w:tblPr>
      <w:tblGrid>
        <w:gridCol w:w="3259"/>
        <w:gridCol w:w="1263"/>
        <w:gridCol w:w="869"/>
        <w:gridCol w:w="2830"/>
      </w:tblGrid>
      <w:tr w14:paraId="41D555FE">
        <w:tblPrEx>
          <w:tblCellMar>
            <w:top w:w="9" w:type="dxa"/>
            <w:left w:w="104" w:type="dxa"/>
            <w:bottom w:w="0" w:type="dxa"/>
            <w:right w:w="55" w:type="dxa"/>
          </w:tblCellMar>
        </w:tblPrEx>
        <w:trPr>
          <w:trHeight w:val="560" w:hRule="atLeast"/>
        </w:trPr>
        <w:tc>
          <w:tcPr>
            <w:tcW w:w="3260" w:type="dxa"/>
            <w:tcBorders>
              <w:top w:val="single" w:color="000000" w:sz="4" w:space="0"/>
              <w:left w:val="single" w:color="000000" w:sz="4" w:space="0"/>
              <w:bottom w:val="single" w:color="000000" w:sz="4" w:space="0"/>
              <w:right w:val="single" w:color="000000" w:sz="4" w:space="0"/>
            </w:tcBorders>
          </w:tcPr>
          <w:p w14:paraId="585631D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Significance rating </w:t>
            </w:r>
          </w:p>
        </w:tc>
        <w:tc>
          <w:tcPr>
            <w:tcW w:w="1263" w:type="dxa"/>
            <w:tcBorders>
              <w:top w:val="single" w:color="000000" w:sz="4" w:space="0"/>
              <w:left w:val="single" w:color="000000" w:sz="4" w:space="0"/>
              <w:bottom w:val="single" w:color="000000" w:sz="4" w:space="0"/>
              <w:right w:val="single" w:color="000000" w:sz="4" w:space="0"/>
            </w:tcBorders>
          </w:tcPr>
          <w:p w14:paraId="7DC25CC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Value </w:t>
            </w:r>
          </w:p>
        </w:tc>
        <w:tc>
          <w:tcPr>
            <w:tcW w:w="868" w:type="dxa"/>
            <w:tcBorders>
              <w:top w:val="single" w:color="000000" w:sz="4" w:space="0"/>
              <w:left w:val="single" w:color="000000" w:sz="4" w:space="0"/>
              <w:bottom w:val="single" w:color="000000" w:sz="4" w:space="0"/>
              <w:right w:val="single" w:color="000000" w:sz="4" w:space="0"/>
            </w:tcBorders>
          </w:tcPr>
          <w:p w14:paraId="246EBC3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Color Code </w:t>
            </w:r>
          </w:p>
        </w:tc>
        <w:tc>
          <w:tcPr>
            <w:tcW w:w="2830" w:type="dxa"/>
            <w:tcBorders>
              <w:top w:val="single" w:color="000000" w:sz="4" w:space="0"/>
              <w:left w:val="single" w:color="000000" w:sz="4" w:space="0"/>
              <w:bottom w:val="single" w:color="000000" w:sz="4" w:space="0"/>
              <w:right w:val="single" w:color="000000" w:sz="4" w:space="0"/>
            </w:tcBorders>
          </w:tcPr>
          <w:p w14:paraId="4737C6E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b/>
                <w:lang w:bidi="en-US"/>
              </w:rPr>
              <w:t xml:space="preserve">Negative Impact Management Recommendation </w:t>
            </w:r>
          </w:p>
        </w:tc>
      </w:tr>
      <w:tr w14:paraId="6E98B3F1">
        <w:tblPrEx>
          <w:tblCellMar>
            <w:top w:w="9" w:type="dxa"/>
            <w:left w:w="104" w:type="dxa"/>
            <w:bottom w:w="0" w:type="dxa"/>
            <w:right w:w="55" w:type="dxa"/>
          </w:tblCellMar>
        </w:tblPrEx>
        <w:trPr>
          <w:trHeight w:val="274" w:hRule="atLeast"/>
        </w:trPr>
        <w:tc>
          <w:tcPr>
            <w:tcW w:w="3260" w:type="dxa"/>
            <w:tcBorders>
              <w:top w:val="single" w:color="000000" w:sz="4" w:space="0"/>
              <w:left w:val="single" w:color="000000" w:sz="4" w:space="0"/>
              <w:bottom w:val="single" w:color="000000" w:sz="4" w:space="0"/>
              <w:right w:val="single" w:color="000000" w:sz="4" w:space="0"/>
            </w:tcBorders>
          </w:tcPr>
          <w:p w14:paraId="3050CA3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Very high </w:t>
            </w:r>
          </w:p>
        </w:tc>
        <w:tc>
          <w:tcPr>
            <w:tcW w:w="1263" w:type="dxa"/>
            <w:tcBorders>
              <w:top w:val="single" w:color="000000" w:sz="4" w:space="0"/>
              <w:left w:val="single" w:color="000000" w:sz="4" w:space="0"/>
              <w:bottom w:val="single" w:color="000000" w:sz="4" w:space="0"/>
              <w:right w:val="single" w:color="000000" w:sz="4" w:space="0"/>
            </w:tcBorders>
          </w:tcPr>
          <w:p w14:paraId="266A6AC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30 and above</w:t>
            </w:r>
          </w:p>
        </w:tc>
        <w:tc>
          <w:tcPr>
            <w:tcW w:w="868" w:type="dxa"/>
            <w:tcBorders>
              <w:top w:val="single" w:color="000000" w:sz="4" w:space="0"/>
              <w:left w:val="single" w:color="000000" w:sz="4" w:space="0"/>
              <w:bottom w:val="single" w:color="000000" w:sz="4" w:space="0"/>
              <w:right w:val="single" w:color="000000" w:sz="4" w:space="0"/>
            </w:tcBorders>
            <w:shd w:val="clear" w:color="auto" w:fill="FF0000"/>
          </w:tcPr>
          <w:p w14:paraId="5B8E78F4">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 </w:t>
            </w:r>
          </w:p>
        </w:tc>
        <w:tc>
          <w:tcPr>
            <w:tcW w:w="2830" w:type="dxa"/>
            <w:tcBorders>
              <w:top w:val="single" w:color="000000" w:sz="4" w:space="0"/>
              <w:left w:val="single" w:color="000000" w:sz="4" w:space="0"/>
              <w:bottom w:val="single" w:color="000000" w:sz="4" w:space="0"/>
              <w:right w:val="single" w:color="000000" w:sz="4" w:space="0"/>
            </w:tcBorders>
          </w:tcPr>
          <w:p w14:paraId="03C318B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Propose mitigation measures </w:t>
            </w:r>
          </w:p>
        </w:tc>
      </w:tr>
      <w:tr w14:paraId="09BB2E95">
        <w:tblPrEx>
          <w:tblCellMar>
            <w:top w:w="9" w:type="dxa"/>
            <w:left w:w="104" w:type="dxa"/>
            <w:bottom w:w="0" w:type="dxa"/>
            <w:right w:w="55" w:type="dxa"/>
          </w:tblCellMar>
        </w:tblPrEx>
        <w:trPr>
          <w:trHeight w:val="275" w:hRule="atLeast"/>
        </w:trPr>
        <w:tc>
          <w:tcPr>
            <w:tcW w:w="3260" w:type="dxa"/>
            <w:tcBorders>
              <w:top w:val="single" w:color="000000" w:sz="4" w:space="0"/>
              <w:left w:val="single" w:color="000000" w:sz="4" w:space="0"/>
              <w:bottom w:val="single" w:color="000000" w:sz="4" w:space="0"/>
              <w:right w:val="single" w:color="000000" w:sz="4" w:space="0"/>
            </w:tcBorders>
          </w:tcPr>
          <w:p w14:paraId="733C27F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High  </w:t>
            </w:r>
          </w:p>
        </w:tc>
        <w:tc>
          <w:tcPr>
            <w:tcW w:w="1263" w:type="dxa"/>
            <w:tcBorders>
              <w:top w:val="single" w:color="000000" w:sz="4" w:space="0"/>
              <w:left w:val="single" w:color="000000" w:sz="4" w:space="0"/>
              <w:bottom w:val="single" w:color="000000" w:sz="4" w:space="0"/>
              <w:right w:val="single" w:color="000000" w:sz="4" w:space="0"/>
            </w:tcBorders>
          </w:tcPr>
          <w:p w14:paraId="65D66C5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25-29 </w:t>
            </w:r>
          </w:p>
        </w:tc>
        <w:tc>
          <w:tcPr>
            <w:tcW w:w="868" w:type="dxa"/>
            <w:tcBorders>
              <w:top w:val="single" w:color="000000" w:sz="4" w:space="0"/>
              <w:left w:val="single" w:color="000000" w:sz="4" w:space="0"/>
              <w:bottom w:val="single" w:color="000000" w:sz="4" w:space="0"/>
              <w:right w:val="single" w:color="000000" w:sz="4" w:space="0"/>
            </w:tcBorders>
            <w:shd w:val="clear" w:color="auto" w:fill="FF9900"/>
          </w:tcPr>
          <w:p w14:paraId="6E086E85">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 </w:t>
            </w:r>
          </w:p>
        </w:tc>
        <w:tc>
          <w:tcPr>
            <w:tcW w:w="2830" w:type="dxa"/>
            <w:tcBorders>
              <w:top w:val="single" w:color="000000" w:sz="4" w:space="0"/>
              <w:left w:val="single" w:color="000000" w:sz="4" w:space="0"/>
              <w:bottom w:val="single" w:color="000000" w:sz="4" w:space="0"/>
              <w:right w:val="single" w:color="000000" w:sz="4" w:space="0"/>
            </w:tcBorders>
          </w:tcPr>
          <w:p w14:paraId="5484E7B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Propose mitigation measures </w:t>
            </w:r>
          </w:p>
        </w:tc>
      </w:tr>
      <w:tr w14:paraId="47219F94">
        <w:tblPrEx>
          <w:tblCellMar>
            <w:top w:w="9" w:type="dxa"/>
            <w:left w:w="104" w:type="dxa"/>
            <w:bottom w:w="0" w:type="dxa"/>
            <w:right w:w="55" w:type="dxa"/>
          </w:tblCellMar>
        </w:tblPrEx>
        <w:trPr>
          <w:trHeight w:val="274" w:hRule="atLeast"/>
        </w:trPr>
        <w:tc>
          <w:tcPr>
            <w:tcW w:w="3260" w:type="dxa"/>
            <w:tcBorders>
              <w:top w:val="single" w:color="000000" w:sz="4" w:space="0"/>
              <w:left w:val="single" w:color="000000" w:sz="4" w:space="0"/>
              <w:bottom w:val="single" w:color="000000" w:sz="4" w:space="0"/>
              <w:right w:val="single" w:color="000000" w:sz="4" w:space="0"/>
            </w:tcBorders>
          </w:tcPr>
          <w:p w14:paraId="6CF6B35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Medium high </w:t>
            </w:r>
          </w:p>
        </w:tc>
        <w:tc>
          <w:tcPr>
            <w:tcW w:w="1263" w:type="dxa"/>
            <w:tcBorders>
              <w:top w:val="single" w:color="000000" w:sz="4" w:space="0"/>
              <w:left w:val="single" w:color="000000" w:sz="4" w:space="0"/>
              <w:bottom w:val="single" w:color="000000" w:sz="4" w:space="0"/>
              <w:right w:val="single" w:color="000000" w:sz="4" w:space="0"/>
            </w:tcBorders>
          </w:tcPr>
          <w:p w14:paraId="4F4AE6B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19-24 </w:t>
            </w:r>
          </w:p>
        </w:tc>
        <w:tc>
          <w:tcPr>
            <w:tcW w:w="868" w:type="dxa"/>
            <w:tcBorders>
              <w:top w:val="single" w:color="000000" w:sz="4" w:space="0"/>
              <w:left w:val="single" w:color="000000" w:sz="4" w:space="0"/>
              <w:bottom w:val="single" w:color="000000" w:sz="4" w:space="0"/>
              <w:right w:val="single" w:color="000000" w:sz="4" w:space="0"/>
            </w:tcBorders>
            <w:shd w:val="clear" w:color="auto" w:fill="FFE599" w:themeFill="accent4" w:themeFillTint="66"/>
          </w:tcPr>
          <w:p w14:paraId="07812FA2">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 </w:t>
            </w:r>
          </w:p>
        </w:tc>
        <w:tc>
          <w:tcPr>
            <w:tcW w:w="2830" w:type="dxa"/>
            <w:tcBorders>
              <w:top w:val="single" w:color="000000" w:sz="4" w:space="0"/>
              <w:left w:val="single" w:color="000000" w:sz="4" w:space="0"/>
              <w:bottom w:val="single" w:color="000000" w:sz="4" w:space="0"/>
              <w:right w:val="single" w:color="000000" w:sz="4" w:space="0"/>
            </w:tcBorders>
          </w:tcPr>
          <w:p w14:paraId="020CFBB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Propose mitigation measures </w:t>
            </w:r>
          </w:p>
        </w:tc>
      </w:tr>
      <w:tr w14:paraId="4F0C3F45">
        <w:tblPrEx>
          <w:tblCellMar>
            <w:top w:w="9" w:type="dxa"/>
            <w:left w:w="104" w:type="dxa"/>
            <w:bottom w:w="0" w:type="dxa"/>
            <w:right w:w="55" w:type="dxa"/>
          </w:tblCellMar>
        </w:tblPrEx>
        <w:trPr>
          <w:trHeight w:val="276" w:hRule="atLeast"/>
        </w:trPr>
        <w:tc>
          <w:tcPr>
            <w:tcW w:w="3260" w:type="dxa"/>
            <w:tcBorders>
              <w:top w:val="single" w:color="000000" w:sz="4" w:space="0"/>
              <w:left w:val="single" w:color="000000" w:sz="4" w:space="0"/>
              <w:bottom w:val="single" w:color="000000" w:sz="4" w:space="0"/>
              <w:right w:val="single" w:color="000000" w:sz="4" w:space="0"/>
            </w:tcBorders>
          </w:tcPr>
          <w:p w14:paraId="6FF3D38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Low medium </w:t>
            </w:r>
          </w:p>
        </w:tc>
        <w:tc>
          <w:tcPr>
            <w:tcW w:w="1263" w:type="dxa"/>
            <w:tcBorders>
              <w:top w:val="single" w:color="000000" w:sz="4" w:space="0"/>
              <w:left w:val="single" w:color="000000" w:sz="4" w:space="0"/>
              <w:bottom w:val="single" w:color="000000" w:sz="4" w:space="0"/>
              <w:right w:val="single" w:color="000000" w:sz="4" w:space="0"/>
            </w:tcBorders>
          </w:tcPr>
          <w:p w14:paraId="7806959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12-18 </w:t>
            </w:r>
          </w:p>
        </w:tc>
        <w:tc>
          <w:tcPr>
            <w:tcW w:w="868" w:type="dxa"/>
            <w:tcBorders>
              <w:top w:val="single" w:color="000000" w:sz="4" w:space="0"/>
              <w:left w:val="single" w:color="000000" w:sz="4" w:space="0"/>
              <w:bottom w:val="single" w:color="000000" w:sz="4" w:space="0"/>
              <w:right w:val="single" w:color="000000" w:sz="4" w:space="0"/>
            </w:tcBorders>
            <w:shd w:val="clear" w:color="auto" w:fill="92D050"/>
          </w:tcPr>
          <w:p w14:paraId="2FA5C0DC">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 </w:t>
            </w:r>
          </w:p>
        </w:tc>
        <w:tc>
          <w:tcPr>
            <w:tcW w:w="2830" w:type="dxa"/>
            <w:tcBorders>
              <w:top w:val="single" w:color="000000" w:sz="4" w:space="0"/>
              <w:left w:val="single" w:color="000000" w:sz="4" w:space="0"/>
              <w:bottom w:val="single" w:color="000000" w:sz="4" w:space="0"/>
              <w:right w:val="single" w:color="000000" w:sz="4" w:space="0"/>
            </w:tcBorders>
          </w:tcPr>
          <w:p w14:paraId="04E48D4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Maintain current management </w:t>
            </w:r>
          </w:p>
        </w:tc>
      </w:tr>
      <w:tr w14:paraId="2205C207">
        <w:tblPrEx>
          <w:tblCellMar>
            <w:top w:w="9" w:type="dxa"/>
            <w:left w:w="104" w:type="dxa"/>
            <w:bottom w:w="0" w:type="dxa"/>
            <w:right w:w="55" w:type="dxa"/>
          </w:tblCellMar>
        </w:tblPrEx>
        <w:trPr>
          <w:trHeight w:val="274" w:hRule="atLeast"/>
        </w:trPr>
        <w:tc>
          <w:tcPr>
            <w:tcW w:w="3260" w:type="dxa"/>
            <w:tcBorders>
              <w:top w:val="single" w:color="000000" w:sz="4" w:space="0"/>
              <w:left w:val="single" w:color="000000" w:sz="4" w:space="0"/>
              <w:bottom w:val="single" w:color="000000" w:sz="4" w:space="0"/>
              <w:right w:val="single" w:color="000000" w:sz="4" w:space="0"/>
            </w:tcBorders>
          </w:tcPr>
          <w:p w14:paraId="23E4248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Low  </w:t>
            </w:r>
          </w:p>
        </w:tc>
        <w:tc>
          <w:tcPr>
            <w:tcW w:w="1263" w:type="dxa"/>
            <w:tcBorders>
              <w:top w:val="single" w:color="000000" w:sz="4" w:space="0"/>
              <w:left w:val="single" w:color="000000" w:sz="4" w:space="0"/>
              <w:bottom w:val="single" w:color="000000" w:sz="4" w:space="0"/>
              <w:right w:val="single" w:color="000000" w:sz="4" w:space="0"/>
            </w:tcBorders>
          </w:tcPr>
          <w:p w14:paraId="025AA03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8-11 </w:t>
            </w:r>
          </w:p>
        </w:tc>
        <w:tc>
          <w:tcPr>
            <w:tcW w:w="868" w:type="dxa"/>
            <w:tcBorders>
              <w:top w:val="single" w:color="000000" w:sz="4" w:space="0"/>
              <w:left w:val="single" w:color="000000" w:sz="4" w:space="0"/>
              <w:bottom w:val="single" w:color="000000" w:sz="4" w:space="0"/>
              <w:right w:val="single" w:color="000000" w:sz="4" w:space="0"/>
            </w:tcBorders>
            <w:shd w:val="clear" w:color="auto" w:fill="0000FF"/>
          </w:tcPr>
          <w:p w14:paraId="69C249C1">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 </w:t>
            </w:r>
          </w:p>
        </w:tc>
        <w:tc>
          <w:tcPr>
            <w:tcW w:w="2830" w:type="dxa"/>
            <w:tcBorders>
              <w:top w:val="single" w:color="000000" w:sz="4" w:space="0"/>
              <w:left w:val="single" w:color="000000" w:sz="4" w:space="0"/>
              <w:bottom w:val="single" w:color="000000" w:sz="4" w:space="0"/>
              <w:right w:val="single" w:color="000000" w:sz="4" w:space="0"/>
            </w:tcBorders>
          </w:tcPr>
          <w:p w14:paraId="5D946C2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Maintain current management </w:t>
            </w:r>
          </w:p>
        </w:tc>
      </w:tr>
      <w:tr w14:paraId="7C835AC6">
        <w:tblPrEx>
          <w:tblCellMar>
            <w:top w:w="9" w:type="dxa"/>
            <w:left w:w="104" w:type="dxa"/>
            <w:bottom w:w="0" w:type="dxa"/>
            <w:right w:w="55" w:type="dxa"/>
          </w:tblCellMar>
        </w:tblPrEx>
        <w:trPr>
          <w:trHeight w:val="272" w:hRule="atLeast"/>
        </w:trPr>
        <w:tc>
          <w:tcPr>
            <w:tcW w:w="3260" w:type="dxa"/>
            <w:tcBorders>
              <w:top w:val="single" w:color="000000" w:sz="4" w:space="0"/>
              <w:left w:val="single" w:color="000000" w:sz="4" w:space="0"/>
              <w:bottom w:val="single" w:color="000000" w:sz="4" w:space="0"/>
              <w:right w:val="single" w:color="000000" w:sz="4" w:space="0"/>
            </w:tcBorders>
          </w:tcPr>
          <w:p w14:paraId="51F1405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Very low </w:t>
            </w:r>
          </w:p>
        </w:tc>
        <w:tc>
          <w:tcPr>
            <w:tcW w:w="1263" w:type="dxa"/>
            <w:tcBorders>
              <w:top w:val="single" w:color="000000" w:sz="4" w:space="0"/>
              <w:left w:val="single" w:color="000000" w:sz="4" w:space="0"/>
              <w:bottom w:val="single" w:color="000000" w:sz="4" w:space="0"/>
              <w:right w:val="single" w:color="000000" w:sz="4" w:space="0"/>
            </w:tcBorders>
          </w:tcPr>
          <w:p w14:paraId="2F3D18A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4-7</w:t>
            </w:r>
          </w:p>
        </w:tc>
        <w:tc>
          <w:tcPr>
            <w:tcW w:w="868" w:type="dxa"/>
            <w:tcBorders>
              <w:top w:val="single" w:color="000000" w:sz="4" w:space="0"/>
              <w:left w:val="single" w:color="000000" w:sz="4" w:space="0"/>
              <w:bottom w:val="single" w:color="000000" w:sz="4" w:space="0"/>
              <w:right w:val="single" w:color="000000" w:sz="4" w:space="0"/>
            </w:tcBorders>
            <w:shd w:val="clear" w:color="auto" w:fill="02D2EE"/>
          </w:tcPr>
          <w:p w14:paraId="55E68A9D">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 </w:t>
            </w:r>
          </w:p>
        </w:tc>
        <w:tc>
          <w:tcPr>
            <w:tcW w:w="2830" w:type="dxa"/>
            <w:tcBorders>
              <w:top w:val="single" w:color="000000" w:sz="4" w:space="0"/>
              <w:left w:val="single" w:color="000000" w:sz="4" w:space="0"/>
              <w:bottom w:val="single" w:color="000000" w:sz="4" w:space="0"/>
              <w:right w:val="single" w:color="000000" w:sz="4" w:space="0"/>
            </w:tcBorders>
          </w:tcPr>
          <w:p w14:paraId="086096B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 xml:space="preserve">Maintain current management </w:t>
            </w:r>
          </w:p>
        </w:tc>
      </w:tr>
    </w:tbl>
    <w:p w14:paraId="563E4BC6">
      <w:pPr>
        <w:keepNext/>
        <w:keepLines/>
        <w:tabs>
          <w:tab w:val="left" w:pos="709"/>
        </w:tabs>
        <w:spacing w:before="100" w:beforeAutospacing="1" w:after="100" w:afterAutospacing="1" w:line="240" w:lineRule="auto"/>
        <w:jc w:val="both"/>
        <w:outlineLvl w:val="1"/>
        <w:rPr>
          <w:rFonts w:eastAsia="Times New Roman Bold" w:cstheme="minorHAnsi"/>
          <w:b/>
          <w:bCs/>
          <w:iCs/>
          <w:lang w:eastAsia="ja-JP"/>
        </w:rPr>
      </w:pPr>
      <w:bookmarkStart w:id="393" w:name="_Toc165648420"/>
      <w:bookmarkStart w:id="394" w:name="_Toc165612415"/>
      <w:bookmarkStart w:id="395" w:name="_Toc165641097"/>
      <w:bookmarkStart w:id="396" w:name="_Toc165555074"/>
      <w:bookmarkStart w:id="397" w:name="_Toc165906824"/>
      <w:bookmarkStart w:id="398" w:name="_Toc165890386"/>
      <w:bookmarkStart w:id="399" w:name="_Toc168582312"/>
      <w:bookmarkStart w:id="400" w:name="_Toc173301464"/>
      <w:bookmarkStart w:id="401" w:name="_Toc171919776"/>
      <w:bookmarkStart w:id="402" w:name="_Toc179904091"/>
      <w:r>
        <w:rPr>
          <w:rFonts w:eastAsia="Times New Roman Bold" w:cstheme="minorHAnsi"/>
          <w:b/>
          <w:bCs/>
          <w:iCs/>
          <w:lang w:eastAsia="ja-JP"/>
        </w:rPr>
        <w:t>8.</w:t>
      </w:r>
      <w:bookmarkEnd w:id="393"/>
      <w:bookmarkEnd w:id="394"/>
      <w:bookmarkEnd w:id="395"/>
      <w:bookmarkEnd w:id="396"/>
      <w:bookmarkEnd w:id="397"/>
      <w:bookmarkEnd w:id="398"/>
      <w:bookmarkEnd w:id="399"/>
      <w:r>
        <w:rPr>
          <w:rFonts w:eastAsia="Times New Roman Bold" w:cstheme="minorHAnsi"/>
          <w:b/>
          <w:bCs/>
          <w:iCs/>
          <w:lang w:eastAsia="ja-JP"/>
        </w:rPr>
        <w:t>2</w:t>
      </w:r>
      <w:r>
        <w:rPr>
          <w:rFonts w:eastAsia="Times New Roman Bold" w:cstheme="minorHAnsi"/>
          <w:b/>
          <w:bCs/>
          <w:iCs/>
          <w:lang w:eastAsia="ja-JP"/>
        </w:rPr>
        <w:tab/>
      </w:r>
      <w:r>
        <w:rPr>
          <w:rFonts w:eastAsia="Times New Roman Bold" w:cstheme="minorHAnsi"/>
          <w:b/>
          <w:bCs/>
          <w:iCs/>
          <w:lang w:eastAsia="ja-JP"/>
        </w:rPr>
        <w:t>Anticipated project positive impacts During Pre-Construction Phase</w:t>
      </w:r>
      <w:bookmarkEnd w:id="400"/>
      <w:bookmarkEnd w:id="401"/>
      <w:bookmarkEnd w:id="402"/>
    </w:p>
    <w:p w14:paraId="2EEDCFDC">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Inclusivity in decision-making</w:t>
      </w:r>
    </w:p>
    <w:p w14:paraId="744BF818">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Diversity and inclusion practices may be of massive impact on project performance. Having a decision-making system that is not bias and is largely transparent to the stakeholders and the community at large may lead to project acceptance. </w:t>
      </w:r>
    </w:p>
    <w:p w14:paraId="2179B45F">
      <w:pPr>
        <w:widowControl w:val="0"/>
        <w:tabs>
          <w:tab w:val="left" w:pos="709"/>
        </w:tabs>
        <w:autoSpaceDE w:val="0"/>
        <w:autoSpaceDN w:val="0"/>
        <w:spacing w:before="100" w:beforeAutospacing="1" w:after="100" w:afterAutospacing="1" w:line="240" w:lineRule="auto"/>
        <w:ind w:left="709"/>
        <w:jc w:val="both"/>
        <w:rPr>
          <w:rFonts w:eastAsia="Calibri" w:cs="Calibri"/>
          <w:b/>
          <w:i/>
          <w:lang w:bidi="en-US"/>
        </w:rPr>
      </w:pPr>
      <w:r>
        <w:rPr>
          <w:rFonts w:eastAsia="Calibri" w:cs="Calibri"/>
          <w:b/>
          <w:i/>
          <w:lang w:bidi="en-US"/>
        </w:rPr>
        <w:t xml:space="preserve">Enhancement </w:t>
      </w:r>
    </w:p>
    <w:p w14:paraId="55095988">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This impact could be enhanced by ensuring all members of the community are well represented and consulted through all the phases of the project.</w:t>
      </w:r>
    </w:p>
    <w:p w14:paraId="7846E36D">
      <w:pPr>
        <w:keepNext/>
        <w:keepLines/>
        <w:tabs>
          <w:tab w:val="left" w:pos="709"/>
        </w:tabs>
        <w:spacing w:before="100" w:beforeAutospacing="1" w:after="100" w:afterAutospacing="1" w:line="240" w:lineRule="auto"/>
        <w:jc w:val="both"/>
        <w:outlineLvl w:val="1"/>
        <w:rPr>
          <w:rFonts w:eastAsia="Times New Roman Bold" w:cstheme="minorHAnsi"/>
          <w:b/>
          <w:bCs/>
          <w:iCs/>
          <w:lang w:eastAsia="ja-JP"/>
        </w:rPr>
      </w:pPr>
      <w:bookmarkStart w:id="403" w:name="_Toc173301465"/>
      <w:bookmarkStart w:id="404" w:name="_Toc165648424"/>
      <w:bookmarkStart w:id="405" w:name="_Toc165890390"/>
      <w:bookmarkStart w:id="406" w:name="_Toc165641101"/>
      <w:bookmarkStart w:id="407" w:name="_Toc165906828"/>
      <w:bookmarkStart w:id="408" w:name="_Toc168582316"/>
      <w:bookmarkStart w:id="409" w:name="_Toc165555078"/>
      <w:bookmarkStart w:id="410" w:name="_Toc165612419"/>
      <w:bookmarkStart w:id="411" w:name="_Toc171919779"/>
      <w:bookmarkStart w:id="412" w:name="_Toc179904092"/>
      <w:bookmarkStart w:id="413" w:name="_Toc165906826"/>
      <w:bookmarkStart w:id="414" w:name="_Toc165641099"/>
      <w:bookmarkStart w:id="415" w:name="_Toc165648422"/>
      <w:bookmarkStart w:id="416" w:name="_Toc165612417"/>
      <w:bookmarkStart w:id="417" w:name="_Toc165555076"/>
      <w:bookmarkStart w:id="418" w:name="_Toc168582314"/>
      <w:bookmarkStart w:id="419" w:name="_Toc165890388"/>
      <w:r>
        <w:rPr>
          <w:rFonts w:eastAsia="Times New Roman Bold" w:cstheme="minorHAnsi"/>
          <w:b/>
          <w:bCs/>
          <w:iCs/>
          <w:lang w:eastAsia="ja-JP"/>
        </w:rPr>
        <w:t>8.3</w:t>
      </w:r>
      <w:r>
        <w:rPr>
          <w:rFonts w:eastAsia="Times New Roman Bold" w:cstheme="minorHAnsi"/>
          <w:b/>
          <w:bCs/>
          <w:iCs/>
          <w:lang w:eastAsia="ja-JP"/>
        </w:rPr>
        <w:tab/>
      </w:r>
      <w:r>
        <w:rPr>
          <w:rFonts w:eastAsia="Times New Roman Bold" w:cstheme="minorHAnsi"/>
          <w:b/>
          <w:bCs/>
          <w:iCs/>
          <w:lang w:eastAsia="ja-JP"/>
        </w:rPr>
        <w:t>Anticipated Positive Impacts During Construction Phase</w:t>
      </w:r>
      <w:bookmarkEnd w:id="403"/>
      <w:bookmarkEnd w:id="404"/>
      <w:bookmarkEnd w:id="405"/>
      <w:bookmarkEnd w:id="406"/>
      <w:bookmarkEnd w:id="407"/>
      <w:bookmarkEnd w:id="408"/>
      <w:bookmarkEnd w:id="409"/>
      <w:bookmarkEnd w:id="410"/>
      <w:bookmarkEnd w:id="411"/>
      <w:bookmarkEnd w:id="412"/>
    </w:p>
    <w:p w14:paraId="528FB68C">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Creation of employment</w:t>
      </w:r>
    </w:p>
    <w:p w14:paraId="6E5AECB4">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The project is predicted to create employment for the skilled and semiskilled locals such as socioeconomics, trainers, casual laborers for construction and cooks and cleaners at the construction camps and casual workers</w:t>
      </w:r>
    </w:p>
    <w:p w14:paraId="3137990C">
      <w:pPr>
        <w:widowControl w:val="0"/>
        <w:tabs>
          <w:tab w:val="left" w:pos="709"/>
        </w:tabs>
        <w:autoSpaceDE w:val="0"/>
        <w:autoSpaceDN w:val="0"/>
        <w:spacing w:before="100" w:beforeAutospacing="1" w:after="100" w:afterAutospacing="1" w:line="240" w:lineRule="auto"/>
        <w:ind w:left="709"/>
        <w:jc w:val="both"/>
        <w:rPr>
          <w:rFonts w:eastAsia="Calibri" w:cs="Calibri"/>
          <w:b/>
          <w:i/>
          <w:lang w:bidi="en-US"/>
        </w:rPr>
      </w:pPr>
      <w:r>
        <w:rPr>
          <w:rFonts w:eastAsia="Calibri" w:cs="Calibri"/>
          <w:b/>
          <w:i/>
          <w:lang w:bidi="en-US"/>
        </w:rPr>
        <w:t>Enhancement</w:t>
      </w:r>
    </w:p>
    <w:p w14:paraId="3CF72B50">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Prioritizing the hire of locals for all unskilled labour. </w:t>
      </w:r>
    </w:p>
    <w:p w14:paraId="7145809D">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Implementing a local recruitment plan that is fair and transparent (including recruitment processes that ensure inclusivity of both men and women, vulnerable individuals, minority clans, ethnic groups etc.</w:t>
      </w:r>
    </w:p>
    <w:p w14:paraId="1263FE19">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Adhering to labour laws and labour management practices (timely remuneration, equitable compensation for both genders for equal work etc.) </w:t>
      </w:r>
    </w:p>
    <w:p w14:paraId="2117D0B0">
      <w:pPr>
        <w:widowControl w:val="0"/>
        <w:numPr>
          <w:ilvl w:val="0"/>
          <w:numId w:val="34"/>
        </w:numPr>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Creating awareness to workers and the community on worker and project grievance redress mechanisms.</w:t>
      </w:r>
    </w:p>
    <w:p w14:paraId="29ADADFB">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Increased business opportunities</w:t>
      </w:r>
    </w:p>
    <w:p w14:paraId="06F838F3">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The project may lead to flourishing of businesses, mainly business centers located along the road due to increased demand of basic commodities and services such as food, accommodation and construction materials.</w:t>
      </w:r>
    </w:p>
    <w:p w14:paraId="7BAD6FAE">
      <w:pPr>
        <w:widowControl w:val="0"/>
        <w:tabs>
          <w:tab w:val="left" w:pos="709"/>
        </w:tabs>
        <w:autoSpaceDE w:val="0"/>
        <w:autoSpaceDN w:val="0"/>
        <w:spacing w:before="100" w:beforeAutospacing="1" w:after="100" w:afterAutospacing="1" w:line="240" w:lineRule="auto"/>
        <w:ind w:left="709"/>
        <w:jc w:val="both"/>
        <w:rPr>
          <w:rFonts w:eastAsia="Calibri" w:cs="Calibri"/>
          <w:b/>
          <w:i/>
          <w:lang w:bidi="en-US"/>
        </w:rPr>
      </w:pPr>
      <w:r>
        <w:rPr>
          <w:rFonts w:eastAsia="Calibri" w:cs="Calibri"/>
          <w:b/>
          <w:i/>
          <w:lang w:bidi="en-US"/>
        </w:rPr>
        <w:t>Enhancement</w:t>
      </w:r>
    </w:p>
    <w:p w14:paraId="47A26943">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This can be enhanced by ensuring the contractor sources materials that can be acquired locally from available suppliers within the settlement. </w:t>
      </w:r>
    </w:p>
    <w:p w14:paraId="648AD976">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Food being used at the camp can also be sourced from local women who are in the business of selling food. This can be further enhanced by creating mechanisms of purchasing items locally to also prohibit workers purchasing from local children who might be under age.</w:t>
      </w:r>
    </w:p>
    <w:p w14:paraId="3DC562F4">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Community Engagement</w:t>
      </w:r>
    </w:p>
    <w:p w14:paraId="5871F15F">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Construction projects often involve community consultation and participation, allowing residents to provide input on design aspects and priorities. This fosters a sense of ownership and pride in the local infrastructure.</w:t>
      </w:r>
    </w:p>
    <w:p w14:paraId="2645B556">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Environmental Protection</w:t>
      </w:r>
    </w:p>
    <w:p w14:paraId="5B4A6654">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Modern construction practices often incorporate sustainable methods and materials, which help to minimize environmental impacts and promote biodiversity.</w:t>
      </w:r>
    </w:p>
    <w:p w14:paraId="5044864C">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Skills Development</w:t>
      </w:r>
    </w:p>
    <w:p w14:paraId="6FE0ED05">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Construction projects provide opportunities for skill development and training for local workers. These skills can be valuable for future employment opportunities beyond the project's duration. Only those who get employment opportunities are the one to benefit so significance of the benefit will be moderate. </w:t>
      </w:r>
    </w:p>
    <w:p w14:paraId="22F1C9BC">
      <w:pPr>
        <w:widowControl w:val="0"/>
        <w:tabs>
          <w:tab w:val="left" w:pos="709"/>
        </w:tabs>
        <w:autoSpaceDE w:val="0"/>
        <w:autoSpaceDN w:val="0"/>
        <w:spacing w:before="100" w:beforeAutospacing="1" w:after="100" w:afterAutospacing="1" w:line="240" w:lineRule="auto"/>
        <w:ind w:left="709"/>
        <w:jc w:val="both"/>
        <w:rPr>
          <w:rFonts w:eastAsia="Calibri" w:cs="Calibri"/>
          <w:i/>
          <w:lang w:bidi="en-US"/>
        </w:rPr>
      </w:pPr>
      <w:r>
        <w:rPr>
          <w:rFonts w:eastAsia="Calibri" w:cs="Calibri"/>
          <w:i/>
          <w:lang w:bidi="en-US"/>
        </w:rPr>
        <w:t>Enhancement</w:t>
      </w:r>
    </w:p>
    <w:p w14:paraId="30D500F2">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As a way to magnify this positive benefit to the youth a </w:t>
      </w:r>
      <w:r>
        <w:t>Corporate Social Responsibility (CSR)</w:t>
      </w:r>
      <w:r>
        <w:rPr>
          <w:rFonts w:eastAsia="Calibri" w:cs="Calibri"/>
          <w:lang w:bidi="en-US"/>
        </w:rPr>
        <w:t xml:space="preserve"> can be done during the construction stage to take the participated youth to technical colleges. </w:t>
      </w:r>
      <w:r>
        <w:t>Incorporating a CSR initiative that focuses on providing technical education and vocational training to local youth during the construction stage of the Wajir FSTP project can magnify positive benefits for the community. By empowering youth with the skills they need to succeed in the workforce, the initiative supports both individual growth and broader community development.</w:t>
      </w:r>
    </w:p>
    <w:p w14:paraId="769220F9">
      <w:pPr>
        <w:keepNext/>
        <w:keepLines/>
        <w:tabs>
          <w:tab w:val="left" w:pos="709"/>
        </w:tabs>
        <w:spacing w:before="100" w:beforeAutospacing="1" w:after="100" w:afterAutospacing="1" w:line="240" w:lineRule="auto"/>
        <w:ind w:left="-142"/>
        <w:jc w:val="both"/>
        <w:outlineLvl w:val="1"/>
        <w:rPr>
          <w:rFonts w:eastAsia="Times New Roman Bold" w:cstheme="minorHAnsi"/>
          <w:b/>
          <w:bCs/>
          <w:iCs/>
          <w:lang w:eastAsia="ja-JP"/>
        </w:rPr>
      </w:pPr>
      <w:bookmarkStart w:id="420" w:name="_Toc171919782"/>
      <w:bookmarkStart w:id="421" w:name="_Toc165906831"/>
      <w:bookmarkStart w:id="422" w:name="_Toc165641104"/>
      <w:bookmarkStart w:id="423" w:name="_Toc168582319"/>
      <w:bookmarkStart w:id="424" w:name="_Toc165612422"/>
      <w:bookmarkStart w:id="425" w:name="_Toc165648427"/>
      <w:bookmarkStart w:id="426" w:name="_Toc173301466"/>
      <w:bookmarkStart w:id="427" w:name="_Toc165890393"/>
      <w:bookmarkStart w:id="428" w:name="_Toc179904093"/>
      <w:bookmarkStart w:id="429" w:name="_Toc165555081"/>
      <w:r>
        <w:rPr>
          <w:rFonts w:eastAsia="Times New Roman Bold" w:cstheme="minorHAnsi"/>
          <w:b/>
          <w:bCs/>
          <w:iCs/>
          <w:lang w:eastAsia="ja-JP"/>
        </w:rPr>
        <w:t>8.4</w:t>
      </w:r>
      <w:r>
        <w:rPr>
          <w:rFonts w:eastAsia="Times New Roman Bold" w:cstheme="minorHAnsi"/>
          <w:b/>
          <w:bCs/>
          <w:iCs/>
          <w:lang w:eastAsia="ja-JP"/>
        </w:rPr>
        <w:tab/>
      </w:r>
      <w:r>
        <w:rPr>
          <w:rFonts w:eastAsia="Times New Roman Bold" w:cstheme="minorHAnsi"/>
          <w:b/>
          <w:bCs/>
          <w:iCs/>
          <w:lang w:eastAsia="ja-JP"/>
        </w:rPr>
        <w:t>Anticipated positive impacts during Operation Phase</w:t>
      </w:r>
      <w:bookmarkEnd w:id="420"/>
      <w:bookmarkEnd w:id="421"/>
      <w:bookmarkEnd w:id="422"/>
      <w:bookmarkEnd w:id="423"/>
      <w:bookmarkEnd w:id="424"/>
      <w:bookmarkEnd w:id="425"/>
      <w:bookmarkEnd w:id="426"/>
      <w:bookmarkEnd w:id="427"/>
      <w:bookmarkEnd w:id="428"/>
      <w:bookmarkEnd w:id="429"/>
    </w:p>
    <w:p w14:paraId="5F07E139">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Improved sanitation</w:t>
      </w:r>
    </w:p>
    <w:p w14:paraId="4C582FC8">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The proposed FSTP will lead to improved solid waste management within Alimaow and Furaha area as well as Wajir would lead to an improved sanitation status of the area. This will reduce the cases of open dumping.</w:t>
      </w:r>
    </w:p>
    <w:p w14:paraId="6E2DF0F5">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Reduction in waterborne diseases</w:t>
      </w:r>
    </w:p>
    <w:p w14:paraId="7381D705">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The proposed project in the area will lead to improved sanitation/hygiene practices in the area, thus leading to a reduction in the outbreaks of diseases such as cholera, typhoid and dysentery. </w:t>
      </w:r>
    </w:p>
    <w:p w14:paraId="5722C9EF">
      <w:pPr>
        <w:widowControl w:val="0"/>
        <w:tabs>
          <w:tab w:val="left" w:pos="709"/>
        </w:tabs>
        <w:autoSpaceDE w:val="0"/>
        <w:autoSpaceDN w:val="0"/>
        <w:spacing w:before="100" w:beforeAutospacing="1" w:after="100" w:afterAutospacing="1" w:line="240" w:lineRule="auto"/>
        <w:ind w:left="709"/>
        <w:jc w:val="both"/>
        <w:rPr>
          <w:rFonts w:eastAsia="Calibri" w:cs="Calibri"/>
          <w:b/>
          <w:i/>
          <w:lang w:bidi="en-US"/>
        </w:rPr>
      </w:pPr>
      <w:r>
        <w:rPr>
          <w:rFonts w:eastAsia="Calibri" w:cs="Calibri"/>
          <w:b/>
          <w:i/>
          <w:lang w:bidi="en-US"/>
        </w:rPr>
        <w:t>Enhancement</w:t>
      </w:r>
    </w:p>
    <w:p w14:paraId="6CA9BE0C">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These impacts should be enhanced by engaging the community, promoting education, improving access to sanitation, and ensuring sustainability are critical to achieving long-term benefits and reducing the prevalence of waterborne diseases.</w:t>
      </w:r>
    </w:p>
    <w:p w14:paraId="411A6098">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Improvement of quality of life</w:t>
      </w:r>
    </w:p>
    <w:p w14:paraId="371F7825">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The </w:t>
      </w:r>
      <w:r>
        <w:rPr>
          <w:rFonts w:eastAsia="Calibri" w:cs="Calibri"/>
          <w:bCs/>
          <w:lang w:bidi="en-US"/>
        </w:rPr>
        <w:t>Wajir FSTP project</w:t>
      </w:r>
      <w:r>
        <w:rPr>
          <w:rFonts w:eastAsia="Calibri" w:cs="Calibri"/>
          <w:lang w:bidi="en-US"/>
        </w:rPr>
        <w:t xml:space="preserve"> aims to improve the quality of life for local residents by providing enhanced sanitation facilities, reducing waterborne diseases, creating economic opportunities, and promoting environmental protection.</w:t>
      </w:r>
    </w:p>
    <w:p w14:paraId="6851CBDE">
      <w:pPr>
        <w:widowControl w:val="0"/>
        <w:tabs>
          <w:tab w:val="left" w:pos="709"/>
        </w:tabs>
        <w:autoSpaceDE w:val="0"/>
        <w:autoSpaceDN w:val="0"/>
        <w:spacing w:before="100" w:beforeAutospacing="1" w:after="100" w:afterAutospacing="1" w:line="240" w:lineRule="auto"/>
        <w:ind w:left="709"/>
        <w:jc w:val="both"/>
        <w:rPr>
          <w:rFonts w:eastAsia="Calibri" w:cs="Calibri"/>
          <w:b/>
          <w:i/>
          <w:lang w:bidi="en-US"/>
        </w:rPr>
      </w:pPr>
      <w:r>
        <w:rPr>
          <w:rFonts w:eastAsia="Calibri" w:cs="Calibri"/>
          <w:b/>
          <w:i/>
          <w:lang w:bidi="en-US"/>
        </w:rPr>
        <w:t>Enhancement</w:t>
      </w:r>
    </w:p>
    <w:p w14:paraId="54924B1C">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By implementing educational programs, fostering community engagement, and integrating the project with local development plans, the positive impact on quality of life can be significantly enhanced. Ultimately, this initiative contributes to healthier, more sustainable, and empowered communities in Wajir.</w:t>
      </w:r>
    </w:p>
    <w:p w14:paraId="102904AF">
      <w:pPr>
        <w:widowControl w:val="0"/>
        <w:autoSpaceDE w:val="0"/>
        <w:autoSpaceDN w:val="0"/>
        <w:spacing w:before="100" w:beforeAutospacing="1" w:after="100" w:afterAutospacing="1" w:line="240" w:lineRule="auto"/>
        <w:ind w:left="709"/>
        <w:contextualSpacing/>
        <w:jc w:val="both"/>
        <w:rPr>
          <w:rFonts w:eastAsia="Calibri" w:cs="Calibri"/>
          <w:lang w:bidi="en-US"/>
        </w:rPr>
      </w:pPr>
    </w:p>
    <w:p w14:paraId="3F431C3E">
      <w:pPr>
        <w:keepNext/>
        <w:keepLines/>
        <w:tabs>
          <w:tab w:val="left" w:pos="709"/>
        </w:tabs>
        <w:spacing w:before="100" w:beforeAutospacing="1" w:after="100" w:afterAutospacing="1" w:line="240" w:lineRule="auto"/>
        <w:jc w:val="both"/>
        <w:outlineLvl w:val="1"/>
        <w:rPr>
          <w:rFonts w:eastAsia="Times New Roman Bold" w:cstheme="minorHAnsi"/>
          <w:b/>
          <w:bCs/>
          <w:iCs/>
          <w:lang w:eastAsia="ja-JP"/>
        </w:rPr>
      </w:pPr>
      <w:bookmarkStart w:id="430" w:name="_Toc165890396"/>
      <w:bookmarkStart w:id="431" w:name="_Toc168582322"/>
      <w:bookmarkStart w:id="432" w:name="_Toc165612425"/>
      <w:bookmarkStart w:id="433" w:name="_Toc165648430"/>
      <w:bookmarkStart w:id="434" w:name="_Toc165555084"/>
      <w:bookmarkStart w:id="435" w:name="_Toc165906834"/>
      <w:bookmarkStart w:id="436" w:name="_Toc165641107"/>
      <w:bookmarkStart w:id="437" w:name="_Toc171919785"/>
      <w:bookmarkStart w:id="438" w:name="_Toc179904094"/>
      <w:bookmarkStart w:id="439" w:name="_Toc173301467"/>
      <w:r>
        <w:rPr>
          <w:rFonts w:eastAsia="Times New Roman Bold" w:cstheme="minorHAnsi"/>
          <w:b/>
          <w:bCs/>
          <w:iCs/>
          <w:lang w:eastAsia="ja-JP"/>
        </w:rPr>
        <w:t>8.5</w:t>
      </w:r>
      <w:r>
        <w:rPr>
          <w:rFonts w:eastAsia="Times New Roman Bold" w:cstheme="minorHAnsi"/>
          <w:b/>
          <w:bCs/>
          <w:iCs/>
          <w:lang w:eastAsia="ja-JP"/>
        </w:rPr>
        <w:tab/>
      </w:r>
      <w:r>
        <w:rPr>
          <w:rFonts w:eastAsia="Times New Roman Bold" w:cstheme="minorHAnsi"/>
          <w:b/>
          <w:bCs/>
          <w:iCs/>
          <w:lang w:eastAsia="ja-JP"/>
        </w:rPr>
        <w:t xml:space="preserve">Anticipated Positive </w:t>
      </w:r>
      <w:bookmarkEnd w:id="430"/>
      <w:bookmarkEnd w:id="431"/>
      <w:bookmarkEnd w:id="432"/>
      <w:bookmarkEnd w:id="433"/>
      <w:bookmarkEnd w:id="434"/>
      <w:bookmarkEnd w:id="435"/>
      <w:bookmarkEnd w:id="436"/>
      <w:r>
        <w:rPr>
          <w:rFonts w:eastAsia="Times New Roman Bold" w:cstheme="minorHAnsi"/>
          <w:b/>
          <w:bCs/>
          <w:iCs/>
          <w:lang w:eastAsia="ja-JP"/>
        </w:rPr>
        <w:t>Impacts During Decommissioning Phase</w:t>
      </w:r>
      <w:bookmarkEnd w:id="437"/>
      <w:bookmarkEnd w:id="438"/>
      <w:bookmarkEnd w:id="439"/>
    </w:p>
    <w:p w14:paraId="0C9F437A">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Adaptation to Changing Needs</w:t>
      </w:r>
    </w:p>
    <w:p w14:paraId="54EC67B3">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Decommissioning allows for the removal of infrastructure that no longer meets the needs of the community, facilitating the reallocation of resources towards more pressing priorities such as sustainable sanitation options or climate resilience measures.</w:t>
      </w:r>
    </w:p>
    <w:p w14:paraId="05C9A229">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Environmental Restoration</w:t>
      </w:r>
    </w:p>
    <w:p w14:paraId="235EB346">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Decommissioning allows for the restoration of natural habitats and ecosystems that were disrupted during the construction phase. This can include vegetation of areas and removal of impervious surfaces.</w:t>
      </w:r>
    </w:p>
    <w:p w14:paraId="031036A3">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Cost Savings</w:t>
      </w:r>
    </w:p>
    <w:p w14:paraId="200CB327">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Decommissioning outdated or underutilized infrastructure can result in long-term cost savings by reducing maintenance and operational expenses associated with maintaining and repairing aging infrastructure.</w:t>
      </w:r>
    </w:p>
    <w:p w14:paraId="2241B1E5">
      <w:pPr>
        <w:keepNext/>
        <w:keepLines/>
        <w:tabs>
          <w:tab w:val="left" w:pos="709"/>
        </w:tabs>
        <w:spacing w:before="100" w:beforeAutospacing="1" w:after="100" w:afterAutospacing="1" w:line="240" w:lineRule="auto"/>
        <w:jc w:val="both"/>
        <w:outlineLvl w:val="1"/>
        <w:rPr>
          <w:rFonts w:eastAsia="Times New Roman Bold" w:cstheme="minorHAnsi"/>
          <w:b/>
          <w:bCs/>
          <w:iCs/>
          <w:lang w:eastAsia="ja-JP"/>
        </w:rPr>
      </w:pPr>
      <w:bookmarkStart w:id="440" w:name="_Toc171919788"/>
      <w:bookmarkStart w:id="441" w:name="_Toc173301468"/>
      <w:bookmarkStart w:id="442" w:name="_Toc179904095"/>
      <w:r>
        <w:rPr>
          <w:rFonts w:eastAsia="Times New Roman Bold" w:cstheme="minorHAnsi"/>
          <w:b/>
          <w:bCs/>
          <w:iCs/>
          <w:lang w:eastAsia="ja-JP"/>
        </w:rPr>
        <w:t>8.6</w:t>
      </w:r>
      <w:r>
        <w:rPr>
          <w:rFonts w:eastAsia="Times New Roman Bold" w:cstheme="minorHAnsi"/>
          <w:b/>
          <w:bCs/>
          <w:iCs/>
          <w:lang w:eastAsia="ja-JP"/>
        </w:rPr>
        <w:tab/>
      </w:r>
      <w:r>
        <w:rPr>
          <w:rFonts w:eastAsia="Times New Roman Bold" w:cstheme="minorHAnsi"/>
          <w:b/>
          <w:bCs/>
          <w:iCs/>
          <w:lang w:eastAsia="ja-JP"/>
        </w:rPr>
        <w:t>Anticipated Negative impact</w:t>
      </w:r>
      <w:bookmarkEnd w:id="413"/>
      <w:bookmarkEnd w:id="414"/>
      <w:bookmarkEnd w:id="415"/>
      <w:bookmarkEnd w:id="416"/>
      <w:bookmarkEnd w:id="417"/>
      <w:bookmarkEnd w:id="418"/>
      <w:bookmarkEnd w:id="419"/>
      <w:r>
        <w:rPr>
          <w:rFonts w:eastAsia="Times New Roman Bold" w:cstheme="minorHAnsi"/>
          <w:b/>
          <w:bCs/>
          <w:iCs/>
          <w:lang w:eastAsia="ja-JP"/>
        </w:rPr>
        <w:t>s</w:t>
      </w:r>
      <w:bookmarkEnd w:id="440"/>
      <w:r>
        <w:rPr>
          <w:rFonts w:eastAsia="Times New Roman Bold" w:cstheme="minorHAnsi"/>
          <w:b/>
          <w:bCs/>
          <w:iCs/>
          <w:lang w:eastAsia="ja-JP"/>
        </w:rPr>
        <w:t xml:space="preserve"> during pre-construction phase</w:t>
      </w:r>
      <w:bookmarkEnd w:id="441"/>
      <w:bookmarkEnd w:id="442"/>
    </w:p>
    <w:p w14:paraId="4D5256B0">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 xml:space="preserve">Approval delays from NEMA and other Agencies </w:t>
      </w:r>
      <w:r>
        <w:rPr>
          <w:rFonts w:eastAsia="Calibri" w:cs="Calibri"/>
          <w:b/>
          <w:i/>
          <w:lang w:bidi="en-US"/>
        </w:rPr>
        <w:t>(Medium High)</w:t>
      </w:r>
    </w:p>
    <w:tbl>
      <w:tblPr>
        <w:tblStyle w:val="258"/>
        <w:tblpPr w:leftFromText="180" w:rightFromText="180" w:vertAnchor="text" w:horzAnchor="margin" w:tblpXSpec="right" w:tblpY="634"/>
        <w:tblW w:w="8075" w:type="dxa"/>
        <w:tblInd w:w="0" w:type="dxa"/>
        <w:tblLayout w:type="autofit"/>
        <w:tblCellMar>
          <w:top w:w="8" w:type="dxa"/>
          <w:left w:w="108" w:type="dxa"/>
          <w:bottom w:w="0" w:type="dxa"/>
          <w:right w:w="105" w:type="dxa"/>
        </w:tblCellMar>
      </w:tblPr>
      <w:tblGrid>
        <w:gridCol w:w="2066"/>
        <w:gridCol w:w="3641"/>
        <w:gridCol w:w="2368"/>
      </w:tblGrid>
      <w:tr w14:paraId="5EE2B573">
        <w:tblPrEx>
          <w:tblCellMar>
            <w:top w:w="8" w:type="dxa"/>
            <w:left w:w="108" w:type="dxa"/>
            <w:bottom w:w="0" w:type="dxa"/>
            <w:right w:w="105" w:type="dxa"/>
          </w:tblCellMar>
        </w:tblPrEx>
        <w:trPr>
          <w:trHeight w:val="205" w:hRule="atLeast"/>
        </w:trPr>
        <w:tc>
          <w:tcPr>
            <w:tcW w:w="2066" w:type="dxa"/>
            <w:tcBorders>
              <w:top w:val="single" w:color="000000" w:sz="4" w:space="0"/>
              <w:left w:val="single" w:color="000000" w:sz="4" w:space="0"/>
              <w:bottom w:val="single" w:color="000000" w:sz="4" w:space="0"/>
              <w:right w:val="nil"/>
            </w:tcBorders>
          </w:tcPr>
          <w:p w14:paraId="3CA8C4D0">
            <w:pPr>
              <w:widowControl w:val="0"/>
              <w:tabs>
                <w:tab w:val="left" w:pos="709"/>
              </w:tabs>
              <w:autoSpaceDE w:val="0"/>
              <w:autoSpaceDN w:val="0"/>
              <w:spacing w:before="100" w:beforeAutospacing="1" w:after="100" w:afterAutospacing="1" w:line="240" w:lineRule="auto"/>
              <w:ind w:left="164" w:hanging="164"/>
              <w:jc w:val="both"/>
              <w:rPr>
                <w:rFonts w:eastAsia="Calibri" w:cs="Calibri"/>
                <w:lang w:bidi="en-US"/>
              </w:rPr>
            </w:pPr>
            <w:r>
              <w:rPr>
                <w:rFonts w:eastAsia="Arial" w:cs="Arial"/>
                <w:b/>
                <w:lang w:bidi="en-US"/>
              </w:rPr>
              <w:t xml:space="preserve">Criteria </w:t>
            </w:r>
          </w:p>
        </w:tc>
        <w:tc>
          <w:tcPr>
            <w:tcW w:w="3641" w:type="dxa"/>
            <w:tcBorders>
              <w:top w:val="single" w:color="000000" w:sz="4" w:space="0"/>
              <w:left w:val="nil"/>
              <w:bottom w:val="single" w:color="000000" w:sz="4" w:space="0"/>
              <w:right w:val="single" w:color="000000" w:sz="4" w:space="0"/>
            </w:tcBorders>
          </w:tcPr>
          <w:p w14:paraId="319323AC">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2368" w:type="dxa"/>
            <w:tcBorders>
              <w:top w:val="single" w:color="000000" w:sz="4" w:space="0"/>
              <w:left w:val="single" w:color="000000" w:sz="4" w:space="0"/>
              <w:bottom w:val="single" w:color="000000" w:sz="4" w:space="0"/>
              <w:right w:val="single" w:color="000000" w:sz="4" w:space="0"/>
            </w:tcBorders>
          </w:tcPr>
          <w:p w14:paraId="74CC5B97">
            <w:pPr>
              <w:widowControl w:val="0"/>
              <w:tabs>
                <w:tab w:val="left" w:pos="709"/>
              </w:tabs>
              <w:autoSpaceDE w:val="0"/>
              <w:autoSpaceDN w:val="0"/>
              <w:spacing w:before="100" w:beforeAutospacing="1" w:after="100" w:afterAutospacing="1" w:line="240" w:lineRule="auto"/>
              <w:ind w:right="3"/>
              <w:jc w:val="both"/>
              <w:rPr>
                <w:rFonts w:eastAsia="Calibri" w:cs="Calibri"/>
                <w:lang w:bidi="en-US"/>
              </w:rPr>
            </w:pPr>
            <w:r>
              <w:rPr>
                <w:rFonts w:eastAsia="Arial" w:cs="Arial"/>
                <w:b/>
                <w:lang w:bidi="en-US"/>
              </w:rPr>
              <w:t xml:space="preserve">Rating </w:t>
            </w:r>
          </w:p>
        </w:tc>
      </w:tr>
      <w:tr w14:paraId="1E24F6B7">
        <w:tblPrEx>
          <w:tblCellMar>
            <w:top w:w="8" w:type="dxa"/>
            <w:left w:w="108" w:type="dxa"/>
            <w:bottom w:w="0" w:type="dxa"/>
            <w:right w:w="105" w:type="dxa"/>
          </w:tblCellMar>
        </w:tblPrEx>
        <w:trPr>
          <w:trHeight w:val="205" w:hRule="atLeast"/>
        </w:trPr>
        <w:tc>
          <w:tcPr>
            <w:tcW w:w="2066" w:type="dxa"/>
            <w:vMerge w:val="restart"/>
            <w:tcBorders>
              <w:top w:val="single" w:color="000000" w:sz="4" w:space="0"/>
              <w:left w:val="single" w:color="000000" w:sz="4" w:space="0"/>
              <w:bottom w:val="single" w:color="000000" w:sz="4" w:space="0"/>
              <w:right w:val="single" w:color="000000" w:sz="4" w:space="0"/>
            </w:tcBorders>
          </w:tcPr>
          <w:p w14:paraId="3A57F7E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41" w:type="dxa"/>
            <w:tcBorders>
              <w:top w:val="single" w:color="000000" w:sz="4" w:space="0"/>
              <w:left w:val="single" w:color="000000" w:sz="4" w:space="0"/>
              <w:bottom w:val="single" w:color="000000" w:sz="4" w:space="0"/>
              <w:right w:val="single" w:color="000000" w:sz="4" w:space="0"/>
            </w:tcBorders>
          </w:tcPr>
          <w:p w14:paraId="5BCD83A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2368" w:type="dxa"/>
            <w:tcBorders>
              <w:top w:val="single" w:color="000000" w:sz="4" w:space="0"/>
              <w:left w:val="single" w:color="000000" w:sz="4" w:space="0"/>
              <w:bottom w:val="single" w:color="000000" w:sz="4" w:space="0"/>
              <w:right w:val="single" w:color="000000" w:sz="4" w:space="0"/>
            </w:tcBorders>
          </w:tcPr>
          <w:p w14:paraId="76405C61">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Calibri" w:cs="Calibri"/>
                <w:lang w:bidi="en-US"/>
              </w:rPr>
              <w:t>3</w:t>
            </w:r>
          </w:p>
        </w:tc>
      </w:tr>
      <w:tr w14:paraId="0A8F744E">
        <w:tblPrEx>
          <w:tblCellMar>
            <w:top w:w="8" w:type="dxa"/>
            <w:left w:w="108" w:type="dxa"/>
            <w:bottom w:w="0" w:type="dxa"/>
            <w:right w:w="105" w:type="dxa"/>
          </w:tblCellMar>
        </w:tblPrEx>
        <w:trPr>
          <w:trHeight w:val="205" w:hRule="atLeast"/>
        </w:trPr>
        <w:tc>
          <w:tcPr>
            <w:tcW w:w="2066" w:type="dxa"/>
            <w:vMerge w:val="continue"/>
            <w:tcBorders>
              <w:top w:val="nil"/>
              <w:left w:val="single" w:color="000000" w:sz="4" w:space="0"/>
              <w:bottom w:val="nil"/>
              <w:right w:val="single" w:color="000000" w:sz="4" w:space="0"/>
            </w:tcBorders>
          </w:tcPr>
          <w:p w14:paraId="0B199F87">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41" w:type="dxa"/>
            <w:tcBorders>
              <w:top w:val="single" w:color="000000" w:sz="4" w:space="0"/>
              <w:left w:val="single" w:color="000000" w:sz="4" w:space="0"/>
              <w:bottom w:val="single" w:color="000000" w:sz="4" w:space="0"/>
              <w:right w:val="single" w:color="000000" w:sz="4" w:space="0"/>
            </w:tcBorders>
          </w:tcPr>
          <w:p w14:paraId="7109B7B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2368" w:type="dxa"/>
            <w:tcBorders>
              <w:top w:val="single" w:color="000000" w:sz="4" w:space="0"/>
              <w:left w:val="single" w:color="000000" w:sz="4" w:space="0"/>
              <w:bottom w:val="single" w:color="000000" w:sz="4" w:space="0"/>
              <w:right w:val="single" w:color="000000" w:sz="4" w:space="0"/>
            </w:tcBorders>
          </w:tcPr>
          <w:p w14:paraId="1CDAA242">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3A75926C">
        <w:tblPrEx>
          <w:tblCellMar>
            <w:top w:w="8" w:type="dxa"/>
            <w:left w:w="108" w:type="dxa"/>
            <w:bottom w:w="0" w:type="dxa"/>
            <w:right w:w="105" w:type="dxa"/>
          </w:tblCellMar>
        </w:tblPrEx>
        <w:trPr>
          <w:trHeight w:val="205" w:hRule="atLeast"/>
        </w:trPr>
        <w:tc>
          <w:tcPr>
            <w:tcW w:w="2066" w:type="dxa"/>
            <w:vMerge w:val="continue"/>
            <w:tcBorders>
              <w:top w:val="nil"/>
              <w:left w:val="single" w:color="000000" w:sz="4" w:space="0"/>
              <w:bottom w:val="single" w:color="000000" w:sz="4" w:space="0"/>
              <w:right w:val="single" w:color="000000" w:sz="4" w:space="0"/>
            </w:tcBorders>
          </w:tcPr>
          <w:p w14:paraId="3C6D7BE6">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41" w:type="dxa"/>
            <w:tcBorders>
              <w:top w:val="single" w:color="000000" w:sz="4" w:space="0"/>
              <w:left w:val="single" w:color="000000" w:sz="4" w:space="0"/>
              <w:bottom w:val="single" w:color="000000" w:sz="4" w:space="0"/>
              <w:right w:val="single" w:color="000000" w:sz="4" w:space="0"/>
            </w:tcBorders>
          </w:tcPr>
          <w:p w14:paraId="4F36FCC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2368" w:type="dxa"/>
            <w:tcBorders>
              <w:top w:val="single" w:color="000000" w:sz="4" w:space="0"/>
              <w:left w:val="single" w:color="000000" w:sz="4" w:space="0"/>
              <w:bottom w:val="single" w:color="000000" w:sz="4" w:space="0"/>
              <w:right w:val="single" w:color="000000" w:sz="4" w:space="0"/>
            </w:tcBorders>
          </w:tcPr>
          <w:p w14:paraId="0B8CFA93">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35191AB2">
        <w:tblPrEx>
          <w:tblCellMar>
            <w:top w:w="8" w:type="dxa"/>
            <w:left w:w="108" w:type="dxa"/>
            <w:bottom w:w="0" w:type="dxa"/>
            <w:right w:w="105" w:type="dxa"/>
          </w:tblCellMar>
        </w:tblPrEx>
        <w:trPr>
          <w:trHeight w:val="205" w:hRule="atLeast"/>
        </w:trPr>
        <w:tc>
          <w:tcPr>
            <w:tcW w:w="2066" w:type="dxa"/>
            <w:vMerge w:val="restart"/>
            <w:tcBorders>
              <w:top w:val="single" w:color="000000" w:sz="4" w:space="0"/>
              <w:left w:val="single" w:color="000000" w:sz="4" w:space="0"/>
              <w:bottom w:val="single" w:color="000000" w:sz="4" w:space="0"/>
              <w:right w:val="single" w:color="000000" w:sz="4" w:space="0"/>
            </w:tcBorders>
          </w:tcPr>
          <w:p w14:paraId="4B7F1BD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41" w:type="dxa"/>
            <w:tcBorders>
              <w:top w:val="single" w:color="000000" w:sz="4" w:space="0"/>
              <w:left w:val="single" w:color="000000" w:sz="4" w:space="0"/>
              <w:bottom w:val="single" w:color="000000" w:sz="4" w:space="0"/>
              <w:right w:val="single" w:color="000000" w:sz="4" w:space="0"/>
            </w:tcBorders>
          </w:tcPr>
          <w:p w14:paraId="665BE27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2368" w:type="dxa"/>
            <w:tcBorders>
              <w:top w:val="single" w:color="000000" w:sz="4" w:space="0"/>
              <w:left w:val="single" w:color="000000" w:sz="4" w:space="0"/>
              <w:bottom w:val="single" w:color="000000" w:sz="4" w:space="0"/>
              <w:right w:val="single" w:color="000000" w:sz="4" w:space="0"/>
            </w:tcBorders>
          </w:tcPr>
          <w:p w14:paraId="6E0AF2FF">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3</w:t>
            </w:r>
          </w:p>
        </w:tc>
      </w:tr>
      <w:tr w14:paraId="2835F33F">
        <w:tblPrEx>
          <w:tblCellMar>
            <w:top w:w="8" w:type="dxa"/>
            <w:left w:w="108" w:type="dxa"/>
            <w:bottom w:w="0" w:type="dxa"/>
            <w:right w:w="105" w:type="dxa"/>
          </w:tblCellMar>
        </w:tblPrEx>
        <w:trPr>
          <w:trHeight w:val="206" w:hRule="atLeast"/>
        </w:trPr>
        <w:tc>
          <w:tcPr>
            <w:tcW w:w="2066" w:type="dxa"/>
            <w:vMerge w:val="continue"/>
            <w:tcBorders>
              <w:top w:val="nil"/>
              <w:left w:val="single" w:color="000000" w:sz="4" w:space="0"/>
              <w:bottom w:val="single" w:color="000000" w:sz="4" w:space="0"/>
              <w:right w:val="single" w:color="000000" w:sz="4" w:space="0"/>
            </w:tcBorders>
          </w:tcPr>
          <w:p w14:paraId="1F21F476">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41" w:type="dxa"/>
            <w:tcBorders>
              <w:top w:val="single" w:color="000000" w:sz="4" w:space="0"/>
              <w:left w:val="single" w:color="000000" w:sz="4" w:space="0"/>
              <w:bottom w:val="single" w:color="000000" w:sz="4" w:space="0"/>
              <w:right w:val="single" w:color="000000" w:sz="4" w:space="0"/>
            </w:tcBorders>
          </w:tcPr>
          <w:p w14:paraId="74AC058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2368" w:type="dxa"/>
            <w:tcBorders>
              <w:top w:val="single" w:color="000000" w:sz="4" w:space="0"/>
              <w:left w:val="single" w:color="000000" w:sz="4" w:space="0"/>
              <w:bottom w:val="single" w:color="000000" w:sz="4" w:space="0"/>
              <w:right w:val="single" w:color="000000" w:sz="4" w:space="0"/>
            </w:tcBorders>
          </w:tcPr>
          <w:p w14:paraId="065C9111">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7E3BBC81">
        <w:tblPrEx>
          <w:tblCellMar>
            <w:top w:w="8" w:type="dxa"/>
            <w:left w:w="108" w:type="dxa"/>
            <w:bottom w:w="0" w:type="dxa"/>
            <w:right w:w="105" w:type="dxa"/>
          </w:tblCellMar>
        </w:tblPrEx>
        <w:trPr>
          <w:trHeight w:val="399" w:hRule="atLeast"/>
        </w:trPr>
        <w:tc>
          <w:tcPr>
            <w:tcW w:w="2066" w:type="dxa"/>
            <w:tcBorders>
              <w:top w:val="single" w:color="000000" w:sz="4" w:space="0"/>
              <w:left w:val="single" w:color="000000" w:sz="4" w:space="0"/>
              <w:bottom w:val="single" w:color="000000" w:sz="4" w:space="0"/>
              <w:right w:val="single" w:color="000000" w:sz="4" w:space="0"/>
            </w:tcBorders>
          </w:tcPr>
          <w:p w14:paraId="38C188F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41" w:type="dxa"/>
            <w:tcBorders>
              <w:top w:val="single" w:color="000000" w:sz="4" w:space="0"/>
              <w:left w:val="single" w:color="000000" w:sz="4" w:space="0"/>
              <w:bottom w:val="single" w:color="000000" w:sz="4" w:space="0"/>
              <w:right w:val="single" w:color="000000" w:sz="4" w:space="0"/>
            </w:tcBorders>
          </w:tcPr>
          <w:p w14:paraId="73B00D5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Medium High</w:t>
            </w:r>
          </w:p>
        </w:tc>
        <w:tc>
          <w:tcPr>
            <w:tcW w:w="2368" w:type="dxa"/>
            <w:tcBorders>
              <w:top w:val="single" w:color="000000" w:sz="4" w:space="0"/>
              <w:left w:val="single" w:color="000000" w:sz="4" w:space="0"/>
              <w:bottom w:val="single" w:color="000000" w:sz="4" w:space="0"/>
              <w:right w:val="single" w:color="000000" w:sz="4" w:space="0"/>
            </w:tcBorders>
            <w:shd w:val="clear" w:color="auto" w:fill="FFE599" w:themeFill="accent4" w:themeFillTint="66"/>
          </w:tcPr>
          <w:p w14:paraId="43FDE4B5">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24</w:t>
            </w:r>
          </w:p>
        </w:tc>
      </w:tr>
    </w:tbl>
    <w:p w14:paraId="6AD47620">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There is a possibility of having delays that may lead to the project taking a longer period than the expected. This may lead to delay of the project’s kickoff period, thus delay in implementation. </w:t>
      </w:r>
    </w:p>
    <w:p w14:paraId="00CE212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This can be mitigated by ensuring all the aspects of the reports are handled keenly and well addressed, with less or no comments at all to allow swift movement of the project activities as with the schedule. </w:t>
      </w:r>
    </w:p>
    <w:p w14:paraId="7EDAE1A8">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b/>
          <w:lang w:bidi="en-US"/>
        </w:rPr>
        <w:t>Divided opinion on project implementations</w:t>
      </w:r>
      <w:r>
        <w:rPr>
          <w:rFonts w:eastAsia="Calibri" w:cs="Calibri"/>
          <w:b/>
          <w:i/>
          <w:lang w:bidi="en-US"/>
        </w:rPr>
        <w:t xml:space="preserve"> (High)</w:t>
      </w:r>
    </w:p>
    <w:p w14:paraId="2E0FD9FA">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Divided opinions can lead to prolonged debates and conflicts, delaying the implementation of the project. This delay may result in missed opportunities, increased costs, and frustration among stakeholders who are eager to see tangible improvements in their communities. Persistent disagreements may erode trust between stakeholders and project implementers, undermining the legitimacy and credibility of the initiative. Without trust, collaboration and cooperation become more challenging, hindering the project's overall effectiveness.</w:t>
      </w:r>
    </w:p>
    <w:tbl>
      <w:tblPr>
        <w:tblStyle w:val="258"/>
        <w:tblW w:w="8080" w:type="dxa"/>
        <w:tblInd w:w="846" w:type="dxa"/>
        <w:tblLayout w:type="autofit"/>
        <w:tblCellMar>
          <w:top w:w="8" w:type="dxa"/>
          <w:left w:w="108" w:type="dxa"/>
          <w:bottom w:w="0" w:type="dxa"/>
          <w:right w:w="105" w:type="dxa"/>
        </w:tblCellMar>
      </w:tblPr>
      <w:tblGrid>
        <w:gridCol w:w="2092"/>
        <w:gridCol w:w="4096"/>
        <w:gridCol w:w="1892"/>
      </w:tblGrid>
      <w:tr w14:paraId="05A25DD7">
        <w:tblPrEx>
          <w:tblCellMar>
            <w:top w:w="8" w:type="dxa"/>
            <w:left w:w="108" w:type="dxa"/>
            <w:bottom w:w="0" w:type="dxa"/>
            <w:right w:w="105" w:type="dxa"/>
          </w:tblCellMar>
        </w:tblPrEx>
        <w:trPr>
          <w:trHeight w:val="240" w:hRule="atLeast"/>
        </w:trPr>
        <w:tc>
          <w:tcPr>
            <w:tcW w:w="2092" w:type="dxa"/>
            <w:tcBorders>
              <w:top w:val="single" w:color="000000" w:sz="4" w:space="0"/>
              <w:left w:val="single" w:color="000000" w:sz="4" w:space="0"/>
              <w:bottom w:val="single" w:color="000000" w:sz="4" w:space="0"/>
              <w:right w:val="nil"/>
            </w:tcBorders>
          </w:tcPr>
          <w:p w14:paraId="312A191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4096" w:type="dxa"/>
            <w:tcBorders>
              <w:top w:val="single" w:color="000000" w:sz="4" w:space="0"/>
              <w:left w:val="nil"/>
              <w:bottom w:val="single" w:color="000000" w:sz="4" w:space="0"/>
              <w:right w:val="single" w:color="000000" w:sz="4" w:space="0"/>
            </w:tcBorders>
          </w:tcPr>
          <w:p w14:paraId="3710ABCB">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1892" w:type="dxa"/>
            <w:tcBorders>
              <w:top w:val="single" w:color="000000" w:sz="4" w:space="0"/>
              <w:left w:val="single" w:color="000000" w:sz="4" w:space="0"/>
              <w:bottom w:val="single" w:color="000000" w:sz="4" w:space="0"/>
              <w:right w:val="single" w:color="000000" w:sz="4" w:space="0"/>
            </w:tcBorders>
          </w:tcPr>
          <w:p w14:paraId="159B65F0">
            <w:pPr>
              <w:widowControl w:val="0"/>
              <w:tabs>
                <w:tab w:val="left" w:pos="709"/>
              </w:tabs>
              <w:autoSpaceDE w:val="0"/>
              <w:autoSpaceDN w:val="0"/>
              <w:spacing w:before="100" w:beforeAutospacing="1" w:after="100" w:afterAutospacing="1" w:line="240" w:lineRule="auto"/>
              <w:ind w:right="3"/>
              <w:jc w:val="both"/>
              <w:rPr>
                <w:rFonts w:eastAsia="Calibri" w:cs="Calibri"/>
                <w:lang w:bidi="en-US"/>
              </w:rPr>
            </w:pPr>
            <w:r>
              <w:rPr>
                <w:rFonts w:eastAsia="Arial" w:cs="Arial"/>
                <w:b/>
                <w:lang w:bidi="en-US"/>
              </w:rPr>
              <w:t xml:space="preserve">Rating </w:t>
            </w:r>
          </w:p>
        </w:tc>
      </w:tr>
      <w:tr w14:paraId="073AF031">
        <w:tblPrEx>
          <w:tblCellMar>
            <w:top w:w="8" w:type="dxa"/>
            <w:left w:w="108" w:type="dxa"/>
            <w:bottom w:w="0" w:type="dxa"/>
            <w:right w:w="105" w:type="dxa"/>
          </w:tblCellMar>
        </w:tblPrEx>
        <w:trPr>
          <w:trHeight w:val="240" w:hRule="atLeast"/>
        </w:trPr>
        <w:tc>
          <w:tcPr>
            <w:tcW w:w="2092" w:type="dxa"/>
            <w:vMerge w:val="restart"/>
            <w:tcBorders>
              <w:top w:val="single" w:color="000000" w:sz="4" w:space="0"/>
              <w:left w:val="single" w:color="000000" w:sz="4" w:space="0"/>
              <w:bottom w:val="single" w:color="000000" w:sz="4" w:space="0"/>
              <w:right w:val="single" w:color="000000" w:sz="4" w:space="0"/>
            </w:tcBorders>
          </w:tcPr>
          <w:p w14:paraId="40F6B6A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4096" w:type="dxa"/>
            <w:tcBorders>
              <w:top w:val="single" w:color="000000" w:sz="4" w:space="0"/>
              <w:left w:val="single" w:color="000000" w:sz="4" w:space="0"/>
              <w:bottom w:val="single" w:color="000000" w:sz="4" w:space="0"/>
              <w:right w:val="single" w:color="000000" w:sz="4" w:space="0"/>
            </w:tcBorders>
          </w:tcPr>
          <w:p w14:paraId="53CB062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1892" w:type="dxa"/>
            <w:tcBorders>
              <w:top w:val="single" w:color="000000" w:sz="4" w:space="0"/>
              <w:left w:val="single" w:color="000000" w:sz="4" w:space="0"/>
              <w:bottom w:val="single" w:color="000000" w:sz="4" w:space="0"/>
              <w:right w:val="single" w:color="000000" w:sz="4" w:space="0"/>
            </w:tcBorders>
          </w:tcPr>
          <w:p w14:paraId="2EB8EBCD">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2D23A238">
        <w:tblPrEx>
          <w:tblCellMar>
            <w:top w:w="8" w:type="dxa"/>
            <w:left w:w="108" w:type="dxa"/>
            <w:bottom w:w="0" w:type="dxa"/>
            <w:right w:w="105" w:type="dxa"/>
          </w:tblCellMar>
        </w:tblPrEx>
        <w:trPr>
          <w:trHeight w:val="240" w:hRule="atLeast"/>
        </w:trPr>
        <w:tc>
          <w:tcPr>
            <w:tcW w:w="2092" w:type="dxa"/>
            <w:vMerge w:val="continue"/>
            <w:tcBorders>
              <w:top w:val="nil"/>
              <w:left w:val="single" w:color="000000" w:sz="4" w:space="0"/>
              <w:bottom w:val="nil"/>
              <w:right w:val="single" w:color="000000" w:sz="4" w:space="0"/>
            </w:tcBorders>
          </w:tcPr>
          <w:p w14:paraId="7B1D3DAC">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96" w:type="dxa"/>
            <w:tcBorders>
              <w:top w:val="single" w:color="000000" w:sz="4" w:space="0"/>
              <w:left w:val="single" w:color="000000" w:sz="4" w:space="0"/>
              <w:bottom w:val="single" w:color="000000" w:sz="4" w:space="0"/>
              <w:right w:val="single" w:color="000000" w:sz="4" w:space="0"/>
            </w:tcBorders>
          </w:tcPr>
          <w:p w14:paraId="2BD3E05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1892" w:type="dxa"/>
            <w:tcBorders>
              <w:top w:val="single" w:color="000000" w:sz="4" w:space="0"/>
              <w:left w:val="single" w:color="000000" w:sz="4" w:space="0"/>
              <w:bottom w:val="single" w:color="000000" w:sz="4" w:space="0"/>
              <w:right w:val="single" w:color="000000" w:sz="4" w:space="0"/>
            </w:tcBorders>
          </w:tcPr>
          <w:p w14:paraId="7A51BF45">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747BB6FC">
        <w:tblPrEx>
          <w:tblCellMar>
            <w:top w:w="8" w:type="dxa"/>
            <w:left w:w="108" w:type="dxa"/>
            <w:bottom w:w="0" w:type="dxa"/>
            <w:right w:w="105" w:type="dxa"/>
          </w:tblCellMar>
        </w:tblPrEx>
        <w:trPr>
          <w:trHeight w:val="240" w:hRule="atLeast"/>
        </w:trPr>
        <w:tc>
          <w:tcPr>
            <w:tcW w:w="2092" w:type="dxa"/>
            <w:vMerge w:val="continue"/>
            <w:tcBorders>
              <w:top w:val="nil"/>
              <w:left w:val="single" w:color="000000" w:sz="4" w:space="0"/>
              <w:bottom w:val="single" w:color="000000" w:sz="4" w:space="0"/>
              <w:right w:val="single" w:color="000000" w:sz="4" w:space="0"/>
            </w:tcBorders>
          </w:tcPr>
          <w:p w14:paraId="4B130467">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96" w:type="dxa"/>
            <w:tcBorders>
              <w:top w:val="single" w:color="000000" w:sz="4" w:space="0"/>
              <w:left w:val="single" w:color="000000" w:sz="4" w:space="0"/>
              <w:bottom w:val="single" w:color="000000" w:sz="4" w:space="0"/>
              <w:right w:val="single" w:color="000000" w:sz="4" w:space="0"/>
            </w:tcBorders>
          </w:tcPr>
          <w:p w14:paraId="339CB6E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1892" w:type="dxa"/>
            <w:tcBorders>
              <w:top w:val="single" w:color="000000" w:sz="4" w:space="0"/>
              <w:left w:val="single" w:color="000000" w:sz="4" w:space="0"/>
              <w:bottom w:val="single" w:color="000000" w:sz="4" w:space="0"/>
              <w:right w:val="single" w:color="000000" w:sz="4" w:space="0"/>
            </w:tcBorders>
          </w:tcPr>
          <w:p w14:paraId="1E2109A5">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0B93C075">
        <w:tblPrEx>
          <w:tblCellMar>
            <w:top w:w="8" w:type="dxa"/>
            <w:left w:w="108" w:type="dxa"/>
            <w:bottom w:w="0" w:type="dxa"/>
            <w:right w:w="105" w:type="dxa"/>
          </w:tblCellMar>
        </w:tblPrEx>
        <w:trPr>
          <w:trHeight w:val="240" w:hRule="atLeast"/>
        </w:trPr>
        <w:tc>
          <w:tcPr>
            <w:tcW w:w="2092" w:type="dxa"/>
            <w:vMerge w:val="restart"/>
            <w:tcBorders>
              <w:top w:val="single" w:color="000000" w:sz="4" w:space="0"/>
              <w:left w:val="single" w:color="000000" w:sz="4" w:space="0"/>
              <w:bottom w:val="single" w:color="000000" w:sz="4" w:space="0"/>
              <w:right w:val="single" w:color="000000" w:sz="4" w:space="0"/>
            </w:tcBorders>
          </w:tcPr>
          <w:p w14:paraId="4927DCA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4096" w:type="dxa"/>
            <w:tcBorders>
              <w:top w:val="single" w:color="000000" w:sz="4" w:space="0"/>
              <w:left w:val="single" w:color="000000" w:sz="4" w:space="0"/>
              <w:bottom w:val="single" w:color="000000" w:sz="4" w:space="0"/>
              <w:right w:val="single" w:color="000000" w:sz="4" w:space="0"/>
            </w:tcBorders>
          </w:tcPr>
          <w:p w14:paraId="1948DD4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1892" w:type="dxa"/>
            <w:tcBorders>
              <w:top w:val="single" w:color="000000" w:sz="4" w:space="0"/>
              <w:left w:val="single" w:color="000000" w:sz="4" w:space="0"/>
              <w:bottom w:val="single" w:color="000000" w:sz="4" w:space="0"/>
              <w:right w:val="single" w:color="000000" w:sz="4" w:space="0"/>
            </w:tcBorders>
          </w:tcPr>
          <w:p w14:paraId="1B5E4BEF">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3</w:t>
            </w:r>
          </w:p>
        </w:tc>
      </w:tr>
      <w:tr w14:paraId="53CAC38A">
        <w:tblPrEx>
          <w:tblCellMar>
            <w:top w:w="8" w:type="dxa"/>
            <w:left w:w="108" w:type="dxa"/>
            <w:bottom w:w="0" w:type="dxa"/>
            <w:right w:w="105" w:type="dxa"/>
          </w:tblCellMar>
        </w:tblPrEx>
        <w:trPr>
          <w:trHeight w:val="241" w:hRule="atLeast"/>
        </w:trPr>
        <w:tc>
          <w:tcPr>
            <w:tcW w:w="2092" w:type="dxa"/>
            <w:vMerge w:val="continue"/>
            <w:tcBorders>
              <w:top w:val="nil"/>
              <w:left w:val="single" w:color="000000" w:sz="4" w:space="0"/>
              <w:bottom w:val="single" w:color="000000" w:sz="4" w:space="0"/>
              <w:right w:val="single" w:color="000000" w:sz="4" w:space="0"/>
            </w:tcBorders>
          </w:tcPr>
          <w:p w14:paraId="3E4AF78F">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96" w:type="dxa"/>
            <w:tcBorders>
              <w:top w:val="single" w:color="000000" w:sz="4" w:space="0"/>
              <w:left w:val="single" w:color="000000" w:sz="4" w:space="0"/>
              <w:bottom w:val="single" w:color="000000" w:sz="4" w:space="0"/>
              <w:right w:val="single" w:color="000000" w:sz="4" w:space="0"/>
            </w:tcBorders>
          </w:tcPr>
          <w:p w14:paraId="5D08057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1892" w:type="dxa"/>
            <w:tcBorders>
              <w:top w:val="single" w:color="000000" w:sz="4" w:space="0"/>
              <w:left w:val="single" w:color="000000" w:sz="4" w:space="0"/>
              <w:bottom w:val="single" w:color="000000" w:sz="4" w:space="0"/>
              <w:right w:val="single" w:color="000000" w:sz="4" w:space="0"/>
            </w:tcBorders>
          </w:tcPr>
          <w:p w14:paraId="17C74C67">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3</w:t>
            </w:r>
          </w:p>
        </w:tc>
      </w:tr>
      <w:tr w14:paraId="7DBC7387">
        <w:tblPrEx>
          <w:tblCellMar>
            <w:top w:w="8" w:type="dxa"/>
            <w:left w:w="108" w:type="dxa"/>
            <w:bottom w:w="0" w:type="dxa"/>
            <w:right w:w="105" w:type="dxa"/>
          </w:tblCellMar>
        </w:tblPrEx>
        <w:trPr>
          <w:trHeight w:val="468" w:hRule="atLeast"/>
        </w:trPr>
        <w:tc>
          <w:tcPr>
            <w:tcW w:w="2092" w:type="dxa"/>
            <w:tcBorders>
              <w:top w:val="single" w:color="000000" w:sz="4" w:space="0"/>
              <w:left w:val="single" w:color="000000" w:sz="4" w:space="0"/>
              <w:bottom w:val="single" w:color="000000" w:sz="4" w:space="0"/>
              <w:right w:val="single" w:color="000000" w:sz="4" w:space="0"/>
            </w:tcBorders>
          </w:tcPr>
          <w:p w14:paraId="24BC60D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Impact Significance Rating (Consequence × likelihood)</w:t>
            </w:r>
            <w:r>
              <w:rPr>
                <w:rFonts w:eastAsia="Arial" w:cs="Arial"/>
                <w:lang w:bidi="en-US"/>
              </w:rPr>
              <w:t xml:space="preserve"> </w:t>
            </w:r>
          </w:p>
        </w:tc>
        <w:tc>
          <w:tcPr>
            <w:tcW w:w="4096" w:type="dxa"/>
            <w:tcBorders>
              <w:top w:val="single" w:color="000000" w:sz="4" w:space="0"/>
              <w:left w:val="single" w:color="000000" w:sz="4" w:space="0"/>
              <w:bottom w:val="single" w:color="000000" w:sz="4" w:space="0"/>
              <w:right w:val="single" w:color="000000" w:sz="4" w:space="0"/>
            </w:tcBorders>
          </w:tcPr>
          <w:p w14:paraId="69DC24E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High </w:t>
            </w:r>
          </w:p>
        </w:tc>
        <w:tc>
          <w:tcPr>
            <w:tcW w:w="1892" w:type="dxa"/>
            <w:tcBorders>
              <w:top w:val="single" w:color="000000" w:sz="4" w:space="0"/>
              <w:left w:val="single" w:color="000000" w:sz="4" w:space="0"/>
              <w:bottom w:val="single" w:color="000000" w:sz="4" w:space="0"/>
              <w:right w:val="single" w:color="000000" w:sz="4" w:space="0"/>
            </w:tcBorders>
            <w:shd w:val="clear" w:color="auto" w:fill="FF0000"/>
          </w:tcPr>
          <w:p w14:paraId="3D804AA5">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30</w:t>
            </w:r>
          </w:p>
        </w:tc>
      </w:tr>
    </w:tbl>
    <w:p w14:paraId="41A90F35">
      <w:pPr>
        <w:widowControl w:val="0"/>
        <w:tabs>
          <w:tab w:val="left" w:pos="709"/>
        </w:tabs>
        <w:autoSpaceDE w:val="0"/>
        <w:autoSpaceDN w:val="0"/>
        <w:spacing w:before="100" w:beforeAutospacing="1" w:after="100" w:afterAutospacing="1" w:line="240" w:lineRule="auto"/>
        <w:ind w:left="709"/>
        <w:jc w:val="both"/>
        <w:rPr>
          <w:rFonts w:eastAsia="Calibri" w:cs="Times New Roman"/>
          <w:bCs/>
          <w:i/>
          <w:lang w:bidi="en-US"/>
        </w:rPr>
      </w:pPr>
      <w:r>
        <w:rPr>
          <w:rFonts w:eastAsia="Calibri" w:cs="Times New Roman"/>
          <w:bCs/>
          <w:i/>
          <w:lang w:bidi="en-US"/>
        </w:rPr>
        <w:t>Mitigation measures</w:t>
      </w:r>
    </w:p>
    <w:p w14:paraId="0DB9463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To address these impacts, it's essential for project implementers to adopt inclusive and participatory approaches that facilitate constructive dialogue, consensus-building, and conflict resolution. </w:t>
      </w:r>
    </w:p>
    <w:p w14:paraId="17C6626D">
      <w:pPr>
        <w:widowControl w:val="0"/>
        <w:numPr>
          <w:ilvl w:val="0"/>
          <w:numId w:val="35"/>
        </w:numPr>
        <w:tabs>
          <w:tab w:val="left" w:pos="709"/>
        </w:tabs>
        <w:autoSpaceDE w:val="0"/>
        <w:autoSpaceDN w:val="0"/>
        <w:spacing w:before="100" w:beforeAutospacing="1" w:after="100" w:afterAutospacing="1" w:line="240" w:lineRule="auto"/>
        <w:ind w:left="709" w:firstLine="0"/>
        <w:contextualSpacing/>
        <w:jc w:val="both"/>
        <w:rPr>
          <w:rFonts w:eastAsia="Calibri" w:cs="Calibri"/>
          <w:lang w:bidi="en-US"/>
        </w:rPr>
      </w:pPr>
      <w:r>
        <w:rPr>
          <w:rFonts w:eastAsia="Calibri" w:cs="Calibri"/>
          <w:lang w:bidi="en-US"/>
        </w:rPr>
        <w:t xml:space="preserve">Engaging stakeholders early and regularly throughout the project lifecycle. </w:t>
      </w:r>
    </w:p>
    <w:p w14:paraId="30BAB1E9">
      <w:pPr>
        <w:widowControl w:val="0"/>
        <w:numPr>
          <w:ilvl w:val="0"/>
          <w:numId w:val="35"/>
        </w:numPr>
        <w:tabs>
          <w:tab w:val="left" w:pos="709"/>
        </w:tabs>
        <w:autoSpaceDE w:val="0"/>
        <w:autoSpaceDN w:val="0"/>
        <w:spacing w:before="100" w:beforeAutospacing="1" w:after="100" w:afterAutospacing="1" w:line="240" w:lineRule="auto"/>
        <w:ind w:left="709" w:firstLine="0"/>
        <w:contextualSpacing/>
        <w:jc w:val="both"/>
        <w:rPr>
          <w:rFonts w:eastAsia="Calibri" w:cs="Calibri"/>
          <w:lang w:bidi="en-US"/>
        </w:rPr>
      </w:pPr>
      <w:r>
        <w:rPr>
          <w:rFonts w:eastAsia="Calibri" w:cs="Calibri"/>
          <w:lang w:bidi="en-US"/>
        </w:rPr>
        <w:t>Conduct extensive public participation and consultation with key stakeholders</w:t>
      </w:r>
    </w:p>
    <w:p w14:paraId="3457260B">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lang w:bidi="en-US"/>
        </w:rPr>
      </w:pPr>
    </w:p>
    <w:p w14:paraId="054807F9">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lang w:bidi="en-US"/>
        </w:rPr>
      </w:pPr>
      <w:r>
        <w:rPr>
          <w:rFonts w:eastAsia="Calibri" w:cs="Calibri"/>
          <w:b/>
          <w:lang w:bidi="en-US"/>
        </w:rPr>
        <w:t>High Expectations of the Local Communities in relation to Jobs (Medium High)</w:t>
      </w:r>
    </w:p>
    <w:p w14:paraId="217AE38E">
      <w:pPr>
        <w:widowControl w:val="0"/>
        <w:tabs>
          <w:tab w:val="left" w:pos="709"/>
        </w:tabs>
        <w:autoSpaceDE w:val="0"/>
        <w:autoSpaceDN w:val="0"/>
        <w:spacing w:before="100" w:beforeAutospacing="1" w:after="100" w:afterAutospacing="1" w:line="240" w:lineRule="auto"/>
        <w:ind w:left="709"/>
        <w:contextualSpacing/>
        <w:jc w:val="both"/>
        <w:rPr>
          <w:rFonts w:eastAsia="Calibri" w:cs="Calibri"/>
          <w:lang w:bidi="en-US"/>
        </w:rPr>
      </w:pPr>
      <w:r>
        <w:rPr>
          <w:rFonts w:eastAsia="Calibri" w:cs="Calibri"/>
          <w:lang w:bidi="en-US"/>
        </w:rPr>
        <w:t>There is within the local population, expectations about jobs creation. Indeed, during the design and survey process, the project will create employment opportunities especially areas neighboring the proposed faecal sludge treatment plant. The jobs will be limited due to the short-term nature of the survey and design period.</w:t>
      </w:r>
    </w:p>
    <w:p w14:paraId="6315A875">
      <w:pPr>
        <w:widowControl w:val="0"/>
        <w:tabs>
          <w:tab w:val="left" w:pos="709"/>
        </w:tabs>
        <w:autoSpaceDE w:val="0"/>
        <w:autoSpaceDN w:val="0"/>
        <w:spacing w:before="100" w:beforeAutospacing="1" w:after="100" w:afterAutospacing="1" w:line="240" w:lineRule="auto"/>
        <w:ind w:left="709"/>
        <w:contextualSpacing/>
        <w:jc w:val="both"/>
        <w:rPr>
          <w:rFonts w:eastAsia="Calibri" w:cs="Calibri"/>
          <w:lang w:bidi="en-US"/>
        </w:rPr>
      </w:pPr>
    </w:p>
    <w:tbl>
      <w:tblPr>
        <w:tblStyle w:val="258"/>
        <w:tblW w:w="8709" w:type="dxa"/>
        <w:tblInd w:w="704" w:type="dxa"/>
        <w:tblLayout w:type="autofit"/>
        <w:tblCellMar>
          <w:top w:w="8" w:type="dxa"/>
          <w:left w:w="108" w:type="dxa"/>
          <w:bottom w:w="0" w:type="dxa"/>
          <w:right w:w="105" w:type="dxa"/>
        </w:tblCellMar>
      </w:tblPr>
      <w:tblGrid>
        <w:gridCol w:w="2234"/>
        <w:gridCol w:w="4209"/>
        <w:gridCol w:w="2266"/>
      </w:tblGrid>
      <w:tr w14:paraId="046067C2">
        <w:tblPrEx>
          <w:tblCellMar>
            <w:top w:w="8" w:type="dxa"/>
            <w:left w:w="108" w:type="dxa"/>
            <w:bottom w:w="0" w:type="dxa"/>
            <w:right w:w="105" w:type="dxa"/>
          </w:tblCellMar>
        </w:tblPrEx>
        <w:trPr>
          <w:trHeight w:val="240" w:hRule="atLeast"/>
          <w:tblHeader/>
        </w:trPr>
        <w:tc>
          <w:tcPr>
            <w:tcW w:w="2234" w:type="dxa"/>
            <w:tcBorders>
              <w:top w:val="single" w:color="000000" w:sz="4" w:space="0"/>
              <w:left w:val="single" w:color="000000" w:sz="4" w:space="0"/>
              <w:bottom w:val="single" w:color="000000" w:sz="4" w:space="0"/>
              <w:right w:val="nil"/>
            </w:tcBorders>
          </w:tcPr>
          <w:p w14:paraId="027893A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4209" w:type="dxa"/>
            <w:tcBorders>
              <w:top w:val="single" w:color="000000" w:sz="4" w:space="0"/>
              <w:left w:val="nil"/>
              <w:bottom w:val="single" w:color="000000" w:sz="4" w:space="0"/>
              <w:right w:val="single" w:color="000000" w:sz="4" w:space="0"/>
            </w:tcBorders>
          </w:tcPr>
          <w:p w14:paraId="66C4678B">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2266" w:type="dxa"/>
            <w:tcBorders>
              <w:top w:val="single" w:color="000000" w:sz="4" w:space="0"/>
              <w:left w:val="single" w:color="000000" w:sz="4" w:space="0"/>
              <w:bottom w:val="single" w:color="000000" w:sz="4" w:space="0"/>
              <w:right w:val="single" w:color="000000" w:sz="4" w:space="0"/>
            </w:tcBorders>
          </w:tcPr>
          <w:p w14:paraId="17C53A75">
            <w:pPr>
              <w:widowControl w:val="0"/>
              <w:tabs>
                <w:tab w:val="left" w:pos="709"/>
              </w:tabs>
              <w:autoSpaceDE w:val="0"/>
              <w:autoSpaceDN w:val="0"/>
              <w:spacing w:before="100" w:beforeAutospacing="1" w:after="100" w:afterAutospacing="1" w:line="240" w:lineRule="auto"/>
              <w:ind w:right="3"/>
              <w:jc w:val="both"/>
              <w:rPr>
                <w:rFonts w:eastAsia="Calibri" w:cs="Calibri"/>
                <w:lang w:bidi="en-US"/>
              </w:rPr>
            </w:pPr>
            <w:r>
              <w:rPr>
                <w:rFonts w:eastAsia="Arial" w:cs="Arial"/>
                <w:b/>
                <w:lang w:bidi="en-US"/>
              </w:rPr>
              <w:t xml:space="preserve">Rating </w:t>
            </w:r>
          </w:p>
        </w:tc>
      </w:tr>
      <w:tr w14:paraId="1F55680E">
        <w:tblPrEx>
          <w:tblCellMar>
            <w:top w:w="8" w:type="dxa"/>
            <w:left w:w="108" w:type="dxa"/>
            <w:bottom w:w="0" w:type="dxa"/>
            <w:right w:w="105" w:type="dxa"/>
          </w:tblCellMar>
        </w:tblPrEx>
        <w:trPr>
          <w:trHeight w:val="240" w:hRule="atLeast"/>
        </w:trPr>
        <w:tc>
          <w:tcPr>
            <w:tcW w:w="2234" w:type="dxa"/>
            <w:vMerge w:val="restart"/>
            <w:tcBorders>
              <w:top w:val="single" w:color="000000" w:sz="4" w:space="0"/>
              <w:left w:val="single" w:color="000000" w:sz="4" w:space="0"/>
              <w:bottom w:val="single" w:color="000000" w:sz="4" w:space="0"/>
              <w:right w:val="single" w:color="000000" w:sz="4" w:space="0"/>
            </w:tcBorders>
          </w:tcPr>
          <w:p w14:paraId="01793B5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4209" w:type="dxa"/>
            <w:tcBorders>
              <w:top w:val="single" w:color="000000" w:sz="4" w:space="0"/>
              <w:left w:val="single" w:color="000000" w:sz="4" w:space="0"/>
              <w:bottom w:val="single" w:color="000000" w:sz="4" w:space="0"/>
              <w:right w:val="single" w:color="000000" w:sz="4" w:space="0"/>
            </w:tcBorders>
          </w:tcPr>
          <w:p w14:paraId="22E7605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2266" w:type="dxa"/>
            <w:tcBorders>
              <w:top w:val="single" w:color="000000" w:sz="4" w:space="0"/>
              <w:left w:val="single" w:color="000000" w:sz="4" w:space="0"/>
              <w:bottom w:val="single" w:color="000000" w:sz="4" w:space="0"/>
              <w:right w:val="single" w:color="000000" w:sz="4" w:space="0"/>
            </w:tcBorders>
          </w:tcPr>
          <w:p w14:paraId="21679F42">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Calibri" w:cs="Calibri"/>
                <w:lang w:bidi="en-US"/>
              </w:rPr>
              <w:t>3</w:t>
            </w:r>
          </w:p>
        </w:tc>
      </w:tr>
      <w:tr w14:paraId="27F084D7">
        <w:tblPrEx>
          <w:tblCellMar>
            <w:top w:w="8" w:type="dxa"/>
            <w:left w:w="108" w:type="dxa"/>
            <w:bottom w:w="0" w:type="dxa"/>
            <w:right w:w="105" w:type="dxa"/>
          </w:tblCellMar>
        </w:tblPrEx>
        <w:trPr>
          <w:trHeight w:val="240" w:hRule="atLeast"/>
        </w:trPr>
        <w:tc>
          <w:tcPr>
            <w:tcW w:w="2234" w:type="dxa"/>
            <w:vMerge w:val="continue"/>
            <w:tcBorders>
              <w:top w:val="nil"/>
              <w:left w:val="single" w:color="000000" w:sz="4" w:space="0"/>
              <w:bottom w:val="nil"/>
              <w:right w:val="single" w:color="000000" w:sz="4" w:space="0"/>
            </w:tcBorders>
          </w:tcPr>
          <w:p w14:paraId="2A859E57">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4209" w:type="dxa"/>
            <w:tcBorders>
              <w:top w:val="single" w:color="000000" w:sz="4" w:space="0"/>
              <w:left w:val="single" w:color="000000" w:sz="4" w:space="0"/>
              <w:bottom w:val="single" w:color="000000" w:sz="4" w:space="0"/>
              <w:right w:val="single" w:color="000000" w:sz="4" w:space="0"/>
            </w:tcBorders>
          </w:tcPr>
          <w:p w14:paraId="6318491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2266" w:type="dxa"/>
            <w:tcBorders>
              <w:top w:val="single" w:color="000000" w:sz="4" w:space="0"/>
              <w:left w:val="single" w:color="000000" w:sz="4" w:space="0"/>
              <w:bottom w:val="single" w:color="000000" w:sz="4" w:space="0"/>
              <w:right w:val="single" w:color="000000" w:sz="4" w:space="0"/>
            </w:tcBorders>
          </w:tcPr>
          <w:p w14:paraId="35B97CAB">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67EB07FF">
        <w:tblPrEx>
          <w:tblCellMar>
            <w:top w:w="8" w:type="dxa"/>
            <w:left w:w="108" w:type="dxa"/>
            <w:bottom w:w="0" w:type="dxa"/>
            <w:right w:w="105" w:type="dxa"/>
          </w:tblCellMar>
        </w:tblPrEx>
        <w:trPr>
          <w:trHeight w:val="240" w:hRule="atLeast"/>
        </w:trPr>
        <w:tc>
          <w:tcPr>
            <w:tcW w:w="2234" w:type="dxa"/>
            <w:vMerge w:val="continue"/>
            <w:tcBorders>
              <w:top w:val="nil"/>
              <w:left w:val="single" w:color="000000" w:sz="4" w:space="0"/>
              <w:bottom w:val="single" w:color="000000" w:sz="4" w:space="0"/>
              <w:right w:val="single" w:color="000000" w:sz="4" w:space="0"/>
            </w:tcBorders>
          </w:tcPr>
          <w:p w14:paraId="5124E1FA">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4209" w:type="dxa"/>
            <w:tcBorders>
              <w:top w:val="single" w:color="000000" w:sz="4" w:space="0"/>
              <w:left w:val="single" w:color="000000" w:sz="4" w:space="0"/>
              <w:bottom w:val="single" w:color="000000" w:sz="4" w:space="0"/>
              <w:right w:val="single" w:color="000000" w:sz="4" w:space="0"/>
            </w:tcBorders>
          </w:tcPr>
          <w:p w14:paraId="0EFE24A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2266" w:type="dxa"/>
            <w:tcBorders>
              <w:top w:val="single" w:color="000000" w:sz="4" w:space="0"/>
              <w:left w:val="single" w:color="000000" w:sz="4" w:space="0"/>
              <w:bottom w:val="single" w:color="000000" w:sz="4" w:space="0"/>
              <w:right w:val="single" w:color="000000" w:sz="4" w:space="0"/>
            </w:tcBorders>
          </w:tcPr>
          <w:p w14:paraId="46D1565D">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6C6B1D2A">
        <w:tblPrEx>
          <w:tblCellMar>
            <w:top w:w="8" w:type="dxa"/>
            <w:left w:w="108" w:type="dxa"/>
            <w:bottom w:w="0" w:type="dxa"/>
            <w:right w:w="105" w:type="dxa"/>
          </w:tblCellMar>
        </w:tblPrEx>
        <w:trPr>
          <w:trHeight w:val="240" w:hRule="atLeast"/>
        </w:trPr>
        <w:tc>
          <w:tcPr>
            <w:tcW w:w="2234" w:type="dxa"/>
            <w:vMerge w:val="restart"/>
            <w:tcBorders>
              <w:top w:val="single" w:color="000000" w:sz="4" w:space="0"/>
              <w:left w:val="single" w:color="000000" w:sz="4" w:space="0"/>
              <w:bottom w:val="single" w:color="000000" w:sz="4" w:space="0"/>
              <w:right w:val="single" w:color="000000" w:sz="4" w:space="0"/>
            </w:tcBorders>
          </w:tcPr>
          <w:p w14:paraId="3E9EB62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4209" w:type="dxa"/>
            <w:tcBorders>
              <w:top w:val="single" w:color="000000" w:sz="4" w:space="0"/>
              <w:left w:val="single" w:color="000000" w:sz="4" w:space="0"/>
              <w:bottom w:val="single" w:color="000000" w:sz="4" w:space="0"/>
              <w:right w:val="single" w:color="000000" w:sz="4" w:space="0"/>
            </w:tcBorders>
          </w:tcPr>
          <w:p w14:paraId="69BEBAF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2266" w:type="dxa"/>
            <w:tcBorders>
              <w:top w:val="single" w:color="000000" w:sz="4" w:space="0"/>
              <w:left w:val="single" w:color="000000" w:sz="4" w:space="0"/>
              <w:bottom w:val="single" w:color="000000" w:sz="4" w:space="0"/>
              <w:right w:val="single" w:color="000000" w:sz="4" w:space="0"/>
            </w:tcBorders>
          </w:tcPr>
          <w:p w14:paraId="5516F2BD">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3</w:t>
            </w:r>
          </w:p>
        </w:tc>
      </w:tr>
      <w:tr w14:paraId="060076EF">
        <w:tblPrEx>
          <w:tblCellMar>
            <w:top w:w="8" w:type="dxa"/>
            <w:left w:w="108" w:type="dxa"/>
            <w:bottom w:w="0" w:type="dxa"/>
            <w:right w:w="105" w:type="dxa"/>
          </w:tblCellMar>
        </w:tblPrEx>
        <w:trPr>
          <w:trHeight w:val="241" w:hRule="atLeast"/>
        </w:trPr>
        <w:tc>
          <w:tcPr>
            <w:tcW w:w="2234" w:type="dxa"/>
            <w:vMerge w:val="continue"/>
            <w:tcBorders>
              <w:top w:val="nil"/>
              <w:left w:val="single" w:color="000000" w:sz="4" w:space="0"/>
              <w:bottom w:val="single" w:color="000000" w:sz="4" w:space="0"/>
              <w:right w:val="single" w:color="000000" w:sz="4" w:space="0"/>
            </w:tcBorders>
          </w:tcPr>
          <w:p w14:paraId="644AD2A9">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4209" w:type="dxa"/>
            <w:tcBorders>
              <w:top w:val="single" w:color="000000" w:sz="4" w:space="0"/>
              <w:left w:val="single" w:color="000000" w:sz="4" w:space="0"/>
              <w:bottom w:val="single" w:color="000000" w:sz="4" w:space="0"/>
              <w:right w:val="single" w:color="000000" w:sz="4" w:space="0"/>
            </w:tcBorders>
          </w:tcPr>
          <w:p w14:paraId="258087B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2266" w:type="dxa"/>
            <w:tcBorders>
              <w:top w:val="single" w:color="000000" w:sz="4" w:space="0"/>
              <w:left w:val="single" w:color="000000" w:sz="4" w:space="0"/>
              <w:bottom w:val="single" w:color="000000" w:sz="4" w:space="0"/>
              <w:right w:val="single" w:color="000000" w:sz="4" w:space="0"/>
            </w:tcBorders>
          </w:tcPr>
          <w:p w14:paraId="4EE36E04">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3E408F16">
        <w:tblPrEx>
          <w:tblCellMar>
            <w:top w:w="8" w:type="dxa"/>
            <w:left w:w="108" w:type="dxa"/>
            <w:bottom w:w="0" w:type="dxa"/>
            <w:right w:w="105" w:type="dxa"/>
          </w:tblCellMar>
        </w:tblPrEx>
        <w:trPr>
          <w:trHeight w:val="468" w:hRule="atLeast"/>
        </w:trPr>
        <w:tc>
          <w:tcPr>
            <w:tcW w:w="2234" w:type="dxa"/>
            <w:tcBorders>
              <w:top w:val="single" w:color="000000" w:sz="4" w:space="0"/>
              <w:left w:val="single" w:color="000000" w:sz="4" w:space="0"/>
              <w:bottom w:val="single" w:color="000000" w:sz="4" w:space="0"/>
              <w:right w:val="single" w:color="000000" w:sz="4" w:space="0"/>
            </w:tcBorders>
          </w:tcPr>
          <w:p w14:paraId="5ADF5C6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4209" w:type="dxa"/>
            <w:tcBorders>
              <w:top w:val="single" w:color="000000" w:sz="4" w:space="0"/>
              <w:left w:val="single" w:color="000000" w:sz="4" w:space="0"/>
              <w:bottom w:val="single" w:color="000000" w:sz="4" w:space="0"/>
              <w:right w:val="single" w:color="000000" w:sz="4" w:space="0"/>
            </w:tcBorders>
          </w:tcPr>
          <w:p w14:paraId="45E7DFD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Medium High</w:t>
            </w:r>
          </w:p>
        </w:tc>
        <w:tc>
          <w:tcPr>
            <w:tcW w:w="2266" w:type="dxa"/>
            <w:tcBorders>
              <w:top w:val="single" w:color="000000" w:sz="4" w:space="0"/>
              <w:left w:val="single" w:color="000000" w:sz="4" w:space="0"/>
              <w:bottom w:val="single" w:color="000000" w:sz="4" w:space="0"/>
              <w:right w:val="single" w:color="000000" w:sz="4" w:space="0"/>
            </w:tcBorders>
            <w:shd w:val="clear" w:color="auto" w:fill="FFE599" w:themeFill="accent4" w:themeFillTint="66"/>
          </w:tcPr>
          <w:p w14:paraId="6B83E6F7">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24</w:t>
            </w:r>
          </w:p>
        </w:tc>
      </w:tr>
    </w:tbl>
    <w:p w14:paraId="272F541C">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i/>
          <w:lang w:bidi="en-US"/>
        </w:rPr>
      </w:pPr>
    </w:p>
    <w:p w14:paraId="4DBE147C">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i/>
          <w:lang w:bidi="en-US"/>
        </w:rPr>
      </w:pPr>
      <w:r>
        <w:rPr>
          <w:rFonts w:eastAsia="Calibri" w:cs="Calibri"/>
          <w:b/>
          <w:i/>
          <w:lang w:bidi="en-US"/>
        </w:rPr>
        <w:t>Mitigation Measures:</w:t>
      </w:r>
    </w:p>
    <w:p w14:paraId="1024BC8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The hiring requirements must be clear, properly publicized before the start of the recruitment process and respected by the design team. For a better impact on the communities this process shall be conducted with the involvement of local leaders;</w:t>
      </w:r>
    </w:p>
    <w:p w14:paraId="6C624F7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 the event there are local expectations for employment that cannot be met by the project, the limited availability of places shall be made known to the interested parties through local authorities; and</w:t>
      </w:r>
    </w:p>
    <w:p w14:paraId="128EF40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The principles and procedures for hiring shall, as far as possible, give priority to the hiring of skilled local workers.</w:t>
      </w:r>
    </w:p>
    <w:p w14:paraId="128AEFCD">
      <w:pPr>
        <w:widowControl w:val="0"/>
        <w:tabs>
          <w:tab w:val="left" w:pos="709"/>
        </w:tabs>
        <w:autoSpaceDE w:val="0"/>
        <w:autoSpaceDN w:val="0"/>
        <w:spacing w:before="100" w:beforeAutospacing="1" w:after="100" w:afterAutospacing="1" w:line="240" w:lineRule="auto"/>
        <w:contextualSpacing/>
        <w:jc w:val="both"/>
        <w:rPr>
          <w:rFonts w:eastAsia="Calibri" w:cs="Calibri"/>
          <w:lang w:bidi="en-US"/>
        </w:rPr>
      </w:pPr>
    </w:p>
    <w:p w14:paraId="11337C58">
      <w:pPr>
        <w:keepNext/>
        <w:keepLines/>
        <w:tabs>
          <w:tab w:val="left" w:pos="709"/>
        </w:tabs>
        <w:spacing w:before="100" w:beforeAutospacing="1" w:after="100" w:afterAutospacing="1" w:line="240" w:lineRule="auto"/>
        <w:jc w:val="both"/>
        <w:outlineLvl w:val="1"/>
        <w:rPr>
          <w:rFonts w:eastAsia="Times New Roman Bold" w:cstheme="minorHAnsi"/>
          <w:b/>
          <w:bCs/>
          <w:iCs/>
          <w:lang w:eastAsia="ja-JP"/>
        </w:rPr>
      </w:pPr>
      <w:bookmarkStart w:id="443" w:name="_Toc171919793"/>
      <w:bookmarkStart w:id="444" w:name="_Toc165906829"/>
      <w:bookmarkStart w:id="445" w:name="_Toc165890391"/>
      <w:bookmarkStart w:id="446" w:name="_Toc165641102"/>
      <w:bookmarkStart w:id="447" w:name="_Toc165612420"/>
      <w:bookmarkStart w:id="448" w:name="_Toc173301469"/>
      <w:bookmarkStart w:id="449" w:name="_Toc165648425"/>
      <w:bookmarkStart w:id="450" w:name="_Toc168582317"/>
      <w:bookmarkStart w:id="451" w:name="_Toc165555079"/>
      <w:bookmarkStart w:id="452" w:name="_Toc179904096"/>
      <w:r>
        <w:rPr>
          <w:rFonts w:eastAsia="Times New Roman Bold" w:cstheme="minorHAnsi"/>
          <w:b/>
          <w:bCs/>
          <w:iCs/>
          <w:lang w:eastAsia="ja-JP"/>
        </w:rPr>
        <w:t>8.7</w:t>
      </w:r>
      <w:r>
        <w:rPr>
          <w:rFonts w:eastAsia="Times New Roman Bold" w:cstheme="minorHAnsi"/>
          <w:b/>
          <w:bCs/>
          <w:iCs/>
          <w:lang w:eastAsia="ja-JP"/>
        </w:rPr>
        <w:tab/>
      </w:r>
      <w:r>
        <w:rPr>
          <w:rFonts w:eastAsia="Times New Roman Bold" w:cstheme="minorHAnsi"/>
          <w:b/>
          <w:bCs/>
          <w:iCs/>
          <w:lang w:eastAsia="ja-JP"/>
        </w:rPr>
        <w:t>Anticipated Negative Impacts during Construction</w:t>
      </w:r>
      <w:bookmarkEnd w:id="443"/>
      <w:bookmarkEnd w:id="444"/>
      <w:bookmarkEnd w:id="445"/>
      <w:bookmarkEnd w:id="446"/>
      <w:bookmarkEnd w:id="447"/>
      <w:bookmarkEnd w:id="448"/>
      <w:bookmarkEnd w:id="449"/>
      <w:bookmarkEnd w:id="450"/>
      <w:bookmarkEnd w:id="451"/>
      <w:bookmarkEnd w:id="452"/>
    </w:p>
    <w:p w14:paraId="7F35F55C">
      <w:pPr>
        <w:widowControl w:val="0"/>
        <w:tabs>
          <w:tab w:val="left" w:pos="709"/>
        </w:tabs>
        <w:autoSpaceDE w:val="0"/>
        <w:autoSpaceDN w:val="0"/>
        <w:spacing w:before="100" w:beforeAutospacing="1" w:after="100" w:afterAutospacing="1" w:line="240" w:lineRule="auto"/>
        <w:ind w:left="709"/>
        <w:jc w:val="both"/>
        <w:rPr>
          <w:rFonts w:eastAsia="Times New Roman" w:cs="Times New Roman"/>
          <w:b/>
          <w:lang w:bidi="en-US"/>
        </w:rPr>
      </w:pPr>
      <w:r>
        <w:rPr>
          <w:rFonts w:eastAsia="Times New Roman" w:cs="Times New Roman"/>
          <w:b/>
          <w:lang w:bidi="en-US"/>
        </w:rPr>
        <w:t>Noise and Excessive Vibrations.</w:t>
      </w:r>
      <w:r>
        <w:rPr>
          <w:rFonts w:eastAsia="Calibri" w:cs="Calibri"/>
          <w:b/>
          <w:i/>
          <w:lang w:bidi="en-US"/>
        </w:rPr>
        <w:t xml:space="preserve"> </w:t>
      </w:r>
      <w:r>
        <w:rPr>
          <w:rFonts w:eastAsia="Times New Roman" w:cs="Times New Roman"/>
          <w:b/>
          <w:i/>
          <w:lang w:bidi="en-US"/>
        </w:rPr>
        <w:t>(Very High)</w:t>
      </w:r>
    </w:p>
    <w:p w14:paraId="5412CFDE">
      <w:pPr>
        <w:widowControl w:val="0"/>
        <w:tabs>
          <w:tab w:val="left" w:pos="709"/>
        </w:tabs>
        <w:autoSpaceDE w:val="0"/>
        <w:autoSpaceDN w:val="0"/>
        <w:spacing w:before="100" w:beforeAutospacing="1" w:after="100" w:afterAutospacing="1" w:line="240" w:lineRule="auto"/>
        <w:ind w:left="709"/>
        <w:jc w:val="both"/>
        <w:rPr>
          <w:rFonts w:eastAsia="Times New Roman" w:cs="Times New Roman"/>
          <w:i/>
          <w:iCs/>
          <w:color w:val="44546A" w:themeColor="text2"/>
          <w:lang w:bidi="en-US"/>
          <w14:textFill>
            <w14:solidFill>
              <w14:schemeClr w14:val="tx2"/>
            </w14:solidFill>
          </w14:textFill>
        </w:rPr>
      </w:pPr>
      <w:bookmarkStart w:id="453" w:name="_Toc173252922"/>
      <w:bookmarkStart w:id="454" w:name="_Toc168326944"/>
      <w:bookmarkStart w:id="455" w:name="_Toc171916983"/>
      <w:bookmarkStart w:id="456" w:name="_Toc167798469"/>
      <w:bookmarkStart w:id="457" w:name="_Toc171493413"/>
      <w:r>
        <w:rPr>
          <w:rFonts w:eastAsia="Times New Roman" w:cs="Times New Roman"/>
          <w:lang w:bidi="en-US"/>
        </w:rPr>
        <w:t xml:space="preserve">Noise may pose a nuisance to people living or working close to construction sites and along transportation routes due to the use of heavy equipment and vehicles. The intensity of this impact will vary depending on the location. </w:t>
      </w:r>
      <w:bookmarkEnd w:id="453"/>
      <w:bookmarkEnd w:id="454"/>
      <w:bookmarkEnd w:id="455"/>
      <w:bookmarkEnd w:id="456"/>
      <w:bookmarkEnd w:id="457"/>
    </w:p>
    <w:tbl>
      <w:tblPr>
        <w:tblStyle w:val="258"/>
        <w:tblW w:w="8709" w:type="dxa"/>
        <w:tblInd w:w="704" w:type="dxa"/>
        <w:tblLayout w:type="autofit"/>
        <w:tblCellMar>
          <w:top w:w="8" w:type="dxa"/>
          <w:left w:w="106" w:type="dxa"/>
          <w:bottom w:w="0" w:type="dxa"/>
          <w:right w:w="115" w:type="dxa"/>
        </w:tblCellMar>
      </w:tblPr>
      <w:tblGrid>
        <w:gridCol w:w="2325"/>
        <w:gridCol w:w="4118"/>
        <w:gridCol w:w="2266"/>
      </w:tblGrid>
      <w:tr w14:paraId="4A794F5B">
        <w:tblPrEx>
          <w:tblCellMar>
            <w:top w:w="8" w:type="dxa"/>
            <w:left w:w="106" w:type="dxa"/>
            <w:bottom w:w="0" w:type="dxa"/>
            <w:right w:w="115" w:type="dxa"/>
          </w:tblCellMar>
        </w:tblPrEx>
        <w:trPr>
          <w:trHeight w:val="240" w:hRule="atLeast"/>
        </w:trPr>
        <w:tc>
          <w:tcPr>
            <w:tcW w:w="2325" w:type="dxa"/>
            <w:tcBorders>
              <w:top w:val="single" w:color="000000" w:sz="4" w:space="0"/>
              <w:left w:val="single" w:color="000000" w:sz="4" w:space="0"/>
              <w:bottom w:val="single" w:color="000000" w:sz="4" w:space="0"/>
              <w:right w:val="nil"/>
            </w:tcBorders>
          </w:tcPr>
          <w:p w14:paraId="70BD64D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4118" w:type="dxa"/>
            <w:tcBorders>
              <w:top w:val="single" w:color="000000" w:sz="4" w:space="0"/>
              <w:left w:val="nil"/>
              <w:bottom w:val="single" w:color="000000" w:sz="4" w:space="0"/>
              <w:right w:val="single" w:color="000000" w:sz="4" w:space="0"/>
            </w:tcBorders>
          </w:tcPr>
          <w:p w14:paraId="2CD198B8">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2266" w:type="dxa"/>
            <w:tcBorders>
              <w:top w:val="single" w:color="000000" w:sz="4" w:space="0"/>
              <w:left w:val="single" w:color="000000" w:sz="4" w:space="0"/>
              <w:bottom w:val="single" w:color="000000" w:sz="4" w:space="0"/>
              <w:right w:val="single" w:color="000000" w:sz="4" w:space="0"/>
            </w:tcBorders>
          </w:tcPr>
          <w:p w14:paraId="7FDC88CE">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Arial" w:cs="Arial"/>
                <w:b/>
                <w:lang w:bidi="en-US"/>
              </w:rPr>
              <w:t xml:space="preserve">Rating </w:t>
            </w:r>
          </w:p>
        </w:tc>
      </w:tr>
      <w:tr w14:paraId="75825639">
        <w:tblPrEx>
          <w:tblCellMar>
            <w:top w:w="8" w:type="dxa"/>
            <w:left w:w="106" w:type="dxa"/>
            <w:bottom w:w="0" w:type="dxa"/>
            <w:right w:w="115" w:type="dxa"/>
          </w:tblCellMar>
        </w:tblPrEx>
        <w:trPr>
          <w:trHeight w:val="240" w:hRule="atLeast"/>
        </w:trPr>
        <w:tc>
          <w:tcPr>
            <w:tcW w:w="2325" w:type="dxa"/>
            <w:vMerge w:val="restart"/>
            <w:tcBorders>
              <w:top w:val="single" w:color="000000" w:sz="4" w:space="0"/>
              <w:left w:val="single" w:color="000000" w:sz="4" w:space="0"/>
              <w:bottom w:val="single" w:color="000000" w:sz="4" w:space="0"/>
              <w:right w:val="single" w:color="000000" w:sz="4" w:space="0"/>
            </w:tcBorders>
          </w:tcPr>
          <w:p w14:paraId="2AE62E1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4118" w:type="dxa"/>
            <w:tcBorders>
              <w:top w:val="single" w:color="000000" w:sz="4" w:space="0"/>
              <w:left w:val="single" w:color="000000" w:sz="4" w:space="0"/>
              <w:bottom w:val="single" w:color="000000" w:sz="4" w:space="0"/>
              <w:right w:val="single" w:color="000000" w:sz="4" w:space="0"/>
            </w:tcBorders>
          </w:tcPr>
          <w:p w14:paraId="5B835F5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2266" w:type="dxa"/>
            <w:tcBorders>
              <w:top w:val="single" w:color="000000" w:sz="4" w:space="0"/>
              <w:left w:val="single" w:color="000000" w:sz="4" w:space="0"/>
              <w:bottom w:val="single" w:color="000000" w:sz="4" w:space="0"/>
              <w:right w:val="single" w:color="000000" w:sz="4" w:space="0"/>
            </w:tcBorders>
          </w:tcPr>
          <w:p w14:paraId="59ED091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w:t>
            </w:r>
          </w:p>
        </w:tc>
      </w:tr>
      <w:tr w14:paraId="15684903">
        <w:tblPrEx>
          <w:tblCellMar>
            <w:top w:w="8" w:type="dxa"/>
            <w:left w:w="106" w:type="dxa"/>
            <w:bottom w:w="0" w:type="dxa"/>
            <w:right w:w="115" w:type="dxa"/>
          </w:tblCellMar>
        </w:tblPrEx>
        <w:trPr>
          <w:trHeight w:val="262" w:hRule="atLeast"/>
        </w:trPr>
        <w:tc>
          <w:tcPr>
            <w:tcW w:w="2325" w:type="dxa"/>
            <w:vMerge w:val="continue"/>
            <w:tcBorders>
              <w:top w:val="nil"/>
              <w:left w:val="single" w:color="000000" w:sz="4" w:space="0"/>
              <w:bottom w:val="nil"/>
              <w:right w:val="single" w:color="000000" w:sz="4" w:space="0"/>
            </w:tcBorders>
          </w:tcPr>
          <w:p w14:paraId="2432C29E">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118" w:type="dxa"/>
            <w:tcBorders>
              <w:top w:val="single" w:color="000000" w:sz="4" w:space="0"/>
              <w:left w:val="single" w:color="000000" w:sz="4" w:space="0"/>
              <w:bottom w:val="single" w:color="000000" w:sz="4" w:space="0"/>
              <w:right w:val="single" w:color="000000" w:sz="4" w:space="0"/>
            </w:tcBorders>
          </w:tcPr>
          <w:p w14:paraId="4A60EF4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2266" w:type="dxa"/>
            <w:tcBorders>
              <w:top w:val="single" w:color="000000" w:sz="4" w:space="0"/>
              <w:left w:val="single" w:color="000000" w:sz="4" w:space="0"/>
              <w:bottom w:val="single" w:color="000000" w:sz="4" w:space="0"/>
              <w:right w:val="single" w:color="000000" w:sz="4" w:space="0"/>
            </w:tcBorders>
          </w:tcPr>
          <w:p w14:paraId="03C771E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w:t>
            </w:r>
          </w:p>
        </w:tc>
      </w:tr>
      <w:tr w14:paraId="1D8A9223">
        <w:tblPrEx>
          <w:tblCellMar>
            <w:top w:w="8" w:type="dxa"/>
            <w:left w:w="106" w:type="dxa"/>
            <w:bottom w:w="0" w:type="dxa"/>
            <w:right w:w="115" w:type="dxa"/>
          </w:tblCellMar>
        </w:tblPrEx>
        <w:trPr>
          <w:trHeight w:val="264" w:hRule="atLeast"/>
        </w:trPr>
        <w:tc>
          <w:tcPr>
            <w:tcW w:w="2325" w:type="dxa"/>
            <w:vMerge w:val="continue"/>
            <w:tcBorders>
              <w:top w:val="nil"/>
              <w:left w:val="single" w:color="000000" w:sz="4" w:space="0"/>
              <w:bottom w:val="single" w:color="000000" w:sz="4" w:space="0"/>
              <w:right w:val="single" w:color="000000" w:sz="4" w:space="0"/>
            </w:tcBorders>
          </w:tcPr>
          <w:p w14:paraId="5CC5B920">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118" w:type="dxa"/>
            <w:tcBorders>
              <w:top w:val="single" w:color="000000" w:sz="4" w:space="0"/>
              <w:left w:val="single" w:color="000000" w:sz="4" w:space="0"/>
              <w:bottom w:val="single" w:color="000000" w:sz="4" w:space="0"/>
              <w:right w:val="single" w:color="000000" w:sz="4" w:space="0"/>
            </w:tcBorders>
          </w:tcPr>
          <w:p w14:paraId="285BF3F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2266" w:type="dxa"/>
            <w:tcBorders>
              <w:top w:val="single" w:color="000000" w:sz="4" w:space="0"/>
              <w:left w:val="single" w:color="000000" w:sz="4" w:space="0"/>
              <w:bottom w:val="single" w:color="000000" w:sz="4" w:space="0"/>
              <w:right w:val="single" w:color="000000" w:sz="4" w:space="0"/>
            </w:tcBorders>
          </w:tcPr>
          <w:p w14:paraId="6AAA2CE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w:t>
            </w:r>
          </w:p>
        </w:tc>
      </w:tr>
      <w:tr w14:paraId="09AE4263">
        <w:tblPrEx>
          <w:tblCellMar>
            <w:top w:w="8" w:type="dxa"/>
            <w:left w:w="106" w:type="dxa"/>
            <w:bottom w:w="0" w:type="dxa"/>
            <w:right w:w="115" w:type="dxa"/>
          </w:tblCellMar>
        </w:tblPrEx>
        <w:trPr>
          <w:trHeight w:val="264" w:hRule="atLeast"/>
        </w:trPr>
        <w:tc>
          <w:tcPr>
            <w:tcW w:w="2325" w:type="dxa"/>
            <w:vMerge w:val="restart"/>
            <w:tcBorders>
              <w:top w:val="single" w:color="000000" w:sz="4" w:space="0"/>
              <w:left w:val="single" w:color="000000" w:sz="4" w:space="0"/>
              <w:bottom w:val="single" w:color="000000" w:sz="4" w:space="0"/>
              <w:right w:val="single" w:color="000000" w:sz="4" w:space="0"/>
            </w:tcBorders>
          </w:tcPr>
          <w:p w14:paraId="6814FCD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4118" w:type="dxa"/>
            <w:tcBorders>
              <w:top w:val="single" w:color="000000" w:sz="4" w:space="0"/>
              <w:left w:val="single" w:color="000000" w:sz="4" w:space="0"/>
              <w:bottom w:val="single" w:color="000000" w:sz="4" w:space="0"/>
              <w:right w:val="single" w:color="000000" w:sz="4" w:space="0"/>
            </w:tcBorders>
          </w:tcPr>
          <w:p w14:paraId="0835945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2266" w:type="dxa"/>
            <w:tcBorders>
              <w:top w:val="single" w:color="000000" w:sz="4" w:space="0"/>
              <w:left w:val="single" w:color="000000" w:sz="4" w:space="0"/>
              <w:bottom w:val="single" w:color="000000" w:sz="4" w:space="0"/>
              <w:right w:val="single" w:color="000000" w:sz="4" w:space="0"/>
            </w:tcBorders>
          </w:tcPr>
          <w:p w14:paraId="0A87755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4</w:t>
            </w:r>
          </w:p>
        </w:tc>
      </w:tr>
      <w:tr w14:paraId="728BF09A">
        <w:tblPrEx>
          <w:tblCellMar>
            <w:top w:w="8" w:type="dxa"/>
            <w:left w:w="106" w:type="dxa"/>
            <w:bottom w:w="0" w:type="dxa"/>
            <w:right w:w="115" w:type="dxa"/>
          </w:tblCellMar>
        </w:tblPrEx>
        <w:trPr>
          <w:trHeight w:val="263" w:hRule="atLeast"/>
        </w:trPr>
        <w:tc>
          <w:tcPr>
            <w:tcW w:w="2325" w:type="dxa"/>
            <w:vMerge w:val="continue"/>
            <w:tcBorders>
              <w:top w:val="nil"/>
              <w:left w:val="single" w:color="000000" w:sz="4" w:space="0"/>
              <w:bottom w:val="single" w:color="000000" w:sz="4" w:space="0"/>
              <w:right w:val="single" w:color="000000" w:sz="4" w:space="0"/>
            </w:tcBorders>
          </w:tcPr>
          <w:p w14:paraId="7D357C05">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118" w:type="dxa"/>
            <w:tcBorders>
              <w:top w:val="single" w:color="000000" w:sz="4" w:space="0"/>
              <w:left w:val="single" w:color="000000" w:sz="4" w:space="0"/>
              <w:bottom w:val="single" w:color="000000" w:sz="4" w:space="0"/>
              <w:right w:val="single" w:color="000000" w:sz="4" w:space="0"/>
            </w:tcBorders>
          </w:tcPr>
          <w:p w14:paraId="07E3C48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2266" w:type="dxa"/>
            <w:tcBorders>
              <w:top w:val="single" w:color="000000" w:sz="4" w:space="0"/>
              <w:left w:val="single" w:color="000000" w:sz="4" w:space="0"/>
              <w:bottom w:val="single" w:color="000000" w:sz="4" w:space="0"/>
              <w:right w:val="single" w:color="000000" w:sz="4" w:space="0"/>
            </w:tcBorders>
          </w:tcPr>
          <w:p w14:paraId="47F73A7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Calibri" w:cs="Calibri"/>
                <w:lang w:bidi="en-US"/>
              </w:rPr>
              <w:t>4</w:t>
            </w:r>
          </w:p>
        </w:tc>
      </w:tr>
      <w:tr w14:paraId="240381F5">
        <w:tblPrEx>
          <w:tblCellMar>
            <w:top w:w="8" w:type="dxa"/>
            <w:left w:w="106" w:type="dxa"/>
            <w:bottom w:w="0" w:type="dxa"/>
            <w:right w:w="115" w:type="dxa"/>
          </w:tblCellMar>
        </w:tblPrEx>
        <w:trPr>
          <w:trHeight w:val="468" w:hRule="atLeast"/>
        </w:trPr>
        <w:tc>
          <w:tcPr>
            <w:tcW w:w="2325" w:type="dxa"/>
            <w:tcBorders>
              <w:top w:val="single" w:color="000000" w:sz="4" w:space="0"/>
              <w:left w:val="single" w:color="000000" w:sz="4" w:space="0"/>
              <w:bottom w:val="single" w:color="000000" w:sz="4" w:space="0"/>
              <w:right w:val="single" w:color="000000" w:sz="4" w:space="0"/>
            </w:tcBorders>
          </w:tcPr>
          <w:p w14:paraId="7D9A354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Impact Significance Rating (Consequence × likelihood)</w:t>
            </w:r>
            <w:r>
              <w:rPr>
                <w:rFonts w:eastAsia="Arial" w:cs="Arial"/>
                <w:lang w:bidi="en-US"/>
              </w:rPr>
              <w:t xml:space="preserve"> </w:t>
            </w:r>
          </w:p>
        </w:tc>
        <w:tc>
          <w:tcPr>
            <w:tcW w:w="4118" w:type="dxa"/>
            <w:tcBorders>
              <w:top w:val="single" w:color="000000" w:sz="4" w:space="0"/>
              <w:left w:val="single" w:color="000000" w:sz="4" w:space="0"/>
              <w:bottom w:val="single" w:color="000000" w:sz="4" w:space="0"/>
              <w:right w:val="single" w:color="000000" w:sz="4" w:space="0"/>
            </w:tcBorders>
          </w:tcPr>
          <w:p w14:paraId="1FFC112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Very High</w:t>
            </w:r>
          </w:p>
        </w:tc>
        <w:tc>
          <w:tcPr>
            <w:tcW w:w="2266" w:type="dxa"/>
            <w:tcBorders>
              <w:top w:val="single" w:color="000000" w:sz="4" w:space="0"/>
              <w:left w:val="single" w:color="000000" w:sz="4" w:space="0"/>
              <w:bottom w:val="single" w:color="000000" w:sz="4" w:space="0"/>
              <w:right w:val="single" w:color="000000" w:sz="4" w:space="0"/>
            </w:tcBorders>
            <w:shd w:val="clear" w:color="auto" w:fill="FF0000"/>
          </w:tcPr>
          <w:p w14:paraId="242B164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40</w:t>
            </w:r>
          </w:p>
        </w:tc>
      </w:tr>
    </w:tbl>
    <w:p w14:paraId="359D62C1">
      <w:pPr>
        <w:widowControl w:val="0"/>
        <w:tabs>
          <w:tab w:val="left" w:pos="709"/>
        </w:tabs>
        <w:autoSpaceDE w:val="0"/>
        <w:autoSpaceDN w:val="0"/>
        <w:spacing w:before="100" w:beforeAutospacing="1" w:after="100" w:afterAutospacing="1" w:line="240" w:lineRule="auto"/>
        <w:ind w:left="709"/>
        <w:jc w:val="both"/>
        <w:rPr>
          <w:rFonts w:eastAsia="Times New Roman" w:cs="Times New Roman"/>
          <w:b/>
          <w:i/>
          <w:lang w:bidi="en-US"/>
        </w:rPr>
      </w:pPr>
      <w:r>
        <w:rPr>
          <w:rFonts w:eastAsia="Times New Roman" w:cs="Times New Roman"/>
          <w:b/>
          <w:i/>
          <w:lang w:bidi="en-US"/>
        </w:rPr>
        <w:t>Proposed mitigation measures</w:t>
      </w:r>
    </w:p>
    <w:p w14:paraId="71E25C4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Contractor will comply with provisions of EMCA 1999 and amendments 2015 (Noise and Excessive Vibrations Regulations of 2009)</w:t>
      </w:r>
    </w:p>
    <w:p w14:paraId="13FB0BA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The Contractor shall keep noise level within acceptable limits (55 Decibels during the day and 35 Decibels during the night) and construction activities shall, where possible, be confined to normal working hours in the residential areas.</w:t>
      </w:r>
    </w:p>
    <w:p w14:paraId="20FAC2E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Hospitals and other noise sensitive areas such as schools shall be notified by the Contractor at least 5 days before construction is due to commence in their vicinity.</w:t>
      </w:r>
    </w:p>
    <w:p w14:paraId="4F13414D">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Undertake Noise and Excessive Vibration Assessments.</w:t>
      </w:r>
    </w:p>
    <w:p w14:paraId="30BD01B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Effective use of appropriate PPE by exposed workers and Proper maintenance of machines.</w:t>
      </w:r>
    </w:p>
    <w:p w14:paraId="5DF77BA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Any complaints received by the Contractor regarding noise will be recorded and communicated to the Supervising Engineer for appropriate action.</w:t>
      </w:r>
    </w:p>
    <w:p w14:paraId="6C276918">
      <w:pPr>
        <w:widowControl w:val="0"/>
        <w:tabs>
          <w:tab w:val="left" w:pos="709"/>
        </w:tabs>
        <w:autoSpaceDE w:val="0"/>
        <w:autoSpaceDN w:val="0"/>
        <w:spacing w:before="100" w:beforeAutospacing="1" w:after="100" w:afterAutospacing="1" w:line="240" w:lineRule="auto"/>
        <w:ind w:left="709"/>
        <w:jc w:val="both"/>
        <w:rPr>
          <w:rFonts w:eastAsia="Calibri" w:cs="Calibri"/>
          <w:b/>
          <w:bCs/>
          <w:lang w:bidi="en-US"/>
        </w:rPr>
      </w:pPr>
    </w:p>
    <w:p w14:paraId="0584821A">
      <w:pPr>
        <w:keepNext/>
        <w:keepLines/>
        <w:widowControl w:val="0"/>
        <w:tabs>
          <w:tab w:val="left" w:pos="709"/>
        </w:tabs>
        <w:autoSpaceDE w:val="0"/>
        <w:autoSpaceDN w:val="0"/>
        <w:spacing w:before="100" w:beforeAutospacing="1" w:after="100" w:afterAutospacing="1" w:line="240" w:lineRule="auto"/>
        <w:ind w:left="709"/>
        <w:jc w:val="both"/>
        <w:rPr>
          <w:rFonts w:eastAsia="Calibri" w:cs="Calibri"/>
          <w:b/>
          <w:bCs/>
          <w:lang w:bidi="en-US"/>
        </w:rPr>
      </w:pPr>
      <w:r>
        <w:rPr>
          <w:rFonts w:eastAsia="Calibri" w:cs="Calibri"/>
          <w:b/>
          <w:bCs/>
          <w:lang w:bidi="en-US"/>
        </w:rPr>
        <w:t xml:space="preserve">Soil Pollution </w:t>
      </w:r>
      <w:r>
        <w:rPr>
          <w:rFonts w:eastAsia="Calibri" w:cs="Calibri"/>
          <w:b/>
          <w:i/>
          <w:lang w:bidi="en-US"/>
        </w:rPr>
        <w:t>(Low)</w:t>
      </w:r>
    </w:p>
    <w:p w14:paraId="477FC0F0">
      <w:pPr>
        <w:keepNext/>
        <w:keepLines/>
        <w:widowControl w:val="0"/>
        <w:tabs>
          <w:tab w:val="left" w:pos="709"/>
        </w:tabs>
        <w:autoSpaceDE w:val="0"/>
        <w:autoSpaceDN w:val="0"/>
        <w:spacing w:before="100" w:beforeAutospacing="1" w:after="100" w:afterAutospacing="1" w:line="240" w:lineRule="auto"/>
        <w:ind w:left="709"/>
        <w:jc w:val="both"/>
        <w:rPr>
          <w:rFonts w:eastAsia="Calibri" w:cs="Calibri"/>
          <w:bCs/>
          <w:lang w:bidi="en-US"/>
        </w:rPr>
      </w:pPr>
      <w:r>
        <w:rPr>
          <w:rFonts w:eastAsia="Calibri" w:cs="Calibri"/>
          <w:bCs/>
          <w:lang w:bidi="en-US"/>
        </w:rPr>
        <w:t xml:space="preserve">Use of construction chemicals, adhesives, sealants, additives and other construction-related chemicals could introduce contaminants into the soil, affecting its composition and quality. Additionally, accidental spills or leaks of construction chemicals, fuels, and lubricants. Dumping or improper disposal of construction debris, concrete waste, and hazardous materials on the other hand can lead to soil pollution. Improper disposal of concrete washout water, which contains alkaline substances and may be contaminated with cementitious materials, can harm aquatic environments present at the project areas. </w:t>
      </w:r>
    </w:p>
    <w:tbl>
      <w:tblPr>
        <w:tblStyle w:val="258"/>
        <w:tblW w:w="8709" w:type="dxa"/>
        <w:tblInd w:w="704" w:type="dxa"/>
        <w:tblLayout w:type="autofit"/>
        <w:tblCellMar>
          <w:top w:w="8" w:type="dxa"/>
          <w:left w:w="108" w:type="dxa"/>
          <w:bottom w:w="0" w:type="dxa"/>
          <w:right w:w="105" w:type="dxa"/>
        </w:tblCellMar>
      </w:tblPr>
      <w:tblGrid>
        <w:gridCol w:w="2234"/>
        <w:gridCol w:w="4209"/>
        <w:gridCol w:w="2266"/>
      </w:tblGrid>
      <w:tr w14:paraId="2A428CD0">
        <w:tblPrEx>
          <w:tblCellMar>
            <w:top w:w="8" w:type="dxa"/>
            <w:left w:w="108" w:type="dxa"/>
            <w:bottom w:w="0" w:type="dxa"/>
            <w:right w:w="105" w:type="dxa"/>
          </w:tblCellMar>
        </w:tblPrEx>
        <w:trPr>
          <w:trHeight w:val="240" w:hRule="atLeast"/>
        </w:trPr>
        <w:tc>
          <w:tcPr>
            <w:tcW w:w="2234" w:type="dxa"/>
            <w:tcBorders>
              <w:top w:val="single" w:color="000000" w:sz="4" w:space="0"/>
              <w:left w:val="single" w:color="000000" w:sz="4" w:space="0"/>
              <w:bottom w:val="single" w:color="000000" w:sz="4" w:space="0"/>
              <w:right w:val="nil"/>
            </w:tcBorders>
          </w:tcPr>
          <w:p w14:paraId="0B19987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4209" w:type="dxa"/>
            <w:tcBorders>
              <w:top w:val="single" w:color="000000" w:sz="4" w:space="0"/>
              <w:left w:val="nil"/>
              <w:bottom w:val="single" w:color="000000" w:sz="4" w:space="0"/>
              <w:right w:val="single" w:color="000000" w:sz="4" w:space="0"/>
            </w:tcBorders>
          </w:tcPr>
          <w:p w14:paraId="6FFA1E6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2266" w:type="dxa"/>
            <w:tcBorders>
              <w:top w:val="single" w:color="000000" w:sz="4" w:space="0"/>
              <w:left w:val="single" w:color="000000" w:sz="4" w:space="0"/>
              <w:bottom w:val="single" w:color="000000" w:sz="4" w:space="0"/>
              <w:right w:val="single" w:color="000000" w:sz="4" w:space="0"/>
            </w:tcBorders>
          </w:tcPr>
          <w:p w14:paraId="696D898B">
            <w:pPr>
              <w:widowControl w:val="0"/>
              <w:tabs>
                <w:tab w:val="left" w:pos="709"/>
              </w:tabs>
              <w:autoSpaceDE w:val="0"/>
              <w:autoSpaceDN w:val="0"/>
              <w:spacing w:before="100" w:beforeAutospacing="1" w:after="100" w:afterAutospacing="1" w:line="240" w:lineRule="auto"/>
              <w:ind w:right="3"/>
              <w:jc w:val="both"/>
              <w:rPr>
                <w:rFonts w:eastAsia="Calibri" w:cs="Calibri"/>
                <w:lang w:bidi="en-US"/>
              </w:rPr>
            </w:pPr>
            <w:r>
              <w:rPr>
                <w:rFonts w:eastAsia="Arial" w:cs="Arial"/>
                <w:b/>
                <w:lang w:bidi="en-US"/>
              </w:rPr>
              <w:t xml:space="preserve">Rating </w:t>
            </w:r>
          </w:p>
        </w:tc>
      </w:tr>
      <w:tr w14:paraId="505A1B5E">
        <w:tblPrEx>
          <w:tblCellMar>
            <w:top w:w="8" w:type="dxa"/>
            <w:left w:w="108" w:type="dxa"/>
            <w:bottom w:w="0" w:type="dxa"/>
            <w:right w:w="105" w:type="dxa"/>
          </w:tblCellMar>
        </w:tblPrEx>
        <w:trPr>
          <w:trHeight w:val="240" w:hRule="atLeast"/>
        </w:trPr>
        <w:tc>
          <w:tcPr>
            <w:tcW w:w="2234" w:type="dxa"/>
            <w:vMerge w:val="restart"/>
            <w:tcBorders>
              <w:top w:val="single" w:color="000000" w:sz="4" w:space="0"/>
              <w:left w:val="single" w:color="000000" w:sz="4" w:space="0"/>
              <w:bottom w:val="single" w:color="000000" w:sz="4" w:space="0"/>
              <w:right w:val="single" w:color="000000" w:sz="4" w:space="0"/>
            </w:tcBorders>
          </w:tcPr>
          <w:p w14:paraId="5620CFF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4209" w:type="dxa"/>
            <w:tcBorders>
              <w:top w:val="single" w:color="000000" w:sz="4" w:space="0"/>
              <w:left w:val="single" w:color="000000" w:sz="4" w:space="0"/>
              <w:bottom w:val="single" w:color="000000" w:sz="4" w:space="0"/>
              <w:right w:val="single" w:color="000000" w:sz="4" w:space="0"/>
            </w:tcBorders>
          </w:tcPr>
          <w:p w14:paraId="43D63C3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2266" w:type="dxa"/>
            <w:tcBorders>
              <w:top w:val="single" w:color="000000" w:sz="4" w:space="0"/>
              <w:left w:val="single" w:color="000000" w:sz="4" w:space="0"/>
              <w:bottom w:val="single" w:color="000000" w:sz="4" w:space="0"/>
              <w:right w:val="single" w:color="000000" w:sz="4" w:space="0"/>
            </w:tcBorders>
          </w:tcPr>
          <w:p w14:paraId="0CD13139">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Calibri" w:cs="Calibri"/>
                <w:lang w:bidi="en-US"/>
              </w:rPr>
              <w:t>1</w:t>
            </w:r>
          </w:p>
        </w:tc>
      </w:tr>
      <w:tr w14:paraId="716D10C5">
        <w:tblPrEx>
          <w:tblCellMar>
            <w:top w:w="8" w:type="dxa"/>
            <w:left w:w="108" w:type="dxa"/>
            <w:bottom w:w="0" w:type="dxa"/>
            <w:right w:w="105" w:type="dxa"/>
          </w:tblCellMar>
        </w:tblPrEx>
        <w:trPr>
          <w:trHeight w:val="240" w:hRule="atLeast"/>
        </w:trPr>
        <w:tc>
          <w:tcPr>
            <w:tcW w:w="2234" w:type="dxa"/>
            <w:vMerge w:val="continue"/>
            <w:tcBorders>
              <w:top w:val="nil"/>
              <w:left w:val="single" w:color="000000" w:sz="4" w:space="0"/>
              <w:bottom w:val="nil"/>
              <w:right w:val="single" w:color="000000" w:sz="4" w:space="0"/>
            </w:tcBorders>
          </w:tcPr>
          <w:p w14:paraId="2BD8BFD0">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209" w:type="dxa"/>
            <w:tcBorders>
              <w:top w:val="single" w:color="000000" w:sz="4" w:space="0"/>
              <w:left w:val="single" w:color="000000" w:sz="4" w:space="0"/>
              <w:bottom w:val="single" w:color="000000" w:sz="4" w:space="0"/>
              <w:right w:val="single" w:color="000000" w:sz="4" w:space="0"/>
            </w:tcBorders>
          </w:tcPr>
          <w:p w14:paraId="3543602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2266" w:type="dxa"/>
            <w:tcBorders>
              <w:top w:val="single" w:color="000000" w:sz="4" w:space="0"/>
              <w:left w:val="single" w:color="000000" w:sz="4" w:space="0"/>
              <w:bottom w:val="single" w:color="000000" w:sz="4" w:space="0"/>
              <w:right w:val="single" w:color="000000" w:sz="4" w:space="0"/>
            </w:tcBorders>
          </w:tcPr>
          <w:p w14:paraId="74CCD750">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 xml:space="preserve">1 </w:t>
            </w:r>
          </w:p>
        </w:tc>
      </w:tr>
      <w:tr w14:paraId="046721CC">
        <w:tblPrEx>
          <w:tblCellMar>
            <w:top w:w="8" w:type="dxa"/>
            <w:left w:w="108" w:type="dxa"/>
            <w:bottom w:w="0" w:type="dxa"/>
            <w:right w:w="105" w:type="dxa"/>
          </w:tblCellMar>
        </w:tblPrEx>
        <w:trPr>
          <w:trHeight w:val="240" w:hRule="atLeast"/>
        </w:trPr>
        <w:tc>
          <w:tcPr>
            <w:tcW w:w="2234" w:type="dxa"/>
            <w:vMerge w:val="continue"/>
            <w:tcBorders>
              <w:top w:val="nil"/>
              <w:left w:val="single" w:color="000000" w:sz="4" w:space="0"/>
              <w:bottom w:val="single" w:color="000000" w:sz="4" w:space="0"/>
              <w:right w:val="single" w:color="000000" w:sz="4" w:space="0"/>
            </w:tcBorders>
          </w:tcPr>
          <w:p w14:paraId="00294763">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209" w:type="dxa"/>
            <w:tcBorders>
              <w:top w:val="single" w:color="000000" w:sz="4" w:space="0"/>
              <w:left w:val="single" w:color="000000" w:sz="4" w:space="0"/>
              <w:bottom w:val="single" w:color="000000" w:sz="4" w:space="0"/>
              <w:right w:val="single" w:color="000000" w:sz="4" w:space="0"/>
            </w:tcBorders>
          </w:tcPr>
          <w:p w14:paraId="4AA4512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2266" w:type="dxa"/>
            <w:tcBorders>
              <w:top w:val="single" w:color="000000" w:sz="4" w:space="0"/>
              <w:left w:val="single" w:color="000000" w:sz="4" w:space="0"/>
              <w:bottom w:val="single" w:color="000000" w:sz="4" w:space="0"/>
              <w:right w:val="single" w:color="000000" w:sz="4" w:space="0"/>
            </w:tcBorders>
          </w:tcPr>
          <w:p w14:paraId="1CC9CA6B">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36409755">
        <w:tblPrEx>
          <w:tblCellMar>
            <w:top w:w="8" w:type="dxa"/>
            <w:left w:w="108" w:type="dxa"/>
            <w:bottom w:w="0" w:type="dxa"/>
            <w:right w:w="105" w:type="dxa"/>
          </w:tblCellMar>
        </w:tblPrEx>
        <w:trPr>
          <w:trHeight w:val="240" w:hRule="atLeast"/>
        </w:trPr>
        <w:tc>
          <w:tcPr>
            <w:tcW w:w="2234" w:type="dxa"/>
            <w:vMerge w:val="restart"/>
            <w:tcBorders>
              <w:top w:val="single" w:color="000000" w:sz="4" w:space="0"/>
              <w:left w:val="single" w:color="000000" w:sz="4" w:space="0"/>
              <w:bottom w:val="single" w:color="000000" w:sz="4" w:space="0"/>
              <w:right w:val="single" w:color="000000" w:sz="4" w:space="0"/>
            </w:tcBorders>
          </w:tcPr>
          <w:p w14:paraId="0388480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4209" w:type="dxa"/>
            <w:tcBorders>
              <w:top w:val="single" w:color="000000" w:sz="4" w:space="0"/>
              <w:left w:val="single" w:color="000000" w:sz="4" w:space="0"/>
              <w:bottom w:val="single" w:color="000000" w:sz="4" w:space="0"/>
              <w:right w:val="single" w:color="000000" w:sz="4" w:space="0"/>
            </w:tcBorders>
          </w:tcPr>
          <w:p w14:paraId="1E411CB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2266" w:type="dxa"/>
            <w:tcBorders>
              <w:top w:val="single" w:color="000000" w:sz="4" w:space="0"/>
              <w:left w:val="single" w:color="000000" w:sz="4" w:space="0"/>
              <w:bottom w:val="single" w:color="000000" w:sz="4" w:space="0"/>
              <w:right w:val="single" w:color="000000" w:sz="4" w:space="0"/>
            </w:tcBorders>
          </w:tcPr>
          <w:p w14:paraId="42F7C4AA">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69223D18">
        <w:tblPrEx>
          <w:tblCellMar>
            <w:top w:w="8" w:type="dxa"/>
            <w:left w:w="108" w:type="dxa"/>
            <w:bottom w:w="0" w:type="dxa"/>
            <w:right w:w="105" w:type="dxa"/>
          </w:tblCellMar>
        </w:tblPrEx>
        <w:trPr>
          <w:trHeight w:val="241" w:hRule="atLeast"/>
        </w:trPr>
        <w:tc>
          <w:tcPr>
            <w:tcW w:w="2234" w:type="dxa"/>
            <w:vMerge w:val="continue"/>
            <w:tcBorders>
              <w:top w:val="nil"/>
              <w:left w:val="single" w:color="000000" w:sz="4" w:space="0"/>
              <w:bottom w:val="single" w:color="000000" w:sz="4" w:space="0"/>
              <w:right w:val="single" w:color="000000" w:sz="4" w:space="0"/>
            </w:tcBorders>
          </w:tcPr>
          <w:p w14:paraId="66FA6F18">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209" w:type="dxa"/>
            <w:tcBorders>
              <w:top w:val="single" w:color="000000" w:sz="4" w:space="0"/>
              <w:left w:val="single" w:color="000000" w:sz="4" w:space="0"/>
              <w:bottom w:val="single" w:color="000000" w:sz="4" w:space="0"/>
              <w:right w:val="single" w:color="000000" w:sz="4" w:space="0"/>
            </w:tcBorders>
          </w:tcPr>
          <w:p w14:paraId="3084D60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2266" w:type="dxa"/>
            <w:tcBorders>
              <w:top w:val="single" w:color="000000" w:sz="4" w:space="0"/>
              <w:left w:val="single" w:color="000000" w:sz="4" w:space="0"/>
              <w:bottom w:val="single" w:color="000000" w:sz="4" w:space="0"/>
              <w:right w:val="single" w:color="000000" w:sz="4" w:space="0"/>
            </w:tcBorders>
          </w:tcPr>
          <w:p w14:paraId="7314342B">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29BAF565">
        <w:tblPrEx>
          <w:tblCellMar>
            <w:top w:w="8" w:type="dxa"/>
            <w:left w:w="108" w:type="dxa"/>
            <w:bottom w:w="0" w:type="dxa"/>
            <w:right w:w="105" w:type="dxa"/>
          </w:tblCellMar>
        </w:tblPrEx>
        <w:trPr>
          <w:trHeight w:val="468" w:hRule="atLeast"/>
        </w:trPr>
        <w:tc>
          <w:tcPr>
            <w:tcW w:w="2234" w:type="dxa"/>
            <w:tcBorders>
              <w:top w:val="single" w:color="000000" w:sz="4" w:space="0"/>
              <w:left w:val="single" w:color="000000" w:sz="4" w:space="0"/>
              <w:bottom w:val="single" w:color="000000" w:sz="4" w:space="0"/>
              <w:right w:val="single" w:color="000000" w:sz="4" w:space="0"/>
            </w:tcBorders>
          </w:tcPr>
          <w:p w14:paraId="618EBC1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4209" w:type="dxa"/>
            <w:tcBorders>
              <w:top w:val="single" w:color="000000" w:sz="4" w:space="0"/>
              <w:left w:val="single" w:color="000000" w:sz="4" w:space="0"/>
              <w:bottom w:val="single" w:color="000000" w:sz="4" w:space="0"/>
              <w:right w:val="single" w:color="000000" w:sz="4" w:space="0"/>
            </w:tcBorders>
          </w:tcPr>
          <w:p w14:paraId="3BD2167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Low </w:t>
            </w:r>
          </w:p>
        </w:tc>
        <w:tc>
          <w:tcPr>
            <w:tcW w:w="2266" w:type="dxa"/>
            <w:tcBorders>
              <w:top w:val="single" w:color="000000" w:sz="4" w:space="0"/>
              <w:left w:val="single" w:color="000000" w:sz="4" w:space="0"/>
              <w:bottom w:val="single" w:color="000000" w:sz="4" w:space="0"/>
              <w:right w:val="single" w:color="000000" w:sz="4" w:space="0"/>
            </w:tcBorders>
            <w:shd w:val="clear" w:color="auto" w:fill="00B0F0"/>
          </w:tcPr>
          <w:p w14:paraId="05B5C7B4">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6</w:t>
            </w:r>
          </w:p>
        </w:tc>
      </w:tr>
    </w:tbl>
    <w:p w14:paraId="0464F598">
      <w:pPr>
        <w:widowControl w:val="0"/>
        <w:tabs>
          <w:tab w:val="left" w:pos="709"/>
        </w:tabs>
        <w:autoSpaceDE w:val="0"/>
        <w:autoSpaceDN w:val="0"/>
        <w:spacing w:before="100" w:beforeAutospacing="1" w:after="100" w:afterAutospacing="1" w:line="240" w:lineRule="auto"/>
        <w:ind w:left="709"/>
        <w:jc w:val="both"/>
        <w:rPr>
          <w:rFonts w:eastAsia="Calibri" w:cs="Calibri"/>
          <w:bCs/>
          <w:lang w:bidi="en-US"/>
        </w:rPr>
      </w:pPr>
      <w:r>
        <w:rPr>
          <w:rFonts w:eastAsia="Calibri" w:cs="Calibri"/>
          <w:bCs/>
          <w:lang w:bidi="en-US"/>
        </w:rPr>
        <w:t>Proposed Mitigation measures</w:t>
      </w:r>
    </w:p>
    <w:p w14:paraId="302E69CA">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Any polluted soil should be handled with care for proper disposal.</w:t>
      </w:r>
    </w:p>
    <w:p w14:paraId="7F9D2C3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Concrete mixing shall be done on concrete slabs or a large metal sheet or mortar boards.</w:t>
      </w:r>
    </w:p>
    <w:p w14:paraId="4BB739C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Maintenance of vehicles to be done strictly at a designated place/Drip tray to be used to avoid oil spills.</w:t>
      </w:r>
    </w:p>
    <w:p w14:paraId="4F2FD5C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Excavation materials to be stockpiled at the demarcated location.</w:t>
      </w:r>
    </w:p>
    <w:p w14:paraId="79289791">
      <w:pPr>
        <w:widowControl w:val="0"/>
        <w:tabs>
          <w:tab w:val="left" w:pos="709"/>
        </w:tabs>
        <w:autoSpaceDE w:val="0"/>
        <w:autoSpaceDN w:val="0"/>
        <w:spacing w:before="100" w:beforeAutospacing="1" w:after="100" w:afterAutospacing="1" w:line="240" w:lineRule="auto"/>
        <w:ind w:left="709"/>
        <w:jc w:val="both"/>
        <w:rPr>
          <w:rFonts w:eastAsia="Times New Roman" w:cs="Times New Roman"/>
          <w:b/>
          <w:lang w:bidi="en-US"/>
        </w:rPr>
      </w:pPr>
      <w:r>
        <w:rPr>
          <w:rFonts w:eastAsia="Times New Roman" w:cs="Times New Roman"/>
          <w:b/>
          <w:lang w:bidi="en-US"/>
        </w:rPr>
        <w:t xml:space="preserve">Air Pollution </w:t>
      </w:r>
      <w:r>
        <w:rPr>
          <w:rFonts w:eastAsia="Calibri" w:cs="Calibri"/>
          <w:b/>
          <w:i/>
          <w:lang w:bidi="en-US"/>
        </w:rPr>
        <w:t>(Very High)</w:t>
      </w:r>
    </w:p>
    <w:p w14:paraId="254B8DF0">
      <w:pPr>
        <w:widowControl w:val="0"/>
        <w:tabs>
          <w:tab w:val="left" w:pos="709"/>
        </w:tabs>
        <w:autoSpaceDE w:val="0"/>
        <w:autoSpaceDN w:val="0"/>
        <w:spacing w:before="100" w:beforeAutospacing="1" w:after="100" w:afterAutospacing="1" w:line="240" w:lineRule="auto"/>
        <w:ind w:left="709"/>
        <w:jc w:val="both"/>
        <w:rPr>
          <w:rFonts w:eastAsia="Times New Roman" w:cs="Times New Roman"/>
          <w:lang w:bidi="en-US"/>
        </w:rPr>
      </w:pPr>
      <w:bookmarkStart w:id="458" w:name="_Toc168326934"/>
      <w:bookmarkStart w:id="459" w:name="_Toc171493403"/>
      <w:bookmarkStart w:id="460" w:name="_Toc167798459"/>
      <w:bookmarkStart w:id="461" w:name="_Toc173252913"/>
      <w:bookmarkStart w:id="462" w:name="_Toc171916973"/>
      <w:r>
        <w:rPr>
          <w:rFonts w:eastAsia="Times New Roman" w:cs="Times New Roman"/>
          <w:lang w:bidi="en-US"/>
        </w:rPr>
        <w:t>Dust and engine emission fumes may be formed in areas subject to excavation for pits or ponds, along transportation routes and at the construction site. This is likely to happen during dry periods.</w:t>
      </w:r>
      <w:bookmarkEnd w:id="458"/>
      <w:bookmarkEnd w:id="459"/>
      <w:bookmarkEnd w:id="460"/>
      <w:bookmarkEnd w:id="461"/>
      <w:bookmarkEnd w:id="462"/>
    </w:p>
    <w:tbl>
      <w:tblPr>
        <w:tblStyle w:val="258"/>
        <w:tblW w:w="8692" w:type="dxa"/>
        <w:tblInd w:w="704" w:type="dxa"/>
        <w:tblLayout w:type="autofit"/>
        <w:tblCellMar>
          <w:top w:w="7" w:type="dxa"/>
          <w:left w:w="108" w:type="dxa"/>
          <w:bottom w:w="0" w:type="dxa"/>
          <w:right w:w="105" w:type="dxa"/>
        </w:tblCellMar>
      </w:tblPr>
      <w:tblGrid>
        <w:gridCol w:w="2234"/>
        <w:gridCol w:w="4096"/>
        <w:gridCol w:w="2362"/>
      </w:tblGrid>
      <w:tr w14:paraId="05AA558F">
        <w:tblPrEx>
          <w:tblCellMar>
            <w:top w:w="7" w:type="dxa"/>
            <w:left w:w="108" w:type="dxa"/>
            <w:bottom w:w="0" w:type="dxa"/>
            <w:right w:w="105" w:type="dxa"/>
          </w:tblCellMar>
        </w:tblPrEx>
        <w:trPr>
          <w:trHeight w:val="240" w:hRule="atLeast"/>
        </w:trPr>
        <w:tc>
          <w:tcPr>
            <w:tcW w:w="2234" w:type="dxa"/>
            <w:tcBorders>
              <w:top w:val="single" w:color="000000" w:sz="4" w:space="0"/>
              <w:left w:val="single" w:color="000000" w:sz="4" w:space="0"/>
              <w:bottom w:val="single" w:color="000000" w:sz="4" w:space="0"/>
              <w:right w:val="nil"/>
            </w:tcBorders>
          </w:tcPr>
          <w:p w14:paraId="5E90F83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4096" w:type="dxa"/>
            <w:tcBorders>
              <w:top w:val="single" w:color="000000" w:sz="4" w:space="0"/>
              <w:left w:val="nil"/>
              <w:bottom w:val="single" w:color="000000" w:sz="4" w:space="0"/>
              <w:right w:val="single" w:color="000000" w:sz="4" w:space="0"/>
            </w:tcBorders>
          </w:tcPr>
          <w:p w14:paraId="7A8E5EFE">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2362" w:type="dxa"/>
            <w:tcBorders>
              <w:top w:val="single" w:color="000000" w:sz="4" w:space="0"/>
              <w:left w:val="single" w:color="000000" w:sz="4" w:space="0"/>
              <w:bottom w:val="single" w:color="000000" w:sz="4" w:space="0"/>
              <w:right w:val="single" w:color="000000" w:sz="4" w:space="0"/>
            </w:tcBorders>
          </w:tcPr>
          <w:p w14:paraId="42DF2564">
            <w:pPr>
              <w:widowControl w:val="0"/>
              <w:tabs>
                <w:tab w:val="left" w:pos="709"/>
              </w:tabs>
              <w:autoSpaceDE w:val="0"/>
              <w:autoSpaceDN w:val="0"/>
              <w:spacing w:before="100" w:beforeAutospacing="1" w:after="100" w:afterAutospacing="1" w:line="240" w:lineRule="auto"/>
              <w:ind w:right="3"/>
              <w:jc w:val="both"/>
              <w:rPr>
                <w:rFonts w:eastAsia="Calibri" w:cs="Calibri"/>
                <w:lang w:bidi="en-US"/>
              </w:rPr>
            </w:pPr>
            <w:r>
              <w:rPr>
                <w:rFonts w:eastAsia="Arial" w:cs="Arial"/>
                <w:b/>
                <w:lang w:bidi="en-US"/>
              </w:rPr>
              <w:t xml:space="preserve">Rating </w:t>
            </w:r>
          </w:p>
        </w:tc>
      </w:tr>
      <w:tr w14:paraId="3E7F1C86">
        <w:tblPrEx>
          <w:tblCellMar>
            <w:top w:w="7" w:type="dxa"/>
            <w:left w:w="108" w:type="dxa"/>
            <w:bottom w:w="0" w:type="dxa"/>
            <w:right w:w="105" w:type="dxa"/>
          </w:tblCellMar>
        </w:tblPrEx>
        <w:trPr>
          <w:trHeight w:val="240" w:hRule="atLeast"/>
        </w:trPr>
        <w:tc>
          <w:tcPr>
            <w:tcW w:w="2234" w:type="dxa"/>
            <w:vMerge w:val="restart"/>
            <w:tcBorders>
              <w:top w:val="single" w:color="000000" w:sz="4" w:space="0"/>
              <w:left w:val="single" w:color="000000" w:sz="4" w:space="0"/>
              <w:bottom w:val="single" w:color="000000" w:sz="4" w:space="0"/>
              <w:right w:val="single" w:color="000000" w:sz="4" w:space="0"/>
            </w:tcBorders>
          </w:tcPr>
          <w:p w14:paraId="72A0F57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4096" w:type="dxa"/>
            <w:tcBorders>
              <w:top w:val="single" w:color="000000" w:sz="4" w:space="0"/>
              <w:left w:val="single" w:color="000000" w:sz="4" w:space="0"/>
              <w:bottom w:val="single" w:color="000000" w:sz="4" w:space="0"/>
              <w:right w:val="single" w:color="000000" w:sz="4" w:space="0"/>
            </w:tcBorders>
          </w:tcPr>
          <w:p w14:paraId="23F597A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2362" w:type="dxa"/>
            <w:tcBorders>
              <w:top w:val="single" w:color="000000" w:sz="4" w:space="0"/>
              <w:left w:val="single" w:color="000000" w:sz="4" w:space="0"/>
              <w:bottom w:val="single" w:color="000000" w:sz="4" w:space="0"/>
              <w:right w:val="single" w:color="000000" w:sz="4" w:space="0"/>
            </w:tcBorders>
          </w:tcPr>
          <w:p w14:paraId="1FC75E73">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2B336A8F">
        <w:tblPrEx>
          <w:tblCellMar>
            <w:top w:w="7" w:type="dxa"/>
            <w:left w:w="108" w:type="dxa"/>
            <w:bottom w:w="0" w:type="dxa"/>
            <w:right w:w="105" w:type="dxa"/>
          </w:tblCellMar>
        </w:tblPrEx>
        <w:trPr>
          <w:trHeight w:val="240" w:hRule="atLeast"/>
        </w:trPr>
        <w:tc>
          <w:tcPr>
            <w:tcW w:w="2234" w:type="dxa"/>
            <w:vMerge w:val="continue"/>
            <w:tcBorders>
              <w:top w:val="nil"/>
              <w:left w:val="single" w:color="000000" w:sz="4" w:space="0"/>
              <w:bottom w:val="nil"/>
              <w:right w:val="single" w:color="000000" w:sz="4" w:space="0"/>
            </w:tcBorders>
          </w:tcPr>
          <w:p w14:paraId="2D7603BE">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96" w:type="dxa"/>
            <w:tcBorders>
              <w:top w:val="single" w:color="000000" w:sz="4" w:space="0"/>
              <w:left w:val="single" w:color="000000" w:sz="4" w:space="0"/>
              <w:bottom w:val="single" w:color="000000" w:sz="4" w:space="0"/>
              <w:right w:val="single" w:color="000000" w:sz="4" w:space="0"/>
            </w:tcBorders>
          </w:tcPr>
          <w:p w14:paraId="237A594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2362" w:type="dxa"/>
            <w:tcBorders>
              <w:top w:val="single" w:color="000000" w:sz="4" w:space="0"/>
              <w:left w:val="single" w:color="000000" w:sz="4" w:space="0"/>
              <w:bottom w:val="single" w:color="000000" w:sz="4" w:space="0"/>
              <w:right w:val="single" w:color="000000" w:sz="4" w:space="0"/>
            </w:tcBorders>
          </w:tcPr>
          <w:p w14:paraId="27C0D18A">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73B7CC6F">
        <w:tblPrEx>
          <w:tblCellMar>
            <w:top w:w="7" w:type="dxa"/>
            <w:left w:w="108" w:type="dxa"/>
            <w:bottom w:w="0" w:type="dxa"/>
            <w:right w:w="105" w:type="dxa"/>
          </w:tblCellMar>
        </w:tblPrEx>
        <w:trPr>
          <w:trHeight w:val="240" w:hRule="atLeast"/>
        </w:trPr>
        <w:tc>
          <w:tcPr>
            <w:tcW w:w="2234" w:type="dxa"/>
            <w:vMerge w:val="continue"/>
            <w:tcBorders>
              <w:top w:val="nil"/>
              <w:left w:val="single" w:color="000000" w:sz="4" w:space="0"/>
              <w:bottom w:val="single" w:color="000000" w:sz="4" w:space="0"/>
              <w:right w:val="single" w:color="000000" w:sz="4" w:space="0"/>
            </w:tcBorders>
          </w:tcPr>
          <w:p w14:paraId="6E8BB81A">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96" w:type="dxa"/>
            <w:tcBorders>
              <w:top w:val="single" w:color="000000" w:sz="4" w:space="0"/>
              <w:left w:val="single" w:color="000000" w:sz="4" w:space="0"/>
              <w:bottom w:val="single" w:color="000000" w:sz="4" w:space="0"/>
              <w:right w:val="single" w:color="000000" w:sz="4" w:space="0"/>
            </w:tcBorders>
          </w:tcPr>
          <w:p w14:paraId="0122BA9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2362" w:type="dxa"/>
            <w:tcBorders>
              <w:top w:val="single" w:color="000000" w:sz="4" w:space="0"/>
              <w:left w:val="single" w:color="000000" w:sz="4" w:space="0"/>
              <w:bottom w:val="single" w:color="000000" w:sz="4" w:space="0"/>
              <w:right w:val="single" w:color="000000" w:sz="4" w:space="0"/>
            </w:tcBorders>
          </w:tcPr>
          <w:p w14:paraId="2C5C806E">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0BB4C2C5">
        <w:tblPrEx>
          <w:tblCellMar>
            <w:top w:w="7" w:type="dxa"/>
            <w:left w:w="108" w:type="dxa"/>
            <w:bottom w:w="0" w:type="dxa"/>
            <w:right w:w="105" w:type="dxa"/>
          </w:tblCellMar>
        </w:tblPrEx>
        <w:trPr>
          <w:trHeight w:val="240" w:hRule="atLeast"/>
        </w:trPr>
        <w:tc>
          <w:tcPr>
            <w:tcW w:w="2234" w:type="dxa"/>
            <w:vMerge w:val="restart"/>
            <w:tcBorders>
              <w:top w:val="single" w:color="000000" w:sz="4" w:space="0"/>
              <w:left w:val="single" w:color="000000" w:sz="4" w:space="0"/>
              <w:bottom w:val="single" w:color="000000" w:sz="4" w:space="0"/>
              <w:right w:val="single" w:color="000000" w:sz="4" w:space="0"/>
            </w:tcBorders>
          </w:tcPr>
          <w:p w14:paraId="6D2AA6C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4096" w:type="dxa"/>
            <w:tcBorders>
              <w:top w:val="single" w:color="000000" w:sz="4" w:space="0"/>
              <w:left w:val="single" w:color="000000" w:sz="4" w:space="0"/>
              <w:bottom w:val="single" w:color="000000" w:sz="4" w:space="0"/>
              <w:right w:val="single" w:color="000000" w:sz="4" w:space="0"/>
            </w:tcBorders>
          </w:tcPr>
          <w:p w14:paraId="184E4BC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2362" w:type="dxa"/>
            <w:tcBorders>
              <w:top w:val="single" w:color="000000" w:sz="4" w:space="0"/>
              <w:left w:val="single" w:color="000000" w:sz="4" w:space="0"/>
              <w:bottom w:val="single" w:color="000000" w:sz="4" w:space="0"/>
              <w:right w:val="single" w:color="000000" w:sz="4" w:space="0"/>
            </w:tcBorders>
          </w:tcPr>
          <w:p w14:paraId="0EBD355C">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4</w:t>
            </w:r>
          </w:p>
        </w:tc>
      </w:tr>
      <w:tr w14:paraId="55E19074">
        <w:tblPrEx>
          <w:tblCellMar>
            <w:top w:w="7" w:type="dxa"/>
            <w:left w:w="108" w:type="dxa"/>
            <w:bottom w:w="0" w:type="dxa"/>
            <w:right w:w="105" w:type="dxa"/>
          </w:tblCellMar>
        </w:tblPrEx>
        <w:trPr>
          <w:trHeight w:val="242" w:hRule="atLeast"/>
        </w:trPr>
        <w:tc>
          <w:tcPr>
            <w:tcW w:w="2234" w:type="dxa"/>
            <w:vMerge w:val="continue"/>
            <w:tcBorders>
              <w:top w:val="nil"/>
              <w:left w:val="single" w:color="000000" w:sz="4" w:space="0"/>
              <w:bottom w:val="single" w:color="000000" w:sz="4" w:space="0"/>
              <w:right w:val="single" w:color="000000" w:sz="4" w:space="0"/>
            </w:tcBorders>
          </w:tcPr>
          <w:p w14:paraId="30A0C9D2">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96" w:type="dxa"/>
            <w:tcBorders>
              <w:top w:val="single" w:color="000000" w:sz="4" w:space="0"/>
              <w:left w:val="single" w:color="000000" w:sz="4" w:space="0"/>
              <w:bottom w:val="single" w:color="000000" w:sz="4" w:space="0"/>
              <w:right w:val="single" w:color="000000" w:sz="4" w:space="0"/>
            </w:tcBorders>
          </w:tcPr>
          <w:p w14:paraId="236B575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2362" w:type="dxa"/>
            <w:tcBorders>
              <w:top w:val="single" w:color="000000" w:sz="4" w:space="0"/>
              <w:left w:val="single" w:color="000000" w:sz="4" w:space="0"/>
              <w:bottom w:val="single" w:color="000000" w:sz="4" w:space="0"/>
              <w:right w:val="single" w:color="000000" w:sz="4" w:space="0"/>
            </w:tcBorders>
          </w:tcPr>
          <w:p w14:paraId="6802FE45">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5</w:t>
            </w:r>
          </w:p>
        </w:tc>
      </w:tr>
      <w:tr w14:paraId="597C9AEE">
        <w:tblPrEx>
          <w:tblCellMar>
            <w:top w:w="7" w:type="dxa"/>
            <w:left w:w="108" w:type="dxa"/>
            <w:bottom w:w="0" w:type="dxa"/>
            <w:right w:w="105" w:type="dxa"/>
          </w:tblCellMar>
        </w:tblPrEx>
        <w:trPr>
          <w:trHeight w:val="467" w:hRule="atLeast"/>
        </w:trPr>
        <w:tc>
          <w:tcPr>
            <w:tcW w:w="2234" w:type="dxa"/>
            <w:tcBorders>
              <w:top w:val="single" w:color="000000" w:sz="4" w:space="0"/>
              <w:left w:val="single" w:color="000000" w:sz="4" w:space="0"/>
              <w:bottom w:val="single" w:color="000000" w:sz="4" w:space="0"/>
              <w:right w:val="single" w:color="000000" w:sz="4" w:space="0"/>
            </w:tcBorders>
          </w:tcPr>
          <w:p w14:paraId="496FA7D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Impact Significance Rating (Consequence × likelihood)</w:t>
            </w:r>
            <w:r>
              <w:rPr>
                <w:rFonts w:eastAsia="Arial" w:cs="Arial"/>
                <w:lang w:bidi="en-US"/>
              </w:rPr>
              <w:t xml:space="preserve"> </w:t>
            </w:r>
          </w:p>
        </w:tc>
        <w:tc>
          <w:tcPr>
            <w:tcW w:w="4096" w:type="dxa"/>
            <w:tcBorders>
              <w:top w:val="single" w:color="000000" w:sz="4" w:space="0"/>
              <w:left w:val="single" w:color="000000" w:sz="4" w:space="0"/>
              <w:bottom w:val="single" w:color="000000" w:sz="4" w:space="0"/>
              <w:right w:val="single" w:color="000000" w:sz="4" w:space="0"/>
            </w:tcBorders>
          </w:tcPr>
          <w:p w14:paraId="5B873DB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Very High </w:t>
            </w:r>
          </w:p>
        </w:tc>
        <w:tc>
          <w:tcPr>
            <w:tcW w:w="2362" w:type="dxa"/>
            <w:tcBorders>
              <w:top w:val="single" w:color="000000" w:sz="4" w:space="0"/>
              <w:left w:val="single" w:color="000000" w:sz="4" w:space="0"/>
              <w:bottom w:val="single" w:color="000000" w:sz="4" w:space="0"/>
              <w:right w:val="single" w:color="000000" w:sz="4" w:space="0"/>
            </w:tcBorders>
            <w:shd w:val="clear" w:color="auto" w:fill="FF0000"/>
          </w:tcPr>
          <w:p w14:paraId="6E58A346">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Calibri" w:cs="Calibri"/>
                <w:lang w:bidi="en-US"/>
              </w:rPr>
              <w:t>36</w:t>
            </w:r>
          </w:p>
        </w:tc>
      </w:tr>
    </w:tbl>
    <w:p w14:paraId="1C5088E2">
      <w:pPr>
        <w:widowControl w:val="0"/>
        <w:tabs>
          <w:tab w:val="left" w:pos="709"/>
        </w:tabs>
        <w:autoSpaceDE w:val="0"/>
        <w:autoSpaceDN w:val="0"/>
        <w:spacing w:before="100" w:beforeAutospacing="1" w:after="100" w:afterAutospacing="1" w:line="240" w:lineRule="auto"/>
        <w:ind w:left="709"/>
        <w:jc w:val="both"/>
        <w:rPr>
          <w:rFonts w:eastAsia="Times New Roman" w:cs="Times New Roman"/>
          <w:b/>
          <w:i/>
          <w:lang w:bidi="en-US"/>
        </w:rPr>
      </w:pPr>
      <w:r>
        <w:rPr>
          <w:rFonts w:eastAsia="Times New Roman" w:cs="Times New Roman"/>
          <w:b/>
          <w:i/>
          <w:lang w:bidi="en-US"/>
        </w:rPr>
        <w:t xml:space="preserve">Proposed </w:t>
      </w:r>
      <w:r>
        <w:rPr>
          <w:rFonts w:eastAsia="Calibri" w:cs="Times New Roman"/>
          <w:b/>
          <w:bCs/>
          <w:i/>
          <w:lang w:bidi="en-US"/>
        </w:rPr>
        <w:t>Mitigation measures</w:t>
      </w:r>
    </w:p>
    <w:p w14:paraId="58A0199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Vegetation and Greenery; Incorporate green infrastructure elements such as vegetative barriers to help absorb pollutants and improve air quality in the surrounding area.</w:t>
      </w:r>
    </w:p>
    <w:p w14:paraId="1101DD3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Regulatory Compliance; Ensure compliance with relevant environmental regulations and permits governing air quality standards and emissions limits for construction activities.</w:t>
      </w:r>
    </w:p>
    <w:p w14:paraId="0F90656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Water sprinkling to reduce the dust at the construction sites. </w:t>
      </w:r>
    </w:p>
    <w:p w14:paraId="318E821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of dust masks to operators and those working in the dusty areas.</w:t>
      </w:r>
    </w:p>
    <w:p w14:paraId="4320D71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of goggles for all operators.</w:t>
      </w:r>
    </w:p>
    <w:p w14:paraId="5DE84C12">
      <w:pPr>
        <w:keepNext/>
        <w:keepLines/>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Construction machines/equipment will be well maintained to ensure total fuel combustion. All vehicles involved in construction works will be frequently checked and well serviced during the whole construction period so that the level of exhaust emissions is reduced. </w:t>
      </w:r>
    </w:p>
    <w:p w14:paraId="33BB29A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Speed of vehicles hauling construction materials shall be reduced and the construction materials will be covered with tarpaulins.</w:t>
      </w:r>
    </w:p>
    <w:p w14:paraId="64B279A0">
      <w:pPr>
        <w:widowControl w:val="0"/>
        <w:tabs>
          <w:tab w:val="left" w:pos="709"/>
        </w:tabs>
        <w:autoSpaceDE w:val="0"/>
        <w:autoSpaceDN w:val="0"/>
        <w:spacing w:before="100" w:beforeAutospacing="1" w:after="100" w:afterAutospacing="1" w:line="240" w:lineRule="auto"/>
        <w:ind w:left="709"/>
        <w:jc w:val="both"/>
        <w:rPr>
          <w:rFonts w:eastAsia="Times New Roman" w:cs="Times New Roman"/>
          <w:b/>
          <w:lang w:bidi="en-US"/>
        </w:rPr>
      </w:pPr>
    </w:p>
    <w:p w14:paraId="2E39C0B7">
      <w:pPr>
        <w:widowControl w:val="0"/>
        <w:tabs>
          <w:tab w:val="left" w:pos="709"/>
        </w:tabs>
        <w:autoSpaceDE w:val="0"/>
        <w:autoSpaceDN w:val="0"/>
        <w:spacing w:before="100" w:beforeAutospacing="1" w:after="100" w:afterAutospacing="1" w:line="240" w:lineRule="auto"/>
        <w:ind w:left="709"/>
        <w:jc w:val="both"/>
        <w:rPr>
          <w:rFonts w:eastAsia="Times New Roman" w:cs="Times New Roman"/>
          <w:b/>
          <w:lang w:bidi="en-US"/>
        </w:rPr>
      </w:pPr>
      <w:r>
        <w:rPr>
          <w:rFonts w:eastAsia="Times New Roman" w:cs="Times New Roman"/>
          <w:b/>
          <w:lang w:bidi="en-US"/>
        </w:rPr>
        <w:t xml:space="preserve">Increased Crime and Insecurity </w:t>
      </w:r>
      <w:r>
        <w:rPr>
          <w:rFonts w:eastAsia="Calibri" w:cs="Calibri"/>
          <w:b/>
          <w:i/>
          <w:lang w:bidi="en-US"/>
        </w:rPr>
        <w:t>(</w:t>
      </w:r>
      <w:r>
        <w:rPr>
          <w:rFonts w:eastAsia="Arial" w:cs="Arial"/>
          <w:b/>
          <w:i/>
          <w:lang w:bidi="en-US"/>
        </w:rPr>
        <w:t>Very High</w:t>
      </w:r>
      <w:r>
        <w:rPr>
          <w:rFonts w:eastAsia="Calibri" w:cs="Calibri"/>
          <w:b/>
          <w:i/>
          <w:lang w:bidi="en-US"/>
        </w:rPr>
        <w:t>)</w:t>
      </w:r>
    </w:p>
    <w:p w14:paraId="78A2E62C">
      <w:pPr>
        <w:widowControl w:val="0"/>
        <w:tabs>
          <w:tab w:val="left" w:pos="709"/>
        </w:tabs>
        <w:autoSpaceDE w:val="0"/>
        <w:autoSpaceDN w:val="0"/>
        <w:spacing w:before="100" w:beforeAutospacing="1" w:after="100" w:afterAutospacing="1" w:line="240" w:lineRule="auto"/>
        <w:ind w:left="709"/>
        <w:jc w:val="both"/>
        <w:rPr>
          <w:rFonts w:eastAsia="Times New Roman" w:cs="Times New Roman"/>
          <w:lang w:bidi="en-US"/>
        </w:rPr>
      </w:pPr>
      <w:r>
        <w:rPr>
          <w:rFonts w:eastAsia="Times New Roman" w:cs="Times New Roman"/>
          <w:lang w:bidi="en-US"/>
        </w:rPr>
        <w:t xml:space="preserve">The Wajir FSTP project may lead to increased insecurity through population influx, resource competition, theft, vandalism, extremist threats, gender-based violence, and corruption. Key risks include social tensions, crime, and potential extremist attacks. </w:t>
      </w:r>
    </w:p>
    <w:tbl>
      <w:tblPr>
        <w:tblStyle w:val="258"/>
        <w:tblW w:w="8709" w:type="dxa"/>
        <w:tblInd w:w="704" w:type="dxa"/>
        <w:tblLayout w:type="autofit"/>
        <w:tblCellMar>
          <w:top w:w="8" w:type="dxa"/>
          <w:left w:w="108" w:type="dxa"/>
          <w:bottom w:w="0" w:type="dxa"/>
          <w:right w:w="115" w:type="dxa"/>
        </w:tblCellMar>
      </w:tblPr>
      <w:tblGrid>
        <w:gridCol w:w="2414"/>
        <w:gridCol w:w="4029"/>
        <w:gridCol w:w="2266"/>
      </w:tblGrid>
      <w:tr w14:paraId="2AF4F63C">
        <w:tblPrEx>
          <w:tblCellMar>
            <w:top w:w="8" w:type="dxa"/>
            <w:left w:w="108" w:type="dxa"/>
            <w:bottom w:w="0" w:type="dxa"/>
            <w:right w:w="115" w:type="dxa"/>
          </w:tblCellMar>
        </w:tblPrEx>
        <w:trPr>
          <w:trHeight w:val="240" w:hRule="atLeast"/>
        </w:trPr>
        <w:tc>
          <w:tcPr>
            <w:tcW w:w="2414" w:type="dxa"/>
            <w:tcBorders>
              <w:top w:val="single" w:color="000000" w:sz="4" w:space="0"/>
              <w:left w:val="single" w:color="000000" w:sz="4" w:space="0"/>
              <w:bottom w:val="single" w:color="000000" w:sz="4" w:space="0"/>
              <w:right w:val="nil"/>
            </w:tcBorders>
          </w:tcPr>
          <w:p w14:paraId="1C6520F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4029" w:type="dxa"/>
            <w:tcBorders>
              <w:top w:val="single" w:color="000000" w:sz="4" w:space="0"/>
              <w:left w:val="nil"/>
              <w:bottom w:val="single" w:color="000000" w:sz="4" w:space="0"/>
              <w:right w:val="single" w:color="000000" w:sz="4" w:space="0"/>
            </w:tcBorders>
          </w:tcPr>
          <w:p w14:paraId="6EAD9A3C">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2266" w:type="dxa"/>
            <w:tcBorders>
              <w:top w:val="single" w:color="000000" w:sz="4" w:space="0"/>
              <w:left w:val="single" w:color="000000" w:sz="4" w:space="0"/>
              <w:bottom w:val="single" w:color="000000" w:sz="4" w:space="0"/>
              <w:right w:val="single" w:color="000000" w:sz="4" w:space="0"/>
            </w:tcBorders>
          </w:tcPr>
          <w:p w14:paraId="1502E41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21D096E2">
        <w:tblPrEx>
          <w:tblCellMar>
            <w:top w:w="8" w:type="dxa"/>
            <w:left w:w="108" w:type="dxa"/>
            <w:bottom w:w="0" w:type="dxa"/>
            <w:right w:w="115" w:type="dxa"/>
          </w:tblCellMar>
        </w:tblPrEx>
        <w:trPr>
          <w:trHeight w:val="240" w:hRule="atLeast"/>
        </w:trPr>
        <w:tc>
          <w:tcPr>
            <w:tcW w:w="2414" w:type="dxa"/>
            <w:vMerge w:val="restart"/>
            <w:tcBorders>
              <w:top w:val="single" w:color="000000" w:sz="4" w:space="0"/>
              <w:left w:val="single" w:color="000000" w:sz="4" w:space="0"/>
              <w:bottom w:val="single" w:color="000000" w:sz="4" w:space="0"/>
              <w:right w:val="single" w:color="000000" w:sz="4" w:space="0"/>
            </w:tcBorders>
          </w:tcPr>
          <w:p w14:paraId="1297384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4029" w:type="dxa"/>
            <w:tcBorders>
              <w:top w:val="single" w:color="000000" w:sz="4" w:space="0"/>
              <w:left w:val="single" w:color="000000" w:sz="4" w:space="0"/>
              <w:bottom w:val="single" w:color="000000" w:sz="4" w:space="0"/>
              <w:right w:val="single" w:color="000000" w:sz="4" w:space="0"/>
            </w:tcBorders>
          </w:tcPr>
          <w:p w14:paraId="4E561B5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2266" w:type="dxa"/>
            <w:tcBorders>
              <w:top w:val="single" w:color="000000" w:sz="4" w:space="0"/>
              <w:left w:val="single" w:color="000000" w:sz="4" w:space="0"/>
              <w:bottom w:val="single" w:color="000000" w:sz="4" w:space="0"/>
              <w:right w:val="single" w:color="000000" w:sz="4" w:space="0"/>
            </w:tcBorders>
          </w:tcPr>
          <w:p w14:paraId="58647B0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w:t>
            </w:r>
          </w:p>
        </w:tc>
      </w:tr>
      <w:tr w14:paraId="39898516">
        <w:tblPrEx>
          <w:tblCellMar>
            <w:top w:w="8" w:type="dxa"/>
            <w:left w:w="108" w:type="dxa"/>
            <w:bottom w:w="0" w:type="dxa"/>
            <w:right w:w="115" w:type="dxa"/>
          </w:tblCellMar>
        </w:tblPrEx>
        <w:trPr>
          <w:trHeight w:val="471" w:hRule="atLeast"/>
        </w:trPr>
        <w:tc>
          <w:tcPr>
            <w:tcW w:w="2414" w:type="dxa"/>
            <w:vMerge w:val="continue"/>
            <w:tcBorders>
              <w:top w:val="nil"/>
              <w:left w:val="single" w:color="000000" w:sz="4" w:space="0"/>
              <w:bottom w:val="nil"/>
              <w:right w:val="single" w:color="000000" w:sz="4" w:space="0"/>
            </w:tcBorders>
          </w:tcPr>
          <w:p w14:paraId="5A391FB0">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29" w:type="dxa"/>
            <w:tcBorders>
              <w:top w:val="single" w:color="000000" w:sz="4" w:space="0"/>
              <w:left w:val="single" w:color="000000" w:sz="4" w:space="0"/>
              <w:bottom w:val="single" w:color="000000" w:sz="4" w:space="0"/>
              <w:right w:val="single" w:color="000000" w:sz="4" w:space="0"/>
            </w:tcBorders>
          </w:tcPr>
          <w:p w14:paraId="5C8176A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2266" w:type="dxa"/>
            <w:tcBorders>
              <w:top w:val="single" w:color="000000" w:sz="4" w:space="0"/>
              <w:left w:val="single" w:color="000000" w:sz="4" w:space="0"/>
              <w:bottom w:val="single" w:color="000000" w:sz="4" w:space="0"/>
              <w:right w:val="single" w:color="000000" w:sz="4" w:space="0"/>
            </w:tcBorders>
          </w:tcPr>
          <w:p w14:paraId="6DB0FA9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w:t>
            </w:r>
          </w:p>
        </w:tc>
      </w:tr>
      <w:tr w14:paraId="67E96AF5">
        <w:tblPrEx>
          <w:tblCellMar>
            <w:top w:w="8" w:type="dxa"/>
            <w:left w:w="108" w:type="dxa"/>
            <w:bottom w:w="0" w:type="dxa"/>
            <w:right w:w="115" w:type="dxa"/>
          </w:tblCellMar>
        </w:tblPrEx>
        <w:trPr>
          <w:trHeight w:val="240" w:hRule="atLeast"/>
        </w:trPr>
        <w:tc>
          <w:tcPr>
            <w:tcW w:w="2414" w:type="dxa"/>
            <w:vMerge w:val="continue"/>
            <w:tcBorders>
              <w:top w:val="nil"/>
              <w:left w:val="single" w:color="000000" w:sz="4" w:space="0"/>
              <w:bottom w:val="single" w:color="000000" w:sz="4" w:space="0"/>
              <w:right w:val="single" w:color="000000" w:sz="4" w:space="0"/>
            </w:tcBorders>
          </w:tcPr>
          <w:p w14:paraId="6BC372EF">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29" w:type="dxa"/>
            <w:tcBorders>
              <w:top w:val="single" w:color="000000" w:sz="4" w:space="0"/>
              <w:left w:val="single" w:color="000000" w:sz="4" w:space="0"/>
              <w:bottom w:val="single" w:color="000000" w:sz="4" w:space="0"/>
              <w:right w:val="single" w:color="000000" w:sz="4" w:space="0"/>
            </w:tcBorders>
          </w:tcPr>
          <w:p w14:paraId="441D21C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2266" w:type="dxa"/>
            <w:tcBorders>
              <w:top w:val="single" w:color="000000" w:sz="4" w:space="0"/>
              <w:left w:val="single" w:color="000000" w:sz="4" w:space="0"/>
              <w:bottom w:val="single" w:color="000000" w:sz="4" w:space="0"/>
              <w:right w:val="single" w:color="000000" w:sz="4" w:space="0"/>
            </w:tcBorders>
          </w:tcPr>
          <w:p w14:paraId="2CA598F3">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r>
      <w:tr w14:paraId="5BC21927">
        <w:tblPrEx>
          <w:tblCellMar>
            <w:top w:w="8" w:type="dxa"/>
            <w:left w:w="108" w:type="dxa"/>
            <w:bottom w:w="0" w:type="dxa"/>
            <w:right w:w="115" w:type="dxa"/>
          </w:tblCellMar>
        </w:tblPrEx>
        <w:trPr>
          <w:trHeight w:val="240" w:hRule="atLeast"/>
        </w:trPr>
        <w:tc>
          <w:tcPr>
            <w:tcW w:w="2414" w:type="dxa"/>
            <w:vMerge w:val="restart"/>
            <w:tcBorders>
              <w:top w:val="single" w:color="000000" w:sz="4" w:space="0"/>
              <w:left w:val="single" w:color="000000" w:sz="4" w:space="0"/>
              <w:bottom w:val="single" w:color="000000" w:sz="4" w:space="0"/>
              <w:right w:val="single" w:color="000000" w:sz="4" w:space="0"/>
            </w:tcBorders>
          </w:tcPr>
          <w:p w14:paraId="00B91A3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4029" w:type="dxa"/>
            <w:tcBorders>
              <w:top w:val="single" w:color="000000" w:sz="4" w:space="0"/>
              <w:left w:val="single" w:color="000000" w:sz="4" w:space="0"/>
              <w:bottom w:val="single" w:color="000000" w:sz="4" w:space="0"/>
              <w:right w:val="single" w:color="000000" w:sz="4" w:space="0"/>
            </w:tcBorders>
          </w:tcPr>
          <w:p w14:paraId="582E6D7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2266" w:type="dxa"/>
            <w:tcBorders>
              <w:top w:val="single" w:color="000000" w:sz="4" w:space="0"/>
              <w:left w:val="single" w:color="000000" w:sz="4" w:space="0"/>
              <w:bottom w:val="single" w:color="000000" w:sz="4" w:space="0"/>
              <w:right w:val="single" w:color="000000" w:sz="4" w:space="0"/>
            </w:tcBorders>
          </w:tcPr>
          <w:p w14:paraId="082A59C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4</w:t>
            </w:r>
          </w:p>
        </w:tc>
      </w:tr>
      <w:tr w14:paraId="3C104B0C">
        <w:tblPrEx>
          <w:tblCellMar>
            <w:top w:w="8" w:type="dxa"/>
            <w:left w:w="108" w:type="dxa"/>
            <w:bottom w:w="0" w:type="dxa"/>
            <w:right w:w="115" w:type="dxa"/>
          </w:tblCellMar>
        </w:tblPrEx>
        <w:trPr>
          <w:trHeight w:val="241" w:hRule="atLeast"/>
        </w:trPr>
        <w:tc>
          <w:tcPr>
            <w:tcW w:w="2414" w:type="dxa"/>
            <w:vMerge w:val="continue"/>
            <w:tcBorders>
              <w:top w:val="nil"/>
              <w:left w:val="single" w:color="000000" w:sz="4" w:space="0"/>
              <w:bottom w:val="single" w:color="000000" w:sz="4" w:space="0"/>
              <w:right w:val="single" w:color="000000" w:sz="4" w:space="0"/>
            </w:tcBorders>
          </w:tcPr>
          <w:p w14:paraId="404BD76B">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29" w:type="dxa"/>
            <w:tcBorders>
              <w:top w:val="single" w:color="000000" w:sz="4" w:space="0"/>
              <w:left w:val="single" w:color="000000" w:sz="4" w:space="0"/>
              <w:bottom w:val="single" w:color="000000" w:sz="4" w:space="0"/>
              <w:right w:val="single" w:color="000000" w:sz="4" w:space="0"/>
            </w:tcBorders>
          </w:tcPr>
          <w:p w14:paraId="3893ED1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2266" w:type="dxa"/>
            <w:tcBorders>
              <w:top w:val="single" w:color="000000" w:sz="4" w:space="0"/>
              <w:left w:val="single" w:color="000000" w:sz="4" w:space="0"/>
              <w:bottom w:val="single" w:color="000000" w:sz="4" w:space="0"/>
              <w:right w:val="single" w:color="000000" w:sz="4" w:space="0"/>
            </w:tcBorders>
          </w:tcPr>
          <w:p w14:paraId="1DFADD8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4</w:t>
            </w:r>
          </w:p>
        </w:tc>
      </w:tr>
      <w:tr w14:paraId="0BFA0CBC">
        <w:tblPrEx>
          <w:tblCellMar>
            <w:top w:w="8" w:type="dxa"/>
            <w:left w:w="108" w:type="dxa"/>
            <w:bottom w:w="0" w:type="dxa"/>
            <w:right w:w="115" w:type="dxa"/>
          </w:tblCellMar>
        </w:tblPrEx>
        <w:trPr>
          <w:trHeight w:val="467" w:hRule="atLeast"/>
        </w:trPr>
        <w:tc>
          <w:tcPr>
            <w:tcW w:w="2414" w:type="dxa"/>
            <w:tcBorders>
              <w:top w:val="single" w:color="000000" w:sz="4" w:space="0"/>
              <w:left w:val="single" w:color="000000" w:sz="4" w:space="0"/>
              <w:bottom w:val="single" w:color="000000" w:sz="4" w:space="0"/>
              <w:right w:val="single" w:color="000000" w:sz="4" w:space="0"/>
            </w:tcBorders>
          </w:tcPr>
          <w:p w14:paraId="581BD32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4029" w:type="dxa"/>
            <w:tcBorders>
              <w:top w:val="single" w:color="000000" w:sz="4" w:space="0"/>
              <w:left w:val="single" w:color="000000" w:sz="4" w:space="0"/>
              <w:bottom w:val="single" w:color="000000" w:sz="4" w:space="0"/>
              <w:right w:val="single" w:color="000000" w:sz="4" w:space="0"/>
            </w:tcBorders>
          </w:tcPr>
          <w:p w14:paraId="3E7FE65E">
            <w:pPr>
              <w:widowControl w:val="0"/>
              <w:tabs>
                <w:tab w:val="left" w:pos="709"/>
              </w:tabs>
              <w:autoSpaceDE w:val="0"/>
              <w:autoSpaceDN w:val="0"/>
              <w:spacing w:before="100" w:beforeAutospacing="1" w:after="100" w:afterAutospacing="1" w:line="240" w:lineRule="auto"/>
              <w:jc w:val="both"/>
              <w:rPr>
                <w:rFonts w:eastAsia="Calibri" w:cs="Calibri"/>
                <w:b/>
                <w:lang w:bidi="en-US"/>
              </w:rPr>
            </w:pPr>
            <w:r>
              <w:rPr>
                <w:rFonts w:eastAsia="Arial" w:cs="Arial"/>
                <w:b/>
                <w:lang w:bidi="en-US"/>
              </w:rPr>
              <w:t xml:space="preserve">Very High </w:t>
            </w:r>
          </w:p>
        </w:tc>
        <w:tc>
          <w:tcPr>
            <w:tcW w:w="2266" w:type="dxa"/>
            <w:tcBorders>
              <w:top w:val="single" w:color="000000" w:sz="4" w:space="0"/>
              <w:left w:val="single" w:color="000000" w:sz="4" w:space="0"/>
              <w:bottom w:val="single" w:color="000000" w:sz="4" w:space="0"/>
              <w:right w:val="single" w:color="000000" w:sz="4" w:space="0"/>
            </w:tcBorders>
            <w:shd w:val="clear" w:color="auto" w:fill="FF0000"/>
          </w:tcPr>
          <w:p w14:paraId="4BB5794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32</w:t>
            </w:r>
          </w:p>
        </w:tc>
      </w:tr>
    </w:tbl>
    <w:p w14:paraId="12C73269">
      <w:pPr>
        <w:widowControl w:val="0"/>
        <w:tabs>
          <w:tab w:val="left" w:pos="709"/>
        </w:tabs>
        <w:autoSpaceDE w:val="0"/>
        <w:autoSpaceDN w:val="0"/>
        <w:spacing w:before="100" w:beforeAutospacing="1" w:after="100" w:afterAutospacing="1" w:line="240" w:lineRule="auto"/>
        <w:ind w:left="709"/>
        <w:jc w:val="both"/>
        <w:rPr>
          <w:rFonts w:eastAsia="Times New Roman" w:cs="Times New Roman"/>
          <w:b/>
          <w:lang w:bidi="en-US"/>
        </w:rPr>
      </w:pPr>
      <w:r>
        <w:rPr>
          <w:rFonts w:eastAsia="Calibri" w:cs="Times New Roman"/>
          <w:b/>
          <w:bCs/>
          <w:i/>
          <w:lang w:bidi="en-US"/>
        </w:rPr>
        <w:t>Mitigation measures</w:t>
      </w:r>
    </w:p>
    <w:p w14:paraId="7EE59CC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Contractor and Supervision Team to liaise regularly with the Local Administration and Police Service to address any security and crime arising during project implementation.</w:t>
      </w:r>
    </w:p>
    <w:p w14:paraId="49BBF50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Contractor to provide 24 hours’ security to Workforce Camps, Yards, Stores and to the Supervising Team’s Offices.</w:t>
      </w:r>
    </w:p>
    <w:p w14:paraId="0C62182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 order to mitigate security challenges accros the project cycle and considering the flare ups that could occur in the general area, it is propose that a security management plan be developed to manage all the construction activities, commissioning and the operationalization.</w:t>
      </w:r>
    </w:p>
    <w:p w14:paraId="43D259D2">
      <w:pPr>
        <w:widowControl w:val="0"/>
        <w:tabs>
          <w:tab w:val="left" w:pos="709"/>
        </w:tabs>
        <w:autoSpaceDE w:val="0"/>
        <w:autoSpaceDN w:val="0"/>
        <w:spacing w:before="100" w:beforeAutospacing="1" w:after="100" w:afterAutospacing="1" w:line="240" w:lineRule="auto"/>
        <w:ind w:left="709"/>
        <w:contextualSpacing/>
        <w:jc w:val="both"/>
        <w:rPr>
          <w:rFonts w:eastAsia="Calibri" w:cs="Calibri"/>
          <w:lang w:bidi="en-US"/>
        </w:rPr>
      </w:pPr>
    </w:p>
    <w:p w14:paraId="61FCE279">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bCs/>
          <w:lang w:bidi="en-US"/>
        </w:rPr>
        <w:t xml:space="preserve">Occupational Health and Safety Risks </w:t>
      </w:r>
      <w:r>
        <w:rPr>
          <w:rFonts w:eastAsia="Calibri" w:cs="Calibri"/>
          <w:b/>
          <w:lang w:bidi="en-US"/>
        </w:rPr>
        <w:t>(Very high)</w:t>
      </w:r>
    </w:p>
    <w:p w14:paraId="4D3F9C39">
      <w:pPr>
        <w:widowControl w:val="0"/>
        <w:tabs>
          <w:tab w:val="left" w:pos="709"/>
        </w:tabs>
        <w:autoSpaceDE w:val="0"/>
        <w:autoSpaceDN w:val="0"/>
        <w:spacing w:before="100" w:beforeAutospacing="1" w:after="100" w:afterAutospacing="1" w:line="240" w:lineRule="auto"/>
        <w:ind w:left="709"/>
        <w:jc w:val="both"/>
        <w:rPr>
          <w:rFonts w:eastAsia="Calibri" w:cs="Times New Roman"/>
          <w:bCs/>
          <w:lang w:bidi="en-US"/>
        </w:rPr>
      </w:pPr>
      <w:r>
        <w:rPr>
          <w:rFonts w:eastAsia="Calibri" w:cs="Times New Roman"/>
          <w:bCs/>
          <w:lang w:bidi="en-US"/>
        </w:rPr>
        <w:t>These are work related risks during construction they include all accidents and incidents, that maybe caused by fatigue, drug abuse, ignorance etc.</w:t>
      </w:r>
    </w:p>
    <w:tbl>
      <w:tblPr>
        <w:tblStyle w:val="258"/>
        <w:tblW w:w="8709" w:type="dxa"/>
        <w:tblInd w:w="704" w:type="dxa"/>
        <w:tblLayout w:type="autofit"/>
        <w:tblCellMar>
          <w:top w:w="8" w:type="dxa"/>
          <w:left w:w="108" w:type="dxa"/>
          <w:bottom w:w="0" w:type="dxa"/>
          <w:right w:w="115" w:type="dxa"/>
        </w:tblCellMar>
      </w:tblPr>
      <w:tblGrid>
        <w:gridCol w:w="4111"/>
        <w:gridCol w:w="3813"/>
        <w:gridCol w:w="785"/>
      </w:tblGrid>
      <w:tr w14:paraId="50C30146">
        <w:tblPrEx>
          <w:tblCellMar>
            <w:top w:w="8" w:type="dxa"/>
            <w:left w:w="108" w:type="dxa"/>
            <w:bottom w:w="0" w:type="dxa"/>
            <w:right w:w="115" w:type="dxa"/>
          </w:tblCellMar>
        </w:tblPrEx>
        <w:trPr>
          <w:trHeight w:val="240" w:hRule="atLeast"/>
        </w:trPr>
        <w:tc>
          <w:tcPr>
            <w:tcW w:w="4111" w:type="dxa"/>
            <w:tcBorders>
              <w:top w:val="single" w:color="000000" w:sz="4" w:space="0"/>
              <w:left w:val="single" w:color="000000" w:sz="4" w:space="0"/>
              <w:bottom w:val="single" w:color="000000" w:sz="4" w:space="0"/>
              <w:right w:val="nil"/>
            </w:tcBorders>
          </w:tcPr>
          <w:p w14:paraId="09CB6CB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813" w:type="dxa"/>
            <w:tcBorders>
              <w:top w:val="single" w:color="000000" w:sz="4" w:space="0"/>
              <w:left w:val="nil"/>
              <w:bottom w:val="single" w:color="000000" w:sz="4" w:space="0"/>
              <w:right w:val="single" w:color="000000" w:sz="4" w:space="0"/>
            </w:tcBorders>
          </w:tcPr>
          <w:p w14:paraId="5C1701C5">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785" w:type="dxa"/>
            <w:tcBorders>
              <w:top w:val="single" w:color="000000" w:sz="4" w:space="0"/>
              <w:left w:val="single" w:color="000000" w:sz="4" w:space="0"/>
              <w:bottom w:val="single" w:color="000000" w:sz="4" w:space="0"/>
              <w:right w:val="single" w:color="000000" w:sz="4" w:space="0"/>
            </w:tcBorders>
          </w:tcPr>
          <w:p w14:paraId="79ABD97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57FBC964">
        <w:tblPrEx>
          <w:tblCellMar>
            <w:top w:w="8" w:type="dxa"/>
            <w:left w:w="108" w:type="dxa"/>
            <w:bottom w:w="0" w:type="dxa"/>
            <w:right w:w="115" w:type="dxa"/>
          </w:tblCellMar>
        </w:tblPrEx>
        <w:trPr>
          <w:trHeight w:val="240" w:hRule="atLeast"/>
        </w:trPr>
        <w:tc>
          <w:tcPr>
            <w:tcW w:w="4111" w:type="dxa"/>
            <w:vMerge w:val="restart"/>
            <w:tcBorders>
              <w:top w:val="single" w:color="000000" w:sz="4" w:space="0"/>
              <w:left w:val="single" w:color="000000" w:sz="4" w:space="0"/>
              <w:bottom w:val="single" w:color="000000" w:sz="4" w:space="0"/>
              <w:right w:val="single" w:color="000000" w:sz="4" w:space="0"/>
            </w:tcBorders>
          </w:tcPr>
          <w:p w14:paraId="6414C04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813" w:type="dxa"/>
            <w:tcBorders>
              <w:top w:val="single" w:color="000000" w:sz="4" w:space="0"/>
              <w:left w:val="single" w:color="000000" w:sz="4" w:space="0"/>
              <w:bottom w:val="single" w:color="000000" w:sz="4" w:space="0"/>
              <w:right w:val="single" w:color="000000" w:sz="4" w:space="0"/>
            </w:tcBorders>
          </w:tcPr>
          <w:p w14:paraId="0B20780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85" w:type="dxa"/>
            <w:tcBorders>
              <w:top w:val="single" w:color="000000" w:sz="4" w:space="0"/>
              <w:left w:val="single" w:color="000000" w:sz="4" w:space="0"/>
              <w:bottom w:val="single" w:color="000000" w:sz="4" w:space="0"/>
              <w:right w:val="single" w:color="000000" w:sz="4" w:space="0"/>
            </w:tcBorders>
          </w:tcPr>
          <w:p w14:paraId="77AA368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w:t>
            </w:r>
          </w:p>
        </w:tc>
      </w:tr>
      <w:tr w14:paraId="0C961582">
        <w:tblPrEx>
          <w:tblCellMar>
            <w:top w:w="8" w:type="dxa"/>
            <w:left w:w="108" w:type="dxa"/>
            <w:bottom w:w="0" w:type="dxa"/>
            <w:right w:w="115" w:type="dxa"/>
          </w:tblCellMar>
        </w:tblPrEx>
        <w:trPr>
          <w:trHeight w:val="235" w:hRule="atLeast"/>
        </w:trPr>
        <w:tc>
          <w:tcPr>
            <w:tcW w:w="4111" w:type="dxa"/>
            <w:vMerge w:val="continue"/>
            <w:tcBorders>
              <w:top w:val="nil"/>
              <w:left w:val="single" w:color="000000" w:sz="4" w:space="0"/>
              <w:bottom w:val="nil"/>
              <w:right w:val="single" w:color="000000" w:sz="4" w:space="0"/>
            </w:tcBorders>
          </w:tcPr>
          <w:p w14:paraId="7169D911">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813" w:type="dxa"/>
            <w:tcBorders>
              <w:top w:val="single" w:color="000000" w:sz="4" w:space="0"/>
              <w:left w:val="single" w:color="000000" w:sz="4" w:space="0"/>
              <w:bottom w:val="single" w:color="000000" w:sz="4" w:space="0"/>
              <w:right w:val="single" w:color="000000" w:sz="4" w:space="0"/>
            </w:tcBorders>
          </w:tcPr>
          <w:p w14:paraId="04B955E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85" w:type="dxa"/>
            <w:tcBorders>
              <w:top w:val="single" w:color="000000" w:sz="4" w:space="0"/>
              <w:left w:val="single" w:color="000000" w:sz="4" w:space="0"/>
              <w:bottom w:val="single" w:color="000000" w:sz="4" w:space="0"/>
              <w:right w:val="single" w:color="000000" w:sz="4" w:space="0"/>
            </w:tcBorders>
          </w:tcPr>
          <w:p w14:paraId="5521CBD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2 </w:t>
            </w:r>
          </w:p>
        </w:tc>
      </w:tr>
      <w:tr w14:paraId="25D708E7">
        <w:tblPrEx>
          <w:tblCellMar>
            <w:top w:w="8" w:type="dxa"/>
            <w:left w:w="108" w:type="dxa"/>
            <w:bottom w:w="0" w:type="dxa"/>
            <w:right w:w="115" w:type="dxa"/>
          </w:tblCellMar>
        </w:tblPrEx>
        <w:trPr>
          <w:trHeight w:val="240" w:hRule="atLeast"/>
        </w:trPr>
        <w:tc>
          <w:tcPr>
            <w:tcW w:w="4111" w:type="dxa"/>
            <w:vMerge w:val="continue"/>
            <w:tcBorders>
              <w:top w:val="nil"/>
              <w:left w:val="single" w:color="000000" w:sz="4" w:space="0"/>
              <w:bottom w:val="single" w:color="000000" w:sz="4" w:space="0"/>
              <w:right w:val="single" w:color="000000" w:sz="4" w:space="0"/>
            </w:tcBorders>
          </w:tcPr>
          <w:p w14:paraId="74C3CF40">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813" w:type="dxa"/>
            <w:tcBorders>
              <w:top w:val="single" w:color="000000" w:sz="4" w:space="0"/>
              <w:left w:val="single" w:color="000000" w:sz="4" w:space="0"/>
              <w:bottom w:val="single" w:color="000000" w:sz="4" w:space="0"/>
              <w:right w:val="single" w:color="000000" w:sz="4" w:space="0"/>
            </w:tcBorders>
          </w:tcPr>
          <w:p w14:paraId="16F2BED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85" w:type="dxa"/>
            <w:tcBorders>
              <w:top w:val="single" w:color="000000" w:sz="4" w:space="0"/>
              <w:left w:val="single" w:color="000000" w:sz="4" w:space="0"/>
              <w:bottom w:val="single" w:color="000000" w:sz="4" w:space="0"/>
              <w:right w:val="single" w:color="000000" w:sz="4" w:space="0"/>
            </w:tcBorders>
          </w:tcPr>
          <w:p w14:paraId="799009D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4D53561D">
        <w:tblPrEx>
          <w:tblCellMar>
            <w:top w:w="8" w:type="dxa"/>
            <w:left w:w="108" w:type="dxa"/>
            <w:bottom w:w="0" w:type="dxa"/>
            <w:right w:w="115" w:type="dxa"/>
          </w:tblCellMar>
        </w:tblPrEx>
        <w:trPr>
          <w:trHeight w:val="240" w:hRule="atLeast"/>
        </w:trPr>
        <w:tc>
          <w:tcPr>
            <w:tcW w:w="4111" w:type="dxa"/>
            <w:vMerge w:val="restart"/>
            <w:tcBorders>
              <w:top w:val="single" w:color="000000" w:sz="4" w:space="0"/>
              <w:left w:val="single" w:color="000000" w:sz="4" w:space="0"/>
              <w:bottom w:val="single" w:color="000000" w:sz="4" w:space="0"/>
              <w:right w:val="single" w:color="000000" w:sz="4" w:space="0"/>
            </w:tcBorders>
          </w:tcPr>
          <w:p w14:paraId="457D409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813" w:type="dxa"/>
            <w:tcBorders>
              <w:top w:val="single" w:color="000000" w:sz="4" w:space="0"/>
              <w:left w:val="single" w:color="000000" w:sz="4" w:space="0"/>
              <w:bottom w:val="single" w:color="000000" w:sz="4" w:space="0"/>
              <w:right w:val="single" w:color="000000" w:sz="4" w:space="0"/>
            </w:tcBorders>
          </w:tcPr>
          <w:p w14:paraId="71239CF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85" w:type="dxa"/>
            <w:tcBorders>
              <w:top w:val="single" w:color="000000" w:sz="4" w:space="0"/>
              <w:left w:val="single" w:color="000000" w:sz="4" w:space="0"/>
              <w:bottom w:val="single" w:color="000000" w:sz="4" w:space="0"/>
              <w:right w:val="single" w:color="000000" w:sz="4" w:space="0"/>
            </w:tcBorders>
          </w:tcPr>
          <w:p w14:paraId="7E48E3A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4</w:t>
            </w:r>
          </w:p>
        </w:tc>
      </w:tr>
      <w:tr w14:paraId="413A0DE2">
        <w:tblPrEx>
          <w:tblCellMar>
            <w:top w:w="8" w:type="dxa"/>
            <w:left w:w="108" w:type="dxa"/>
            <w:bottom w:w="0" w:type="dxa"/>
            <w:right w:w="115" w:type="dxa"/>
          </w:tblCellMar>
        </w:tblPrEx>
        <w:trPr>
          <w:trHeight w:val="241" w:hRule="atLeast"/>
        </w:trPr>
        <w:tc>
          <w:tcPr>
            <w:tcW w:w="4111" w:type="dxa"/>
            <w:vMerge w:val="continue"/>
            <w:tcBorders>
              <w:top w:val="nil"/>
              <w:left w:val="single" w:color="000000" w:sz="4" w:space="0"/>
              <w:bottom w:val="single" w:color="000000" w:sz="4" w:space="0"/>
              <w:right w:val="single" w:color="000000" w:sz="4" w:space="0"/>
            </w:tcBorders>
          </w:tcPr>
          <w:p w14:paraId="111B7087">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813" w:type="dxa"/>
            <w:tcBorders>
              <w:top w:val="single" w:color="000000" w:sz="4" w:space="0"/>
              <w:left w:val="single" w:color="000000" w:sz="4" w:space="0"/>
              <w:bottom w:val="single" w:color="000000" w:sz="4" w:space="0"/>
              <w:right w:val="single" w:color="000000" w:sz="4" w:space="0"/>
            </w:tcBorders>
          </w:tcPr>
          <w:p w14:paraId="64B8A44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85" w:type="dxa"/>
            <w:tcBorders>
              <w:top w:val="single" w:color="000000" w:sz="4" w:space="0"/>
              <w:left w:val="single" w:color="000000" w:sz="4" w:space="0"/>
              <w:bottom w:val="single" w:color="000000" w:sz="4" w:space="0"/>
              <w:right w:val="single" w:color="000000" w:sz="4" w:space="0"/>
            </w:tcBorders>
          </w:tcPr>
          <w:p w14:paraId="1A837C0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5</w:t>
            </w:r>
          </w:p>
        </w:tc>
      </w:tr>
      <w:tr w14:paraId="5EFD5F20">
        <w:tblPrEx>
          <w:tblCellMar>
            <w:top w:w="8" w:type="dxa"/>
            <w:left w:w="108" w:type="dxa"/>
            <w:bottom w:w="0" w:type="dxa"/>
            <w:right w:w="115" w:type="dxa"/>
          </w:tblCellMar>
        </w:tblPrEx>
        <w:trPr>
          <w:trHeight w:val="467" w:hRule="atLeast"/>
        </w:trPr>
        <w:tc>
          <w:tcPr>
            <w:tcW w:w="4111" w:type="dxa"/>
            <w:tcBorders>
              <w:top w:val="single" w:color="000000" w:sz="4" w:space="0"/>
              <w:left w:val="single" w:color="000000" w:sz="4" w:space="0"/>
              <w:bottom w:val="single" w:color="000000" w:sz="4" w:space="0"/>
              <w:right w:val="single" w:color="000000" w:sz="4" w:space="0"/>
            </w:tcBorders>
          </w:tcPr>
          <w:p w14:paraId="6B335BC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813" w:type="dxa"/>
            <w:tcBorders>
              <w:top w:val="single" w:color="000000" w:sz="4" w:space="0"/>
              <w:left w:val="single" w:color="000000" w:sz="4" w:space="0"/>
              <w:bottom w:val="single" w:color="000000" w:sz="4" w:space="0"/>
              <w:right w:val="single" w:color="000000" w:sz="4" w:space="0"/>
            </w:tcBorders>
          </w:tcPr>
          <w:p w14:paraId="2C5603B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Very High </w:t>
            </w:r>
          </w:p>
        </w:tc>
        <w:tc>
          <w:tcPr>
            <w:tcW w:w="785" w:type="dxa"/>
            <w:tcBorders>
              <w:top w:val="single" w:color="000000" w:sz="4" w:space="0"/>
              <w:left w:val="single" w:color="000000" w:sz="4" w:space="0"/>
              <w:bottom w:val="single" w:color="000000" w:sz="4" w:space="0"/>
              <w:right w:val="single" w:color="000000" w:sz="4" w:space="0"/>
            </w:tcBorders>
            <w:shd w:val="clear" w:color="auto" w:fill="FF0000"/>
          </w:tcPr>
          <w:p w14:paraId="7AD881E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54 </w:t>
            </w:r>
          </w:p>
        </w:tc>
      </w:tr>
    </w:tbl>
    <w:p w14:paraId="69C14CD6">
      <w:pPr>
        <w:widowControl w:val="0"/>
        <w:tabs>
          <w:tab w:val="left" w:pos="709"/>
        </w:tabs>
        <w:autoSpaceDE w:val="0"/>
        <w:autoSpaceDN w:val="0"/>
        <w:spacing w:before="100" w:beforeAutospacing="1" w:after="100" w:afterAutospacing="1" w:line="240" w:lineRule="auto"/>
        <w:ind w:left="709"/>
        <w:jc w:val="both"/>
        <w:rPr>
          <w:rFonts w:eastAsia="Times New Roman" w:cs="Times New Roman"/>
          <w:b/>
          <w:lang w:bidi="en-US"/>
        </w:rPr>
      </w:pPr>
      <w:r>
        <w:rPr>
          <w:rFonts w:eastAsia="Calibri" w:cs="Times New Roman"/>
          <w:b/>
          <w:bCs/>
          <w:i/>
          <w:lang w:bidi="en-US"/>
        </w:rPr>
        <w:t>Mitigation measures</w:t>
      </w:r>
    </w:p>
    <w:p w14:paraId="37ADAE3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Contractor to provide a Health and Safety Plan prior to the commencement of works to be approved by the Supervising Engineer.</w:t>
      </w:r>
    </w:p>
    <w:p w14:paraId="1D026E1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Construction Workers and the Supervising Team to be provided with Personal Protective Equipment including gloves, gum boots, overalls and helmets. Use of PPE to be enforced by the Supervising Engineer.</w:t>
      </w:r>
    </w:p>
    <w:p w14:paraId="0145717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Fully stocked First Aid Kits to be provided within the Sites, Camps and in all Project Vehicles</w:t>
      </w:r>
    </w:p>
    <w:p w14:paraId="601DF22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Isolate the site from access by the local communities during the construction for their safety and health</w:t>
      </w:r>
    </w:p>
    <w:p w14:paraId="77DF0CB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Contractor to provide clean water for drinking and healthy food to all the workers</w:t>
      </w:r>
    </w:p>
    <w:p w14:paraId="42F8CD2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Contractor to adhere to maximum eight hour working rule</w:t>
      </w:r>
    </w:p>
    <w:p w14:paraId="5DE271C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Contractor to ensure only qualified personnel operate machinery.</w:t>
      </w:r>
    </w:p>
    <w:p w14:paraId="3F24FBEB">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p>
    <w:p w14:paraId="0C8149BA">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 xml:space="preserve">Sexual Exploitation and Abuse </w:t>
      </w:r>
      <w:r>
        <w:rPr>
          <w:rFonts w:eastAsia="Calibri" w:cs="Calibri"/>
          <w:b/>
          <w:i/>
          <w:lang w:bidi="en-US"/>
        </w:rPr>
        <w:t>(Low Medium)</w:t>
      </w:r>
    </w:p>
    <w:p w14:paraId="56F62D66">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 xml:space="preserve">Defined as acts perpetrated by workers or people associated with aid organization for this case contractors for example against the people the residents during construction period. The proposed development will lead to potential for employment opportunities and access to new services, which will draw people to the area more, specifically the project site. </w:t>
      </w:r>
    </w:p>
    <w:p w14:paraId="3D38912D">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This factor will further lead to a temporary increase in economic activities and employment of skills for the development. This will lead to population influx which might lead to changes in or unwanted behaviors in the area. This unwanted or change in behavior may be in the form of loose morality, an increase in school drop-out due to cheap Labor, child Labor, drug use and abuse, theft/robbery and increased incidences of HIV/AIDS and related infections/diseases and other communicable diseases.</w:t>
      </w:r>
    </w:p>
    <w:tbl>
      <w:tblPr>
        <w:tblStyle w:val="258"/>
        <w:tblW w:w="8567" w:type="dxa"/>
        <w:tblInd w:w="846" w:type="dxa"/>
        <w:tblLayout w:type="autofit"/>
        <w:tblCellMar>
          <w:top w:w="8" w:type="dxa"/>
          <w:left w:w="108" w:type="dxa"/>
          <w:bottom w:w="0" w:type="dxa"/>
          <w:right w:w="115" w:type="dxa"/>
        </w:tblCellMar>
      </w:tblPr>
      <w:tblGrid>
        <w:gridCol w:w="2272"/>
        <w:gridCol w:w="4029"/>
        <w:gridCol w:w="2266"/>
      </w:tblGrid>
      <w:tr w14:paraId="16D98474">
        <w:tblPrEx>
          <w:tblCellMar>
            <w:top w:w="8" w:type="dxa"/>
            <w:left w:w="108" w:type="dxa"/>
            <w:bottom w:w="0" w:type="dxa"/>
            <w:right w:w="115" w:type="dxa"/>
          </w:tblCellMar>
        </w:tblPrEx>
        <w:trPr>
          <w:trHeight w:val="240" w:hRule="atLeast"/>
        </w:trPr>
        <w:tc>
          <w:tcPr>
            <w:tcW w:w="2272" w:type="dxa"/>
            <w:tcBorders>
              <w:top w:val="single" w:color="000000" w:sz="4" w:space="0"/>
              <w:left w:val="single" w:color="000000" w:sz="4" w:space="0"/>
              <w:bottom w:val="single" w:color="000000" w:sz="4" w:space="0"/>
              <w:right w:val="nil"/>
            </w:tcBorders>
          </w:tcPr>
          <w:p w14:paraId="3E262D2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4029" w:type="dxa"/>
            <w:tcBorders>
              <w:top w:val="single" w:color="000000" w:sz="4" w:space="0"/>
              <w:left w:val="nil"/>
              <w:bottom w:val="single" w:color="000000" w:sz="4" w:space="0"/>
              <w:right w:val="single" w:color="000000" w:sz="4" w:space="0"/>
            </w:tcBorders>
          </w:tcPr>
          <w:p w14:paraId="599E5D9F">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2266" w:type="dxa"/>
            <w:tcBorders>
              <w:top w:val="single" w:color="000000" w:sz="4" w:space="0"/>
              <w:left w:val="single" w:color="000000" w:sz="4" w:space="0"/>
              <w:bottom w:val="single" w:color="000000" w:sz="4" w:space="0"/>
              <w:right w:val="single" w:color="000000" w:sz="4" w:space="0"/>
            </w:tcBorders>
          </w:tcPr>
          <w:p w14:paraId="2B7A88A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6BC5D606">
        <w:tblPrEx>
          <w:tblCellMar>
            <w:top w:w="8" w:type="dxa"/>
            <w:left w:w="108" w:type="dxa"/>
            <w:bottom w:w="0" w:type="dxa"/>
            <w:right w:w="115" w:type="dxa"/>
          </w:tblCellMar>
        </w:tblPrEx>
        <w:trPr>
          <w:trHeight w:val="240" w:hRule="atLeast"/>
        </w:trPr>
        <w:tc>
          <w:tcPr>
            <w:tcW w:w="2272" w:type="dxa"/>
            <w:vMerge w:val="restart"/>
            <w:tcBorders>
              <w:top w:val="single" w:color="000000" w:sz="4" w:space="0"/>
              <w:left w:val="single" w:color="000000" w:sz="4" w:space="0"/>
              <w:bottom w:val="single" w:color="000000" w:sz="4" w:space="0"/>
              <w:right w:val="single" w:color="000000" w:sz="4" w:space="0"/>
            </w:tcBorders>
          </w:tcPr>
          <w:p w14:paraId="31BB0D7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4029" w:type="dxa"/>
            <w:tcBorders>
              <w:top w:val="single" w:color="000000" w:sz="4" w:space="0"/>
              <w:left w:val="single" w:color="000000" w:sz="4" w:space="0"/>
              <w:bottom w:val="single" w:color="000000" w:sz="4" w:space="0"/>
              <w:right w:val="single" w:color="000000" w:sz="4" w:space="0"/>
            </w:tcBorders>
          </w:tcPr>
          <w:p w14:paraId="6FFF5D7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2266" w:type="dxa"/>
            <w:tcBorders>
              <w:top w:val="single" w:color="000000" w:sz="4" w:space="0"/>
              <w:left w:val="single" w:color="000000" w:sz="4" w:space="0"/>
              <w:bottom w:val="single" w:color="000000" w:sz="4" w:space="0"/>
              <w:right w:val="single" w:color="000000" w:sz="4" w:space="0"/>
            </w:tcBorders>
          </w:tcPr>
          <w:p w14:paraId="32B1D85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2 </w:t>
            </w:r>
          </w:p>
        </w:tc>
      </w:tr>
      <w:tr w14:paraId="13EC003B">
        <w:tblPrEx>
          <w:tblCellMar>
            <w:top w:w="8" w:type="dxa"/>
            <w:left w:w="108" w:type="dxa"/>
            <w:bottom w:w="0" w:type="dxa"/>
            <w:right w:w="115" w:type="dxa"/>
          </w:tblCellMar>
        </w:tblPrEx>
        <w:trPr>
          <w:trHeight w:val="471" w:hRule="atLeast"/>
        </w:trPr>
        <w:tc>
          <w:tcPr>
            <w:tcW w:w="2272" w:type="dxa"/>
            <w:vMerge w:val="continue"/>
            <w:tcBorders>
              <w:top w:val="nil"/>
              <w:left w:val="single" w:color="000000" w:sz="4" w:space="0"/>
              <w:bottom w:val="nil"/>
              <w:right w:val="single" w:color="000000" w:sz="4" w:space="0"/>
            </w:tcBorders>
          </w:tcPr>
          <w:p w14:paraId="1FB0A283">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29" w:type="dxa"/>
            <w:tcBorders>
              <w:top w:val="single" w:color="000000" w:sz="4" w:space="0"/>
              <w:left w:val="single" w:color="000000" w:sz="4" w:space="0"/>
              <w:bottom w:val="single" w:color="000000" w:sz="4" w:space="0"/>
              <w:right w:val="single" w:color="000000" w:sz="4" w:space="0"/>
            </w:tcBorders>
          </w:tcPr>
          <w:p w14:paraId="565738A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2266" w:type="dxa"/>
            <w:tcBorders>
              <w:top w:val="single" w:color="000000" w:sz="4" w:space="0"/>
              <w:left w:val="single" w:color="000000" w:sz="4" w:space="0"/>
              <w:bottom w:val="single" w:color="000000" w:sz="4" w:space="0"/>
              <w:right w:val="single" w:color="000000" w:sz="4" w:space="0"/>
            </w:tcBorders>
          </w:tcPr>
          <w:p w14:paraId="6B25604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2 </w:t>
            </w:r>
          </w:p>
        </w:tc>
      </w:tr>
      <w:tr w14:paraId="7E15D4E0">
        <w:tblPrEx>
          <w:tblCellMar>
            <w:top w:w="8" w:type="dxa"/>
            <w:left w:w="108" w:type="dxa"/>
            <w:bottom w:w="0" w:type="dxa"/>
            <w:right w:w="115" w:type="dxa"/>
          </w:tblCellMar>
        </w:tblPrEx>
        <w:trPr>
          <w:trHeight w:val="240" w:hRule="atLeast"/>
        </w:trPr>
        <w:tc>
          <w:tcPr>
            <w:tcW w:w="2272" w:type="dxa"/>
            <w:vMerge w:val="continue"/>
            <w:tcBorders>
              <w:top w:val="nil"/>
              <w:left w:val="single" w:color="000000" w:sz="4" w:space="0"/>
              <w:bottom w:val="single" w:color="000000" w:sz="4" w:space="0"/>
              <w:right w:val="single" w:color="000000" w:sz="4" w:space="0"/>
            </w:tcBorders>
          </w:tcPr>
          <w:p w14:paraId="5FD188F6">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29" w:type="dxa"/>
            <w:tcBorders>
              <w:top w:val="single" w:color="000000" w:sz="4" w:space="0"/>
              <w:left w:val="single" w:color="000000" w:sz="4" w:space="0"/>
              <w:bottom w:val="single" w:color="000000" w:sz="4" w:space="0"/>
              <w:right w:val="single" w:color="000000" w:sz="4" w:space="0"/>
            </w:tcBorders>
          </w:tcPr>
          <w:p w14:paraId="048021A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2266" w:type="dxa"/>
            <w:tcBorders>
              <w:top w:val="single" w:color="000000" w:sz="4" w:space="0"/>
              <w:left w:val="single" w:color="000000" w:sz="4" w:space="0"/>
              <w:bottom w:val="single" w:color="000000" w:sz="4" w:space="0"/>
              <w:right w:val="single" w:color="000000" w:sz="4" w:space="0"/>
            </w:tcBorders>
          </w:tcPr>
          <w:p w14:paraId="4298E1A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742D5368">
        <w:tblPrEx>
          <w:tblCellMar>
            <w:top w:w="8" w:type="dxa"/>
            <w:left w:w="108" w:type="dxa"/>
            <w:bottom w:w="0" w:type="dxa"/>
            <w:right w:w="115" w:type="dxa"/>
          </w:tblCellMar>
        </w:tblPrEx>
        <w:trPr>
          <w:trHeight w:val="240" w:hRule="atLeast"/>
        </w:trPr>
        <w:tc>
          <w:tcPr>
            <w:tcW w:w="2272" w:type="dxa"/>
            <w:vMerge w:val="restart"/>
            <w:tcBorders>
              <w:top w:val="single" w:color="000000" w:sz="4" w:space="0"/>
              <w:left w:val="single" w:color="000000" w:sz="4" w:space="0"/>
              <w:bottom w:val="single" w:color="000000" w:sz="4" w:space="0"/>
              <w:right w:val="single" w:color="000000" w:sz="4" w:space="0"/>
            </w:tcBorders>
          </w:tcPr>
          <w:p w14:paraId="2694965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4029" w:type="dxa"/>
            <w:tcBorders>
              <w:top w:val="single" w:color="000000" w:sz="4" w:space="0"/>
              <w:left w:val="single" w:color="000000" w:sz="4" w:space="0"/>
              <w:bottom w:val="single" w:color="000000" w:sz="4" w:space="0"/>
              <w:right w:val="single" w:color="000000" w:sz="4" w:space="0"/>
            </w:tcBorders>
          </w:tcPr>
          <w:p w14:paraId="2D57DF3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2266" w:type="dxa"/>
            <w:tcBorders>
              <w:top w:val="single" w:color="000000" w:sz="4" w:space="0"/>
              <w:left w:val="single" w:color="000000" w:sz="4" w:space="0"/>
              <w:bottom w:val="single" w:color="000000" w:sz="4" w:space="0"/>
              <w:right w:val="single" w:color="000000" w:sz="4" w:space="0"/>
            </w:tcBorders>
          </w:tcPr>
          <w:p w14:paraId="1F1B44D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w:t>
            </w:r>
          </w:p>
        </w:tc>
      </w:tr>
      <w:tr w14:paraId="228773B7">
        <w:tblPrEx>
          <w:tblCellMar>
            <w:top w:w="8" w:type="dxa"/>
            <w:left w:w="108" w:type="dxa"/>
            <w:bottom w:w="0" w:type="dxa"/>
            <w:right w:w="115" w:type="dxa"/>
          </w:tblCellMar>
        </w:tblPrEx>
        <w:trPr>
          <w:trHeight w:val="241" w:hRule="atLeast"/>
        </w:trPr>
        <w:tc>
          <w:tcPr>
            <w:tcW w:w="2272" w:type="dxa"/>
            <w:vMerge w:val="continue"/>
            <w:tcBorders>
              <w:top w:val="nil"/>
              <w:left w:val="single" w:color="000000" w:sz="4" w:space="0"/>
              <w:bottom w:val="single" w:color="000000" w:sz="4" w:space="0"/>
              <w:right w:val="single" w:color="000000" w:sz="4" w:space="0"/>
            </w:tcBorders>
          </w:tcPr>
          <w:p w14:paraId="09E5B26C">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29" w:type="dxa"/>
            <w:tcBorders>
              <w:top w:val="single" w:color="000000" w:sz="4" w:space="0"/>
              <w:left w:val="single" w:color="000000" w:sz="4" w:space="0"/>
              <w:bottom w:val="single" w:color="000000" w:sz="4" w:space="0"/>
              <w:right w:val="single" w:color="000000" w:sz="4" w:space="0"/>
            </w:tcBorders>
          </w:tcPr>
          <w:p w14:paraId="4BFA939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2266" w:type="dxa"/>
            <w:tcBorders>
              <w:top w:val="single" w:color="000000" w:sz="4" w:space="0"/>
              <w:left w:val="single" w:color="000000" w:sz="4" w:space="0"/>
              <w:bottom w:val="single" w:color="000000" w:sz="4" w:space="0"/>
              <w:right w:val="single" w:color="000000" w:sz="4" w:space="0"/>
            </w:tcBorders>
          </w:tcPr>
          <w:p w14:paraId="66FD67E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w:t>
            </w:r>
          </w:p>
        </w:tc>
      </w:tr>
      <w:tr w14:paraId="07A1B43C">
        <w:tblPrEx>
          <w:tblCellMar>
            <w:top w:w="8" w:type="dxa"/>
            <w:left w:w="108" w:type="dxa"/>
            <w:bottom w:w="0" w:type="dxa"/>
            <w:right w:w="115" w:type="dxa"/>
          </w:tblCellMar>
        </w:tblPrEx>
        <w:trPr>
          <w:trHeight w:val="467" w:hRule="atLeast"/>
        </w:trPr>
        <w:tc>
          <w:tcPr>
            <w:tcW w:w="2272" w:type="dxa"/>
            <w:tcBorders>
              <w:top w:val="single" w:color="000000" w:sz="4" w:space="0"/>
              <w:left w:val="single" w:color="000000" w:sz="4" w:space="0"/>
              <w:bottom w:val="single" w:color="000000" w:sz="4" w:space="0"/>
              <w:right w:val="single" w:color="000000" w:sz="4" w:space="0"/>
            </w:tcBorders>
          </w:tcPr>
          <w:p w14:paraId="416EFDC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4029" w:type="dxa"/>
            <w:tcBorders>
              <w:top w:val="single" w:color="000000" w:sz="4" w:space="0"/>
              <w:left w:val="single" w:color="000000" w:sz="4" w:space="0"/>
              <w:bottom w:val="single" w:color="000000" w:sz="4" w:space="0"/>
              <w:right w:val="single" w:color="000000" w:sz="4" w:space="0"/>
            </w:tcBorders>
          </w:tcPr>
          <w:p w14:paraId="5A0BCF3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Low Medium </w:t>
            </w:r>
          </w:p>
        </w:tc>
        <w:tc>
          <w:tcPr>
            <w:tcW w:w="2266" w:type="dxa"/>
            <w:tcBorders>
              <w:top w:val="single" w:color="000000" w:sz="4" w:space="0"/>
              <w:left w:val="single" w:color="000000" w:sz="4" w:space="0"/>
              <w:bottom w:val="single" w:color="000000" w:sz="4" w:space="0"/>
              <w:right w:val="single" w:color="000000" w:sz="4" w:space="0"/>
            </w:tcBorders>
            <w:shd w:val="clear" w:color="auto" w:fill="92D050"/>
          </w:tcPr>
          <w:p w14:paraId="1219ECE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15 </w:t>
            </w:r>
          </w:p>
        </w:tc>
      </w:tr>
    </w:tbl>
    <w:p w14:paraId="3DCEDB53">
      <w:pPr>
        <w:widowControl w:val="0"/>
        <w:tabs>
          <w:tab w:val="left" w:pos="709"/>
        </w:tabs>
        <w:autoSpaceDE w:val="0"/>
        <w:autoSpaceDN w:val="0"/>
        <w:spacing w:before="100" w:beforeAutospacing="1" w:after="100" w:afterAutospacing="1" w:line="240" w:lineRule="auto"/>
        <w:ind w:left="709"/>
        <w:jc w:val="both"/>
        <w:rPr>
          <w:rFonts w:eastAsia="Calibri" w:cs="Times New Roman"/>
          <w:b/>
          <w:bCs/>
          <w:i/>
          <w:lang w:bidi="en-US"/>
        </w:rPr>
      </w:pPr>
      <w:r>
        <w:rPr>
          <w:rFonts w:eastAsia="Calibri" w:cs="Times New Roman"/>
          <w:b/>
          <w:bCs/>
          <w:i/>
          <w:lang w:bidi="en-US"/>
        </w:rPr>
        <w:t>Mitigation measures</w:t>
      </w:r>
    </w:p>
    <w:p w14:paraId="45EB017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Establish strict codes of conduct for all project staff and contractors, with clear penalties for SEA violations.</w:t>
      </w:r>
    </w:p>
    <w:p w14:paraId="63A312B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Conduct community awareness campaigns to educate local populations about their rights and reporting mechanisms.</w:t>
      </w:r>
    </w:p>
    <w:p w14:paraId="02118E9D">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Set up confidential and accessible reporting systems where victims can safely report SEA incidents without fear of retaliation.</w:t>
      </w:r>
    </w:p>
    <w:p w14:paraId="7698BCE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Provide mandatory training for all project staff on SEA prevention, gender sensitivity, and appropriate workplace behavior.</w:t>
      </w:r>
    </w:p>
    <w:p w14:paraId="5C92E52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Regularly monitor project sites and enforce policies through independent oversight and periodic audits.</w:t>
      </w:r>
    </w:p>
    <w:p w14:paraId="09BBE9E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Ensure that victims of SEA have access to medical, legal, and psychological support.</w:t>
      </w:r>
    </w:p>
    <w:p w14:paraId="618C0742">
      <w:pPr>
        <w:widowControl w:val="0"/>
        <w:tabs>
          <w:tab w:val="left" w:pos="709"/>
        </w:tabs>
        <w:autoSpaceDE w:val="0"/>
        <w:autoSpaceDN w:val="0"/>
        <w:spacing w:before="100" w:beforeAutospacing="1" w:after="100" w:afterAutospacing="1" w:line="240" w:lineRule="auto"/>
        <w:ind w:left="709"/>
        <w:jc w:val="both"/>
        <w:rPr>
          <w:rFonts w:eastAsia="Calibri" w:cs="Times New Roman"/>
          <w:b/>
          <w:bCs/>
          <w:i/>
          <w:lang w:bidi="en-US"/>
        </w:rPr>
      </w:pPr>
      <w:r>
        <w:rPr>
          <w:rFonts w:eastAsia="Calibri" w:cs="Times New Roman"/>
          <w:b/>
          <w:bCs/>
          <w:lang w:bidi="en-US"/>
        </w:rPr>
        <w:t xml:space="preserve">Inadequate stakeholder Engagement and Exclusion of disadvantaged and vulnerable groups </w:t>
      </w:r>
      <w:r>
        <w:rPr>
          <w:rFonts w:eastAsia="Calibri" w:cs="Times New Roman"/>
          <w:b/>
          <w:bCs/>
          <w:i/>
          <w:lang w:bidi="en-US"/>
        </w:rPr>
        <w:t>(Medium high)</w:t>
      </w:r>
    </w:p>
    <w:p w14:paraId="53FF6849">
      <w:pPr>
        <w:keepNext/>
        <w:keepLines/>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When disadvantaged and vulnerable groups are excluded from the decision-making process, their voices, needs, and priorities are often overlooked. This can result in infrastructure projects that fail to address the unique challenges faced by these communities, perpetuating inequality and marginalization.</w:t>
      </w:r>
    </w:p>
    <w:p w14:paraId="0850954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Exclusion from stakeholder engagement can erode trust between communities and project implementers, leading to resentment, frustration, and social tension. Without meaningful participation and inclusion, stakeholders may become disillusioned with the project and its objectives, hindering cooperation and collaboration.</w:t>
      </w:r>
    </w:p>
    <w:tbl>
      <w:tblPr>
        <w:tblStyle w:val="258"/>
        <w:tblW w:w="8709" w:type="dxa"/>
        <w:tblInd w:w="704" w:type="dxa"/>
        <w:tblLayout w:type="autofit"/>
        <w:tblCellMar>
          <w:top w:w="8" w:type="dxa"/>
          <w:left w:w="108" w:type="dxa"/>
          <w:bottom w:w="0" w:type="dxa"/>
          <w:right w:w="115" w:type="dxa"/>
        </w:tblCellMar>
      </w:tblPr>
      <w:tblGrid>
        <w:gridCol w:w="4253"/>
        <w:gridCol w:w="3671"/>
        <w:gridCol w:w="785"/>
      </w:tblGrid>
      <w:tr w14:paraId="70FF9F32">
        <w:tblPrEx>
          <w:tblCellMar>
            <w:top w:w="8" w:type="dxa"/>
            <w:left w:w="108" w:type="dxa"/>
            <w:bottom w:w="0" w:type="dxa"/>
            <w:right w:w="115" w:type="dxa"/>
          </w:tblCellMar>
        </w:tblPrEx>
        <w:trPr>
          <w:trHeight w:val="240" w:hRule="atLeast"/>
        </w:trPr>
        <w:tc>
          <w:tcPr>
            <w:tcW w:w="4253" w:type="dxa"/>
            <w:tcBorders>
              <w:top w:val="single" w:color="000000" w:sz="4" w:space="0"/>
              <w:left w:val="single" w:color="000000" w:sz="4" w:space="0"/>
              <w:bottom w:val="single" w:color="000000" w:sz="4" w:space="0"/>
              <w:right w:val="nil"/>
            </w:tcBorders>
          </w:tcPr>
          <w:p w14:paraId="167BC00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71" w:type="dxa"/>
            <w:tcBorders>
              <w:top w:val="single" w:color="000000" w:sz="4" w:space="0"/>
              <w:left w:val="nil"/>
              <w:bottom w:val="single" w:color="000000" w:sz="4" w:space="0"/>
              <w:right w:val="single" w:color="000000" w:sz="4" w:space="0"/>
            </w:tcBorders>
          </w:tcPr>
          <w:p w14:paraId="248384D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785" w:type="dxa"/>
            <w:tcBorders>
              <w:top w:val="single" w:color="000000" w:sz="4" w:space="0"/>
              <w:left w:val="single" w:color="000000" w:sz="4" w:space="0"/>
              <w:bottom w:val="single" w:color="000000" w:sz="4" w:space="0"/>
              <w:right w:val="single" w:color="000000" w:sz="4" w:space="0"/>
            </w:tcBorders>
          </w:tcPr>
          <w:p w14:paraId="648C2F4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4E9DDC4A">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198B358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71" w:type="dxa"/>
            <w:tcBorders>
              <w:top w:val="single" w:color="000000" w:sz="4" w:space="0"/>
              <w:left w:val="single" w:color="000000" w:sz="4" w:space="0"/>
              <w:bottom w:val="single" w:color="000000" w:sz="4" w:space="0"/>
              <w:right w:val="single" w:color="000000" w:sz="4" w:space="0"/>
            </w:tcBorders>
          </w:tcPr>
          <w:p w14:paraId="0C91595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85" w:type="dxa"/>
            <w:tcBorders>
              <w:top w:val="single" w:color="000000" w:sz="4" w:space="0"/>
              <w:left w:val="single" w:color="000000" w:sz="4" w:space="0"/>
              <w:bottom w:val="single" w:color="000000" w:sz="4" w:space="0"/>
              <w:right w:val="single" w:color="000000" w:sz="4" w:space="0"/>
            </w:tcBorders>
          </w:tcPr>
          <w:p w14:paraId="3F1CCAD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w:t>
            </w:r>
          </w:p>
        </w:tc>
      </w:tr>
      <w:tr w14:paraId="4FF0926C">
        <w:tblPrEx>
          <w:tblCellMar>
            <w:top w:w="8" w:type="dxa"/>
            <w:left w:w="108" w:type="dxa"/>
            <w:bottom w:w="0" w:type="dxa"/>
            <w:right w:w="115" w:type="dxa"/>
          </w:tblCellMar>
        </w:tblPrEx>
        <w:trPr>
          <w:trHeight w:val="283" w:hRule="atLeast"/>
        </w:trPr>
        <w:tc>
          <w:tcPr>
            <w:tcW w:w="4253" w:type="dxa"/>
            <w:vMerge w:val="continue"/>
            <w:tcBorders>
              <w:top w:val="nil"/>
              <w:left w:val="single" w:color="000000" w:sz="4" w:space="0"/>
              <w:bottom w:val="nil"/>
              <w:right w:val="single" w:color="000000" w:sz="4" w:space="0"/>
            </w:tcBorders>
          </w:tcPr>
          <w:p w14:paraId="1918E258">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6AB00D2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85" w:type="dxa"/>
            <w:tcBorders>
              <w:top w:val="single" w:color="000000" w:sz="4" w:space="0"/>
              <w:left w:val="single" w:color="000000" w:sz="4" w:space="0"/>
              <w:bottom w:val="single" w:color="000000" w:sz="4" w:space="0"/>
              <w:right w:val="single" w:color="000000" w:sz="4" w:space="0"/>
            </w:tcBorders>
          </w:tcPr>
          <w:p w14:paraId="7EF674E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2 </w:t>
            </w:r>
          </w:p>
        </w:tc>
      </w:tr>
      <w:tr w14:paraId="137B5905">
        <w:tblPrEx>
          <w:tblCellMar>
            <w:top w:w="8" w:type="dxa"/>
            <w:left w:w="108" w:type="dxa"/>
            <w:bottom w:w="0" w:type="dxa"/>
            <w:right w:w="115" w:type="dxa"/>
          </w:tblCellMar>
        </w:tblPrEx>
        <w:trPr>
          <w:trHeight w:val="240" w:hRule="atLeast"/>
        </w:trPr>
        <w:tc>
          <w:tcPr>
            <w:tcW w:w="4253" w:type="dxa"/>
            <w:vMerge w:val="continue"/>
            <w:tcBorders>
              <w:top w:val="nil"/>
              <w:left w:val="single" w:color="000000" w:sz="4" w:space="0"/>
              <w:bottom w:val="single" w:color="000000" w:sz="4" w:space="0"/>
              <w:right w:val="single" w:color="000000" w:sz="4" w:space="0"/>
            </w:tcBorders>
          </w:tcPr>
          <w:p w14:paraId="5B2E097B">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102EA22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85" w:type="dxa"/>
            <w:tcBorders>
              <w:top w:val="single" w:color="000000" w:sz="4" w:space="0"/>
              <w:left w:val="single" w:color="000000" w:sz="4" w:space="0"/>
              <w:bottom w:val="single" w:color="000000" w:sz="4" w:space="0"/>
              <w:right w:val="single" w:color="000000" w:sz="4" w:space="0"/>
            </w:tcBorders>
          </w:tcPr>
          <w:p w14:paraId="680E9BC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1949E48D">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7E12D6F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71" w:type="dxa"/>
            <w:tcBorders>
              <w:top w:val="single" w:color="000000" w:sz="4" w:space="0"/>
              <w:left w:val="single" w:color="000000" w:sz="4" w:space="0"/>
              <w:bottom w:val="single" w:color="000000" w:sz="4" w:space="0"/>
              <w:right w:val="single" w:color="000000" w:sz="4" w:space="0"/>
            </w:tcBorders>
          </w:tcPr>
          <w:p w14:paraId="33CE1D9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85" w:type="dxa"/>
            <w:tcBorders>
              <w:top w:val="single" w:color="000000" w:sz="4" w:space="0"/>
              <w:left w:val="single" w:color="000000" w:sz="4" w:space="0"/>
              <w:bottom w:val="single" w:color="000000" w:sz="4" w:space="0"/>
              <w:right w:val="single" w:color="000000" w:sz="4" w:space="0"/>
            </w:tcBorders>
          </w:tcPr>
          <w:p w14:paraId="0551417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w:t>
            </w:r>
          </w:p>
        </w:tc>
      </w:tr>
      <w:tr w14:paraId="2E96AB4E">
        <w:tblPrEx>
          <w:tblCellMar>
            <w:top w:w="8" w:type="dxa"/>
            <w:left w:w="108" w:type="dxa"/>
            <w:bottom w:w="0" w:type="dxa"/>
            <w:right w:w="115" w:type="dxa"/>
          </w:tblCellMar>
        </w:tblPrEx>
        <w:trPr>
          <w:trHeight w:val="241" w:hRule="atLeast"/>
        </w:trPr>
        <w:tc>
          <w:tcPr>
            <w:tcW w:w="4253" w:type="dxa"/>
            <w:vMerge w:val="continue"/>
            <w:tcBorders>
              <w:top w:val="nil"/>
              <w:left w:val="single" w:color="000000" w:sz="4" w:space="0"/>
              <w:bottom w:val="single" w:color="000000" w:sz="4" w:space="0"/>
              <w:right w:val="single" w:color="000000" w:sz="4" w:space="0"/>
            </w:tcBorders>
          </w:tcPr>
          <w:p w14:paraId="42D1B908">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02B4508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85" w:type="dxa"/>
            <w:tcBorders>
              <w:top w:val="single" w:color="000000" w:sz="4" w:space="0"/>
              <w:left w:val="single" w:color="000000" w:sz="4" w:space="0"/>
              <w:bottom w:val="single" w:color="000000" w:sz="4" w:space="0"/>
              <w:right w:val="single" w:color="000000" w:sz="4" w:space="0"/>
            </w:tcBorders>
          </w:tcPr>
          <w:p w14:paraId="5A81549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w:t>
            </w:r>
          </w:p>
        </w:tc>
      </w:tr>
      <w:tr w14:paraId="6C8FB0B9">
        <w:tblPrEx>
          <w:tblCellMar>
            <w:top w:w="8" w:type="dxa"/>
            <w:left w:w="108" w:type="dxa"/>
            <w:bottom w:w="0" w:type="dxa"/>
            <w:right w:w="115" w:type="dxa"/>
          </w:tblCellMar>
        </w:tblPrEx>
        <w:trPr>
          <w:trHeight w:val="467" w:hRule="atLeast"/>
        </w:trPr>
        <w:tc>
          <w:tcPr>
            <w:tcW w:w="4253" w:type="dxa"/>
            <w:tcBorders>
              <w:top w:val="single" w:color="000000" w:sz="4" w:space="0"/>
              <w:left w:val="single" w:color="000000" w:sz="4" w:space="0"/>
              <w:bottom w:val="single" w:color="000000" w:sz="4" w:space="0"/>
              <w:right w:val="single" w:color="000000" w:sz="4" w:space="0"/>
            </w:tcBorders>
          </w:tcPr>
          <w:p w14:paraId="65368B4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71" w:type="dxa"/>
            <w:tcBorders>
              <w:top w:val="single" w:color="000000" w:sz="4" w:space="0"/>
              <w:left w:val="single" w:color="000000" w:sz="4" w:space="0"/>
              <w:bottom w:val="single" w:color="000000" w:sz="4" w:space="0"/>
              <w:right w:val="single" w:color="000000" w:sz="4" w:space="0"/>
            </w:tcBorders>
          </w:tcPr>
          <w:p w14:paraId="788A089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Medium high</w:t>
            </w:r>
          </w:p>
        </w:tc>
        <w:tc>
          <w:tcPr>
            <w:tcW w:w="785" w:type="dxa"/>
            <w:tcBorders>
              <w:top w:val="single" w:color="000000" w:sz="4" w:space="0"/>
              <w:left w:val="single" w:color="000000" w:sz="4" w:space="0"/>
              <w:bottom w:val="single" w:color="000000" w:sz="4" w:space="0"/>
              <w:right w:val="single" w:color="000000" w:sz="4" w:space="0"/>
            </w:tcBorders>
            <w:shd w:val="clear" w:color="auto" w:fill="FFE599" w:themeFill="accent4" w:themeFillTint="66"/>
          </w:tcPr>
          <w:p w14:paraId="62798FD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24</w:t>
            </w:r>
          </w:p>
        </w:tc>
      </w:tr>
    </w:tbl>
    <w:p w14:paraId="5F7B9AF2">
      <w:pPr>
        <w:widowControl w:val="0"/>
        <w:tabs>
          <w:tab w:val="left" w:pos="709"/>
        </w:tabs>
        <w:autoSpaceDE w:val="0"/>
        <w:autoSpaceDN w:val="0"/>
        <w:spacing w:before="100" w:beforeAutospacing="1" w:after="100" w:afterAutospacing="1" w:line="240" w:lineRule="auto"/>
        <w:ind w:left="709"/>
        <w:jc w:val="both"/>
        <w:rPr>
          <w:rFonts w:eastAsia="Calibri" w:cs="Times New Roman"/>
          <w:bCs/>
          <w:lang w:bidi="en-US"/>
        </w:rPr>
      </w:pPr>
      <w:r>
        <w:rPr>
          <w:rFonts w:eastAsia="Calibri" w:cs="Times New Roman"/>
          <w:bCs/>
          <w:i/>
          <w:lang w:bidi="en-US"/>
        </w:rPr>
        <w:t>Mitigation measures</w:t>
      </w:r>
      <w:r>
        <w:rPr>
          <w:rFonts w:eastAsia="Calibri" w:cs="Times New Roman"/>
          <w:bCs/>
          <w:lang w:bidi="en-US"/>
        </w:rPr>
        <w:t xml:space="preserve">; </w:t>
      </w:r>
    </w:p>
    <w:p w14:paraId="23F42BE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Share project information widely and in a timely manner through diverse, feasible and accessible channels of communication e.g., public forums.</w:t>
      </w:r>
    </w:p>
    <w:p w14:paraId="6946002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Introduce measures for affirmative action that would ensure especially persons with disability, the elderly and women have access to job opportunities.</w:t>
      </w:r>
    </w:p>
    <w:p w14:paraId="3D80EF4C">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Undertake recruitment transparently, while ensuring the inclusion of disadvantaged groups.</w:t>
      </w:r>
    </w:p>
    <w:p w14:paraId="16691E9D">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Develop and implementation of a stakeholder engagement plan.</w:t>
      </w:r>
    </w:p>
    <w:p w14:paraId="59C8250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Engage stakeholders throughout the project phase as guided by the approved stakeholder engagement plan.</w:t>
      </w:r>
    </w:p>
    <w:p w14:paraId="66338F3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Culturally appropriate consultations and early involvement of VMGs in the project.</w:t>
      </w:r>
    </w:p>
    <w:p w14:paraId="630998B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of tailored communication channels to ensure VMGs can access project information.</w:t>
      </w:r>
    </w:p>
    <w:p w14:paraId="023410E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Training and empowerment programs to enhance VMG participation.</w:t>
      </w:r>
    </w:p>
    <w:p w14:paraId="227A1E4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Ensure VMGs have equal access to project benefits and opportunities.</w:t>
      </w:r>
    </w:p>
    <w:p w14:paraId="41E85CE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Culturally sensitive systems for VMGs to safely report issues.</w:t>
      </w:r>
    </w:p>
    <w:p w14:paraId="0A40722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Adherence to policies that protect VMG rights.</w:t>
      </w:r>
    </w:p>
    <w:p w14:paraId="17367B3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Ongoing assessment involving VMGs to track the project’s impact on them.</w:t>
      </w:r>
    </w:p>
    <w:p w14:paraId="6E408B80">
      <w:pPr>
        <w:widowControl w:val="0"/>
        <w:tabs>
          <w:tab w:val="left" w:pos="709"/>
        </w:tabs>
        <w:autoSpaceDE w:val="0"/>
        <w:autoSpaceDN w:val="0"/>
        <w:spacing w:before="100" w:beforeAutospacing="1" w:after="100" w:afterAutospacing="1" w:line="240" w:lineRule="auto"/>
        <w:ind w:left="709"/>
        <w:jc w:val="both"/>
        <w:rPr>
          <w:rFonts w:eastAsia="Calibri" w:cs="Calibri"/>
          <w:b/>
          <w:bCs/>
          <w:i/>
          <w:lang w:bidi="en-US"/>
        </w:rPr>
      </w:pPr>
      <w:r>
        <w:rPr>
          <w:rFonts w:eastAsia="Calibri" w:cs="Calibri"/>
          <w:b/>
          <w:bCs/>
          <w:lang w:bidi="en-US"/>
        </w:rPr>
        <w:t xml:space="preserve">Child labour and Abuse Risk </w:t>
      </w:r>
      <w:r>
        <w:rPr>
          <w:rFonts w:eastAsia="Calibri" w:cs="Calibri"/>
          <w:b/>
          <w:bCs/>
          <w:i/>
          <w:lang w:bidi="en-US"/>
        </w:rPr>
        <w:t>(Medium high)</w:t>
      </w:r>
    </w:p>
    <w:p w14:paraId="3D349C2B">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In impoverished communities, families may resort to child labor out of economic necessity. This can lead to children being pulled out of school to work in informal sectors such as street vending, domestic work, or agriculture, depriving them of their right to education and exposing them to exploitation and abuse. Children engaged in labor may be subjected to exploitative working conditions, including long hours, low wages, and hazardous environments. They may be forced to undertake tasks that are physically or mentally harmful, risking their health, well-being, and development.</w:t>
      </w:r>
      <w:bookmarkStart w:id="463" w:name="_Toc168326940"/>
      <w:bookmarkStart w:id="464" w:name="_Toc167798465"/>
      <w:r>
        <w:rPr>
          <w:rFonts w:eastAsia="Calibri" w:cs="Calibri"/>
          <w:lang w:bidi="en-US"/>
        </w:rPr>
        <w:t xml:space="preserve">: </w:t>
      </w:r>
      <w:bookmarkEnd w:id="463"/>
      <w:bookmarkEnd w:id="464"/>
    </w:p>
    <w:tbl>
      <w:tblPr>
        <w:tblStyle w:val="258"/>
        <w:tblW w:w="8709" w:type="dxa"/>
        <w:tblInd w:w="704" w:type="dxa"/>
        <w:tblLayout w:type="autofit"/>
        <w:tblCellMar>
          <w:top w:w="8" w:type="dxa"/>
          <w:left w:w="108" w:type="dxa"/>
          <w:bottom w:w="0" w:type="dxa"/>
          <w:right w:w="115" w:type="dxa"/>
        </w:tblCellMar>
      </w:tblPr>
      <w:tblGrid>
        <w:gridCol w:w="4253"/>
        <w:gridCol w:w="3671"/>
        <w:gridCol w:w="785"/>
      </w:tblGrid>
      <w:tr w14:paraId="2F00FE83">
        <w:tblPrEx>
          <w:tblCellMar>
            <w:top w:w="8" w:type="dxa"/>
            <w:left w:w="108" w:type="dxa"/>
            <w:bottom w:w="0" w:type="dxa"/>
            <w:right w:w="115" w:type="dxa"/>
          </w:tblCellMar>
        </w:tblPrEx>
        <w:trPr>
          <w:trHeight w:val="240" w:hRule="atLeast"/>
        </w:trPr>
        <w:tc>
          <w:tcPr>
            <w:tcW w:w="4253" w:type="dxa"/>
            <w:tcBorders>
              <w:top w:val="single" w:color="000000" w:sz="4" w:space="0"/>
              <w:left w:val="single" w:color="000000" w:sz="4" w:space="0"/>
              <w:bottom w:val="single" w:color="000000" w:sz="4" w:space="0"/>
              <w:right w:val="nil"/>
            </w:tcBorders>
          </w:tcPr>
          <w:p w14:paraId="2658026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71" w:type="dxa"/>
            <w:tcBorders>
              <w:top w:val="single" w:color="000000" w:sz="4" w:space="0"/>
              <w:left w:val="nil"/>
              <w:bottom w:val="single" w:color="000000" w:sz="4" w:space="0"/>
              <w:right w:val="single" w:color="000000" w:sz="4" w:space="0"/>
            </w:tcBorders>
          </w:tcPr>
          <w:p w14:paraId="1960E8A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785" w:type="dxa"/>
            <w:tcBorders>
              <w:top w:val="single" w:color="000000" w:sz="4" w:space="0"/>
              <w:left w:val="single" w:color="000000" w:sz="4" w:space="0"/>
              <w:bottom w:val="single" w:color="000000" w:sz="4" w:space="0"/>
              <w:right w:val="single" w:color="000000" w:sz="4" w:space="0"/>
            </w:tcBorders>
          </w:tcPr>
          <w:p w14:paraId="35CA5A8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147582DD">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5430A3E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71" w:type="dxa"/>
            <w:tcBorders>
              <w:top w:val="single" w:color="000000" w:sz="4" w:space="0"/>
              <w:left w:val="single" w:color="000000" w:sz="4" w:space="0"/>
              <w:bottom w:val="single" w:color="000000" w:sz="4" w:space="0"/>
              <w:right w:val="single" w:color="000000" w:sz="4" w:space="0"/>
            </w:tcBorders>
          </w:tcPr>
          <w:p w14:paraId="690CDD9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85" w:type="dxa"/>
            <w:tcBorders>
              <w:top w:val="single" w:color="000000" w:sz="4" w:space="0"/>
              <w:left w:val="single" w:color="000000" w:sz="4" w:space="0"/>
              <w:bottom w:val="single" w:color="000000" w:sz="4" w:space="0"/>
              <w:right w:val="single" w:color="000000" w:sz="4" w:space="0"/>
            </w:tcBorders>
          </w:tcPr>
          <w:p w14:paraId="2D9DA95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2 </w:t>
            </w:r>
          </w:p>
        </w:tc>
      </w:tr>
      <w:tr w14:paraId="1C80D9BB">
        <w:tblPrEx>
          <w:tblCellMar>
            <w:top w:w="8" w:type="dxa"/>
            <w:left w:w="108" w:type="dxa"/>
            <w:bottom w:w="0" w:type="dxa"/>
            <w:right w:w="115" w:type="dxa"/>
          </w:tblCellMar>
        </w:tblPrEx>
        <w:trPr>
          <w:trHeight w:val="230" w:hRule="atLeast"/>
        </w:trPr>
        <w:tc>
          <w:tcPr>
            <w:tcW w:w="4253" w:type="dxa"/>
            <w:vMerge w:val="continue"/>
            <w:tcBorders>
              <w:top w:val="nil"/>
              <w:left w:val="single" w:color="000000" w:sz="4" w:space="0"/>
              <w:bottom w:val="nil"/>
              <w:right w:val="single" w:color="000000" w:sz="4" w:space="0"/>
            </w:tcBorders>
          </w:tcPr>
          <w:p w14:paraId="7B2A041D">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15ECD6B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85" w:type="dxa"/>
            <w:tcBorders>
              <w:top w:val="single" w:color="000000" w:sz="4" w:space="0"/>
              <w:left w:val="single" w:color="000000" w:sz="4" w:space="0"/>
              <w:bottom w:val="single" w:color="000000" w:sz="4" w:space="0"/>
              <w:right w:val="single" w:color="000000" w:sz="4" w:space="0"/>
            </w:tcBorders>
          </w:tcPr>
          <w:p w14:paraId="39F58F2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22456B53">
        <w:tblPrEx>
          <w:tblCellMar>
            <w:top w:w="8" w:type="dxa"/>
            <w:left w:w="108" w:type="dxa"/>
            <w:bottom w:w="0" w:type="dxa"/>
            <w:right w:w="115" w:type="dxa"/>
          </w:tblCellMar>
        </w:tblPrEx>
        <w:trPr>
          <w:trHeight w:val="240" w:hRule="atLeast"/>
        </w:trPr>
        <w:tc>
          <w:tcPr>
            <w:tcW w:w="4253" w:type="dxa"/>
            <w:vMerge w:val="continue"/>
            <w:tcBorders>
              <w:top w:val="nil"/>
              <w:left w:val="single" w:color="000000" w:sz="4" w:space="0"/>
              <w:bottom w:val="single" w:color="000000" w:sz="4" w:space="0"/>
              <w:right w:val="single" w:color="000000" w:sz="4" w:space="0"/>
            </w:tcBorders>
          </w:tcPr>
          <w:p w14:paraId="162D8E43">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6CB7641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85" w:type="dxa"/>
            <w:tcBorders>
              <w:top w:val="single" w:color="000000" w:sz="4" w:space="0"/>
              <w:left w:val="single" w:color="000000" w:sz="4" w:space="0"/>
              <w:bottom w:val="single" w:color="000000" w:sz="4" w:space="0"/>
              <w:right w:val="single" w:color="000000" w:sz="4" w:space="0"/>
            </w:tcBorders>
          </w:tcPr>
          <w:p w14:paraId="52870E8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30A0C08B">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5C33028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71" w:type="dxa"/>
            <w:tcBorders>
              <w:top w:val="single" w:color="000000" w:sz="4" w:space="0"/>
              <w:left w:val="single" w:color="000000" w:sz="4" w:space="0"/>
              <w:bottom w:val="single" w:color="000000" w:sz="4" w:space="0"/>
              <w:right w:val="single" w:color="000000" w:sz="4" w:space="0"/>
            </w:tcBorders>
          </w:tcPr>
          <w:p w14:paraId="2BF5CC4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85" w:type="dxa"/>
            <w:tcBorders>
              <w:top w:val="single" w:color="000000" w:sz="4" w:space="0"/>
              <w:left w:val="single" w:color="000000" w:sz="4" w:space="0"/>
              <w:bottom w:val="single" w:color="000000" w:sz="4" w:space="0"/>
              <w:right w:val="single" w:color="000000" w:sz="4" w:space="0"/>
            </w:tcBorders>
          </w:tcPr>
          <w:p w14:paraId="0FAB106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4</w:t>
            </w:r>
          </w:p>
        </w:tc>
      </w:tr>
      <w:tr w14:paraId="765F66B0">
        <w:tblPrEx>
          <w:tblCellMar>
            <w:top w:w="8" w:type="dxa"/>
            <w:left w:w="108" w:type="dxa"/>
            <w:bottom w:w="0" w:type="dxa"/>
            <w:right w:w="115" w:type="dxa"/>
          </w:tblCellMar>
        </w:tblPrEx>
        <w:trPr>
          <w:trHeight w:val="241" w:hRule="atLeast"/>
        </w:trPr>
        <w:tc>
          <w:tcPr>
            <w:tcW w:w="4253" w:type="dxa"/>
            <w:vMerge w:val="continue"/>
            <w:tcBorders>
              <w:top w:val="nil"/>
              <w:left w:val="single" w:color="000000" w:sz="4" w:space="0"/>
              <w:bottom w:val="single" w:color="000000" w:sz="4" w:space="0"/>
              <w:right w:val="single" w:color="000000" w:sz="4" w:space="0"/>
            </w:tcBorders>
          </w:tcPr>
          <w:p w14:paraId="220763C6">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108B5D2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85" w:type="dxa"/>
            <w:tcBorders>
              <w:top w:val="single" w:color="000000" w:sz="4" w:space="0"/>
              <w:left w:val="single" w:color="000000" w:sz="4" w:space="0"/>
              <w:bottom w:val="single" w:color="000000" w:sz="4" w:space="0"/>
              <w:right w:val="single" w:color="000000" w:sz="4" w:space="0"/>
            </w:tcBorders>
          </w:tcPr>
          <w:p w14:paraId="4D8159D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w:t>
            </w:r>
          </w:p>
        </w:tc>
      </w:tr>
      <w:tr w14:paraId="65835A15">
        <w:tblPrEx>
          <w:tblCellMar>
            <w:top w:w="8" w:type="dxa"/>
            <w:left w:w="108" w:type="dxa"/>
            <w:bottom w:w="0" w:type="dxa"/>
            <w:right w:w="115" w:type="dxa"/>
          </w:tblCellMar>
        </w:tblPrEx>
        <w:trPr>
          <w:trHeight w:val="467" w:hRule="atLeast"/>
        </w:trPr>
        <w:tc>
          <w:tcPr>
            <w:tcW w:w="4253" w:type="dxa"/>
            <w:tcBorders>
              <w:top w:val="single" w:color="000000" w:sz="4" w:space="0"/>
              <w:left w:val="single" w:color="000000" w:sz="4" w:space="0"/>
              <w:bottom w:val="single" w:color="000000" w:sz="4" w:space="0"/>
              <w:right w:val="single" w:color="000000" w:sz="4" w:space="0"/>
            </w:tcBorders>
          </w:tcPr>
          <w:p w14:paraId="44F35DE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71" w:type="dxa"/>
            <w:tcBorders>
              <w:top w:val="single" w:color="000000" w:sz="4" w:space="0"/>
              <w:left w:val="single" w:color="000000" w:sz="4" w:space="0"/>
              <w:bottom w:val="single" w:color="000000" w:sz="4" w:space="0"/>
              <w:right w:val="single" w:color="000000" w:sz="4" w:space="0"/>
            </w:tcBorders>
          </w:tcPr>
          <w:p w14:paraId="476568F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Medium high</w:t>
            </w:r>
          </w:p>
        </w:tc>
        <w:tc>
          <w:tcPr>
            <w:tcW w:w="785" w:type="dxa"/>
            <w:tcBorders>
              <w:top w:val="single" w:color="000000" w:sz="4" w:space="0"/>
              <w:left w:val="single" w:color="000000" w:sz="4" w:space="0"/>
              <w:bottom w:val="single" w:color="000000" w:sz="4" w:space="0"/>
              <w:right w:val="single" w:color="000000" w:sz="4" w:space="0"/>
            </w:tcBorders>
            <w:shd w:val="clear" w:color="auto" w:fill="FFE599" w:themeFill="accent4" w:themeFillTint="66"/>
          </w:tcPr>
          <w:p w14:paraId="1878989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24</w:t>
            </w:r>
          </w:p>
        </w:tc>
      </w:tr>
    </w:tbl>
    <w:p w14:paraId="7B23C76B">
      <w:pPr>
        <w:widowControl w:val="0"/>
        <w:tabs>
          <w:tab w:val="left" w:pos="709"/>
        </w:tabs>
        <w:autoSpaceDE w:val="0"/>
        <w:autoSpaceDN w:val="0"/>
        <w:spacing w:before="100" w:beforeAutospacing="1" w:after="100" w:afterAutospacing="1" w:line="240" w:lineRule="auto"/>
        <w:ind w:left="709"/>
        <w:jc w:val="both"/>
        <w:rPr>
          <w:rFonts w:eastAsia="Calibri" w:cs="Times New Roman"/>
          <w:bCs/>
          <w:i/>
          <w:lang w:bidi="en-US"/>
        </w:rPr>
      </w:pPr>
      <w:r>
        <w:rPr>
          <w:rFonts w:eastAsia="Calibri" w:cs="Times New Roman"/>
          <w:bCs/>
          <w:i/>
          <w:lang w:bidi="en-US"/>
        </w:rPr>
        <w:t>Mitigation measures</w:t>
      </w:r>
    </w:p>
    <w:p w14:paraId="26A6546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Ensure each employee signs a code of conduct that covers child protection ensuring no children are employed on site in accordance with national labour laws. </w:t>
      </w:r>
    </w:p>
    <w:p w14:paraId="55FFAE2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Ensure that any child sexual relations offenses among contractors' workers are promptly reported to the police. </w:t>
      </w:r>
    </w:p>
    <w:p w14:paraId="4CC81E3A">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Employ workers who are 18 years and above, and with a valid national ID at the time of hire. </w:t>
      </w:r>
    </w:p>
    <w:p w14:paraId="343C62AD">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Implement and monitor the employment register regularly. </w:t>
      </w:r>
    </w:p>
    <w:p w14:paraId="0BA244E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Comply with the national labour laws and labour management practices. </w:t>
      </w:r>
    </w:p>
    <w:p w14:paraId="6B39A19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Put visible signage on site “No Jobs for children.” </w:t>
      </w:r>
    </w:p>
    <w:p w14:paraId="1C25ABAF">
      <w:pPr>
        <w:widowControl w:val="0"/>
        <w:tabs>
          <w:tab w:val="left" w:pos="709"/>
        </w:tabs>
        <w:autoSpaceDE w:val="0"/>
        <w:autoSpaceDN w:val="0"/>
        <w:spacing w:before="100" w:beforeAutospacing="1" w:after="100" w:afterAutospacing="1" w:line="240" w:lineRule="auto"/>
        <w:ind w:left="709"/>
        <w:jc w:val="both"/>
        <w:rPr>
          <w:b/>
        </w:rPr>
      </w:pPr>
      <w:r>
        <w:rPr>
          <w:b/>
        </w:rPr>
        <w:t xml:space="preserve">Solid and liquid wastes </w:t>
      </w:r>
      <w:r>
        <w:rPr>
          <w:rFonts w:eastAsia="Calibri" w:cs="Calibri"/>
          <w:b/>
          <w:bCs/>
          <w:i/>
          <w:lang w:bidi="en-US"/>
        </w:rPr>
        <w:t>(Very High)</w:t>
      </w:r>
    </w:p>
    <w:p w14:paraId="40A598B1">
      <w:pPr>
        <w:widowControl w:val="0"/>
        <w:tabs>
          <w:tab w:val="left" w:pos="709"/>
        </w:tabs>
        <w:autoSpaceDE w:val="0"/>
        <w:autoSpaceDN w:val="0"/>
        <w:spacing w:before="100" w:beforeAutospacing="1" w:after="100" w:afterAutospacing="1" w:line="240" w:lineRule="auto"/>
        <w:ind w:left="709"/>
        <w:jc w:val="both"/>
        <w:rPr>
          <w:rFonts w:eastAsia="Calibri" w:cs="Calibri"/>
          <w:i/>
          <w:iCs/>
          <w:color w:val="44546A" w:themeColor="text2"/>
          <w:lang w:bidi="en-US"/>
          <w14:textFill>
            <w14:solidFill>
              <w14:schemeClr w14:val="tx2"/>
            </w14:solidFill>
          </w14:textFill>
        </w:rPr>
      </w:pPr>
      <w:bookmarkStart w:id="465" w:name="_Toc167798467"/>
      <w:bookmarkStart w:id="466" w:name="_Toc168326942"/>
      <w:bookmarkStart w:id="467" w:name="_Toc171916981"/>
      <w:bookmarkStart w:id="468" w:name="_Toc173252920"/>
      <w:bookmarkStart w:id="469" w:name="_Toc171493411"/>
      <w:r>
        <w:t xml:space="preserve">The construction works may encounter poor quality excavated soil or rock which needs to be deposited somewhere. Construction work will generate organic and non-organic solid and liquid waste which is to be disposed of in accordance with government regulations at designated sites. Non-compliance will lead to littering and pollution of the environment. </w:t>
      </w:r>
      <w:bookmarkEnd w:id="465"/>
      <w:bookmarkEnd w:id="466"/>
      <w:bookmarkEnd w:id="467"/>
      <w:bookmarkEnd w:id="468"/>
      <w:bookmarkEnd w:id="469"/>
    </w:p>
    <w:tbl>
      <w:tblPr>
        <w:tblStyle w:val="258"/>
        <w:tblW w:w="8709" w:type="dxa"/>
        <w:tblInd w:w="704" w:type="dxa"/>
        <w:tblLayout w:type="autofit"/>
        <w:tblCellMar>
          <w:top w:w="8" w:type="dxa"/>
          <w:left w:w="108" w:type="dxa"/>
          <w:bottom w:w="0" w:type="dxa"/>
          <w:right w:w="115" w:type="dxa"/>
        </w:tblCellMar>
      </w:tblPr>
      <w:tblGrid>
        <w:gridCol w:w="4253"/>
        <w:gridCol w:w="3671"/>
        <w:gridCol w:w="785"/>
      </w:tblGrid>
      <w:tr w14:paraId="09DD3586">
        <w:tblPrEx>
          <w:tblCellMar>
            <w:top w:w="8" w:type="dxa"/>
            <w:left w:w="108" w:type="dxa"/>
            <w:bottom w:w="0" w:type="dxa"/>
            <w:right w:w="115" w:type="dxa"/>
          </w:tblCellMar>
        </w:tblPrEx>
        <w:trPr>
          <w:trHeight w:val="240" w:hRule="atLeast"/>
        </w:trPr>
        <w:tc>
          <w:tcPr>
            <w:tcW w:w="4253" w:type="dxa"/>
            <w:tcBorders>
              <w:top w:val="single" w:color="000000" w:sz="4" w:space="0"/>
              <w:left w:val="single" w:color="000000" w:sz="4" w:space="0"/>
              <w:bottom w:val="single" w:color="000000" w:sz="4" w:space="0"/>
              <w:right w:val="nil"/>
            </w:tcBorders>
          </w:tcPr>
          <w:p w14:paraId="2BDF989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71" w:type="dxa"/>
            <w:tcBorders>
              <w:top w:val="single" w:color="000000" w:sz="4" w:space="0"/>
              <w:left w:val="nil"/>
              <w:bottom w:val="single" w:color="000000" w:sz="4" w:space="0"/>
              <w:right w:val="single" w:color="000000" w:sz="4" w:space="0"/>
            </w:tcBorders>
          </w:tcPr>
          <w:p w14:paraId="3BEDADF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785" w:type="dxa"/>
            <w:tcBorders>
              <w:top w:val="single" w:color="000000" w:sz="4" w:space="0"/>
              <w:left w:val="single" w:color="000000" w:sz="4" w:space="0"/>
              <w:bottom w:val="single" w:color="000000" w:sz="4" w:space="0"/>
              <w:right w:val="single" w:color="000000" w:sz="4" w:space="0"/>
            </w:tcBorders>
          </w:tcPr>
          <w:p w14:paraId="2838107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0B98D1FA">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065B0C4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71" w:type="dxa"/>
            <w:tcBorders>
              <w:top w:val="single" w:color="000000" w:sz="4" w:space="0"/>
              <w:left w:val="single" w:color="000000" w:sz="4" w:space="0"/>
              <w:bottom w:val="single" w:color="000000" w:sz="4" w:space="0"/>
              <w:right w:val="single" w:color="000000" w:sz="4" w:space="0"/>
            </w:tcBorders>
          </w:tcPr>
          <w:p w14:paraId="6DF3CFC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85" w:type="dxa"/>
            <w:tcBorders>
              <w:top w:val="single" w:color="000000" w:sz="4" w:space="0"/>
              <w:left w:val="single" w:color="000000" w:sz="4" w:space="0"/>
              <w:bottom w:val="single" w:color="000000" w:sz="4" w:space="0"/>
              <w:right w:val="single" w:color="000000" w:sz="4" w:space="0"/>
            </w:tcBorders>
          </w:tcPr>
          <w:p w14:paraId="3D76A4B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w:t>
            </w:r>
          </w:p>
        </w:tc>
      </w:tr>
      <w:tr w14:paraId="4A6E874A">
        <w:tblPrEx>
          <w:tblCellMar>
            <w:top w:w="8" w:type="dxa"/>
            <w:left w:w="108" w:type="dxa"/>
            <w:bottom w:w="0" w:type="dxa"/>
            <w:right w:w="115" w:type="dxa"/>
          </w:tblCellMar>
        </w:tblPrEx>
        <w:trPr>
          <w:trHeight w:val="285" w:hRule="atLeast"/>
        </w:trPr>
        <w:tc>
          <w:tcPr>
            <w:tcW w:w="4253" w:type="dxa"/>
            <w:vMerge w:val="continue"/>
            <w:tcBorders>
              <w:top w:val="nil"/>
              <w:left w:val="single" w:color="000000" w:sz="4" w:space="0"/>
              <w:bottom w:val="nil"/>
              <w:right w:val="single" w:color="000000" w:sz="4" w:space="0"/>
            </w:tcBorders>
          </w:tcPr>
          <w:p w14:paraId="00BC15BA">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4A9A32F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85" w:type="dxa"/>
            <w:tcBorders>
              <w:top w:val="single" w:color="000000" w:sz="4" w:space="0"/>
              <w:left w:val="single" w:color="000000" w:sz="4" w:space="0"/>
              <w:bottom w:val="single" w:color="000000" w:sz="4" w:space="0"/>
              <w:right w:val="single" w:color="000000" w:sz="4" w:space="0"/>
            </w:tcBorders>
          </w:tcPr>
          <w:p w14:paraId="18A343D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2 </w:t>
            </w:r>
          </w:p>
        </w:tc>
      </w:tr>
      <w:tr w14:paraId="146612B7">
        <w:tblPrEx>
          <w:tblCellMar>
            <w:top w:w="8" w:type="dxa"/>
            <w:left w:w="108" w:type="dxa"/>
            <w:bottom w:w="0" w:type="dxa"/>
            <w:right w:w="115" w:type="dxa"/>
          </w:tblCellMar>
        </w:tblPrEx>
        <w:trPr>
          <w:trHeight w:val="240" w:hRule="atLeast"/>
        </w:trPr>
        <w:tc>
          <w:tcPr>
            <w:tcW w:w="4253" w:type="dxa"/>
            <w:vMerge w:val="continue"/>
            <w:tcBorders>
              <w:top w:val="nil"/>
              <w:left w:val="single" w:color="000000" w:sz="4" w:space="0"/>
              <w:bottom w:val="single" w:color="000000" w:sz="4" w:space="0"/>
              <w:right w:val="single" w:color="000000" w:sz="4" w:space="0"/>
            </w:tcBorders>
          </w:tcPr>
          <w:p w14:paraId="0D490936">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45F3229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85" w:type="dxa"/>
            <w:tcBorders>
              <w:top w:val="single" w:color="000000" w:sz="4" w:space="0"/>
              <w:left w:val="single" w:color="000000" w:sz="4" w:space="0"/>
              <w:bottom w:val="single" w:color="000000" w:sz="4" w:space="0"/>
              <w:right w:val="single" w:color="000000" w:sz="4" w:space="0"/>
            </w:tcBorders>
          </w:tcPr>
          <w:p w14:paraId="1B833A7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3B2080BE">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2AE8AE2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71" w:type="dxa"/>
            <w:tcBorders>
              <w:top w:val="single" w:color="000000" w:sz="4" w:space="0"/>
              <w:left w:val="single" w:color="000000" w:sz="4" w:space="0"/>
              <w:bottom w:val="single" w:color="000000" w:sz="4" w:space="0"/>
              <w:right w:val="single" w:color="000000" w:sz="4" w:space="0"/>
            </w:tcBorders>
          </w:tcPr>
          <w:p w14:paraId="3B6DE66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85" w:type="dxa"/>
            <w:tcBorders>
              <w:top w:val="single" w:color="000000" w:sz="4" w:space="0"/>
              <w:left w:val="single" w:color="000000" w:sz="4" w:space="0"/>
              <w:bottom w:val="single" w:color="000000" w:sz="4" w:space="0"/>
              <w:right w:val="single" w:color="000000" w:sz="4" w:space="0"/>
            </w:tcBorders>
          </w:tcPr>
          <w:p w14:paraId="022E091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4</w:t>
            </w:r>
          </w:p>
        </w:tc>
      </w:tr>
      <w:tr w14:paraId="0CD789A2">
        <w:tblPrEx>
          <w:tblCellMar>
            <w:top w:w="8" w:type="dxa"/>
            <w:left w:w="108" w:type="dxa"/>
            <w:bottom w:w="0" w:type="dxa"/>
            <w:right w:w="115" w:type="dxa"/>
          </w:tblCellMar>
        </w:tblPrEx>
        <w:trPr>
          <w:trHeight w:val="241" w:hRule="atLeast"/>
        </w:trPr>
        <w:tc>
          <w:tcPr>
            <w:tcW w:w="4253" w:type="dxa"/>
            <w:vMerge w:val="continue"/>
            <w:tcBorders>
              <w:top w:val="nil"/>
              <w:left w:val="single" w:color="000000" w:sz="4" w:space="0"/>
              <w:bottom w:val="single" w:color="000000" w:sz="4" w:space="0"/>
              <w:right w:val="single" w:color="000000" w:sz="4" w:space="0"/>
            </w:tcBorders>
          </w:tcPr>
          <w:p w14:paraId="68F7BF62">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0375F29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85" w:type="dxa"/>
            <w:tcBorders>
              <w:top w:val="single" w:color="000000" w:sz="4" w:space="0"/>
              <w:left w:val="single" w:color="000000" w:sz="4" w:space="0"/>
              <w:bottom w:val="single" w:color="000000" w:sz="4" w:space="0"/>
              <w:right w:val="single" w:color="000000" w:sz="4" w:space="0"/>
            </w:tcBorders>
          </w:tcPr>
          <w:p w14:paraId="5EE8321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5</w:t>
            </w:r>
          </w:p>
        </w:tc>
      </w:tr>
      <w:tr w14:paraId="21CD7BF3">
        <w:tblPrEx>
          <w:tblCellMar>
            <w:top w:w="8" w:type="dxa"/>
            <w:left w:w="108" w:type="dxa"/>
            <w:bottom w:w="0" w:type="dxa"/>
            <w:right w:w="115" w:type="dxa"/>
          </w:tblCellMar>
        </w:tblPrEx>
        <w:trPr>
          <w:trHeight w:val="467" w:hRule="atLeast"/>
        </w:trPr>
        <w:tc>
          <w:tcPr>
            <w:tcW w:w="4253" w:type="dxa"/>
            <w:tcBorders>
              <w:top w:val="single" w:color="000000" w:sz="4" w:space="0"/>
              <w:left w:val="single" w:color="000000" w:sz="4" w:space="0"/>
              <w:bottom w:val="single" w:color="000000" w:sz="4" w:space="0"/>
              <w:right w:val="single" w:color="000000" w:sz="4" w:space="0"/>
            </w:tcBorders>
          </w:tcPr>
          <w:p w14:paraId="43C7D26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71" w:type="dxa"/>
            <w:tcBorders>
              <w:top w:val="single" w:color="000000" w:sz="4" w:space="0"/>
              <w:left w:val="single" w:color="000000" w:sz="4" w:space="0"/>
              <w:bottom w:val="single" w:color="000000" w:sz="4" w:space="0"/>
              <w:right w:val="single" w:color="000000" w:sz="4" w:space="0"/>
            </w:tcBorders>
          </w:tcPr>
          <w:p w14:paraId="63E0CA3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Very High </w:t>
            </w:r>
          </w:p>
        </w:tc>
        <w:tc>
          <w:tcPr>
            <w:tcW w:w="785" w:type="dxa"/>
            <w:tcBorders>
              <w:top w:val="single" w:color="000000" w:sz="4" w:space="0"/>
              <w:left w:val="single" w:color="000000" w:sz="4" w:space="0"/>
              <w:bottom w:val="single" w:color="000000" w:sz="4" w:space="0"/>
              <w:right w:val="single" w:color="000000" w:sz="4" w:space="0"/>
            </w:tcBorders>
            <w:shd w:val="clear" w:color="auto" w:fill="FF0000"/>
          </w:tcPr>
          <w:p w14:paraId="41BA43F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54 </w:t>
            </w:r>
          </w:p>
        </w:tc>
      </w:tr>
    </w:tbl>
    <w:p w14:paraId="6318D55E">
      <w:pPr>
        <w:widowControl w:val="0"/>
        <w:tabs>
          <w:tab w:val="left" w:pos="709"/>
        </w:tabs>
        <w:autoSpaceDE w:val="0"/>
        <w:autoSpaceDN w:val="0"/>
        <w:spacing w:before="100" w:beforeAutospacing="1" w:after="100" w:afterAutospacing="1" w:line="240" w:lineRule="auto"/>
        <w:ind w:left="709"/>
        <w:jc w:val="both"/>
        <w:rPr>
          <w:rFonts w:eastAsia="Calibri" w:cs="Calibri"/>
          <w:b/>
          <w:i/>
          <w:lang w:bidi="en-US"/>
        </w:rPr>
      </w:pPr>
      <w:r>
        <w:rPr>
          <w:rFonts w:eastAsia="Calibri" w:cs="Calibri"/>
          <w:b/>
          <w:i/>
          <w:lang w:bidi="en-US"/>
        </w:rPr>
        <w:t>Mitigation measures</w:t>
      </w:r>
    </w:p>
    <w:p w14:paraId="4ABE6AEA">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Site housekeeping to minimize solid and liquid wastes generated from construction and other related activities such as food vending and petty businesses. </w:t>
      </w:r>
    </w:p>
    <w:p w14:paraId="06185ED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Allocate a special area for petty business such as food stalls provided with garbage bins. </w:t>
      </w:r>
    </w:p>
    <w:p w14:paraId="6FFB0AA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Post appropriate signage such as “DO NOT LITTER” or “USITUPE TAKA” at all strategic sites. </w:t>
      </w:r>
    </w:p>
    <w:p w14:paraId="0CD5DEB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Assign Contractor’s Environmental or Safety Officer the responsibility to ensure that the surroundings are kept clean. </w:t>
      </w:r>
    </w:p>
    <w:p w14:paraId="03CD4E1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All excavated spoil should be well managed through levelling or tipped into low-lying areas or borrow areas which are no longer useful. </w:t>
      </w:r>
    </w:p>
    <w:p w14:paraId="7638E89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Trash and waste shall be well collected and removed from the site to the waste collection point. </w:t>
      </w:r>
    </w:p>
    <w:p w14:paraId="33D33D09">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The community should instruct people to stay away from scavenging at the dumping sites. </w:t>
      </w:r>
    </w:p>
    <w:p w14:paraId="49D9503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Solid wastes generated from land clearing shall be collected and disposed of in sanitary land fill at authorized site. </w:t>
      </w:r>
    </w:p>
    <w:p w14:paraId="30E672C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Decomposable materials shall be collected and combined with wastes to the authorized dumpsites; plastics and other recyclable materials will be collected and sent out for recycling.</w:t>
      </w:r>
    </w:p>
    <w:p w14:paraId="13CEAD6A">
      <w:pPr>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Gender-Based Violence and Sexual Exploitation and Abuse (SEA) and Sexual Harassment (SH)</w:t>
      </w:r>
      <w:r>
        <w:rPr>
          <w:rFonts w:eastAsia="Calibri" w:cs="Calibri"/>
          <w:b/>
          <w:i/>
          <w:lang w:bidi="en-US"/>
        </w:rPr>
        <w:t xml:space="preserve"> (Low Medium)</w:t>
      </w:r>
      <w:r>
        <w:rPr>
          <w:rFonts w:eastAsia="Calibri" w:cs="Calibri"/>
          <w:b/>
          <w:lang w:bidi="en-US"/>
        </w:rPr>
        <w:t xml:space="preserve"> </w:t>
      </w:r>
    </w:p>
    <w:p w14:paraId="7ADF82E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GBV, SEA, and SH can result in severe physical injuries, emotional trauma, and mental health issues for survivors. This can have long-lasting effects on their well-being, confidence, and ability to participate fully in community life. Incidents of GBV, SEA, and SH create an environment of fear and insecurity within the community, particularly for women and girls. They may feel unsafe in public spaces, at home, or even within their own families, leading to restrictions on their mobility and freedom.</w:t>
      </w:r>
    </w:p>
    <w:tbl>
      <w:tblPr>
        <w:tblStyle w:val="258"/>
        <w:tblW w:w="8567" w:type="dxa"/>
        <w:tblInd w:w="846" w:type="dxa"/>
        <w:tblLayout w:type="autofit"/>
        <w:tblCellMar>
          <w:top w:w="8" w:type="dxa"/>
          <w:left w:w="108" w:type="dxa"/>
          <w:bottom w:w="0" w:type="dxa"/>
          <w:right w:w="115" w:type="dxa"/>
        </w:tblCellMar>
      </w:tblPr>
      <w:tblGrid>
        <w:gridCol w:w="4111"/>
        <w:gridCol w:w="3671"/>
        <w:gridCol w:w="785"/>
      </w:tblGrid>
      <w:tr w14:paraId="3707F675">
        <w:tblPrEx>
          <w:tblCellMar>
            <w:top w:w="8" w:type="dxa"/>
            <w:left w:w="108" w:type="dxa"/>
            <w:bottom w:w="0" w:type="dxa"/>
            <w:right w:w="115" w:type="dxa"/>
          </w:tblCellMar>
        </w:tblPrEx>
        <w:trPr>
          <w:trHeight w:val="240" w:hRule="atLeast"/>
          <w:tblHeader/>
        </w:trPr>
        <w:tc>
          <w:tcPr>
            <w:tcW w:w="4111" w:type="dxa"/>
            <w:tcBorders>
              <w:top w:val="single" w:color="000000" w:sz="4" w:space="0"/>
              <w:left w:val="single" w:color="000000" w:sz="4" w:space="0"/>
              <w:bottom w:val="single" w:color="000000" w:sz="4" w:space="0"/>
              <w:right w:val="nil"/>
            </w:tcBorders>
          </w:tcPr>
          <w:p w14:paraId="6BAE28D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71" w:type="dxa"/>
            <w:tcBorders>
              <w:top w:val="single" w:color="000000" w:sz="4" w:space="0"/>
              <w:left w:val="nil"/>
              <w:bottom w:val="single" w:color="000000" w:sz="4" w:space="0"/>
              <w:right w:val="single" w:color="000000" w:sz="4" w:space="0"/>
            </w:tcBorders>
          </w:tcPr>
          <w:p w14:paraId="1360C3A7">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785" w:type="dxa"/>
            <w:tcBorders>
              <w:top w:val="single" w:color="000000" w:sz="4" w:space="0"/>
              <w:left w:val="single" w:color="000000" w:sz="4" w:space="0"/>
              <w:bottom w:val="single" w:color="000000" w:sz="4" w:space="0"/>
              <w:right w:val="single" w:color="000000" w:sz="4" w:space="0"/>
            </w:tcBorders>
          </w:tcPr>
          <w:p w14:paraId="023E9C8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2B2E3679">
        <w:tblPrEx>
          <w:tblCellMar>
            <w:top w:w="8" w:type="dxa"/>
            <w:left w:w="108" w:type="dxa"/>
            <w:bottom w:w="0" w:type="dxa"/>
            <w:right w:w="115" w:type="dxa"/>
          </w:tblCellMar>
        </w:tblPrEx>
        <w:trPr>
          <w:trHeight w:val="240" w:hRule="atLeast"/>
          <w:tblHeader/>
        </w:trPr>
        <w:tc>
          <w:tcPr>
            <w:tcW w:w="4111" w:type="dxa"/>
            <w:vMerge w:val="restart"/>
            <w:tcBorders>
              <w:top w:val="single" w:color="000000" w:sz="4" w:space="0"/>
              <w:left w:val="single" w:color="000000" w:sz="4" w:space="0"/>
              <w:bottom w:val="single" w:color="000000" w:sz="4" w:space="0"/>
              <w:right w:val="single" w:color="000000" w:sz="4" w:space="0"/>
            </w:tcBorders>
          </w:tcPr>
          <w:p w14:paraId="4786B34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71" w:type="dxa"/>
            <w:tcBorders>
              <w:top w:val="single" w:color="000000" w:sz="4" w:space="0"/>
              <w:left w:val="single" w:color="000000" w:sz="4" w:space="0"/>
              <w:bottom w:val="single" w:color="000000" w:sz="4" w:space="0"/>
              <w:right w:val="single" w:color="000000" w:sz="4" w:space="0"/>
            </w:tcBorders>
          </w:tcPr>
          <w:p w14:paraId="1599AF2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85" w:type="dxa"/>
            <w:tcBorders>
              <w:top w:val="single" w:color="000000" w:sz="4" w:space="0"/>
              <w:left w:val="single" w:color="000000" w:sz="4" w:space="0"/>
              <w:bottom w:val="single" w:color="000000" w:sz="4" w:space="0"/>
              <w:right w:val="single" w:color="000000" w:sz="4" w:space="0"/>
            </w:tcBorders>
          </w:tcPr>
          <w:p w14:paraId="43E1094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2694036D">
        <w:tblPrEx>
          <w:tblCellMar>
            <w:top w:w="8" w:type="dxa"/>
            <w:left w:w="108" w:type="dxa"/>
            <w:bottom w:w="0" w:type="dxa"/>
            <w:right w:w="115" w:type="dxa"/>
          </w:tblCellMar>
        </w:tblPrEx>
        <w:trPr>
          <w:trHeight w:val="263" w:hRule="atLeast"/>
          <w:tblHeader/>
        </w:trPr>
        <w:tc>
          <w:tcPr>
            <w:tcW w:w="4111" w:type="dxa"/>
            <w:vMerge w:val="continue"/>
            <w:tcBorders>
              <w:top w:val="nil"/>
              <w:left w:val="single" w:color="000000" w:sz="4" w:space="0"/>
              <w:bottom w:val="nil"/>
              <w:right w:val="single" w:color="000000" w:sz="4" w:space="0"/>
            </w:tcBorders>
          </w:tcPr>
          <w:p w14:paraId="26EC8A96">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5B8D730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85" w:type="dxa"/>
            <w:tcBorders>
              <w:top w:val="single" w:color="000000" w:sz="4" w:space="0"/>
              <w:left w:val="single" w:color="000000" w:sz="4" w:space="0"/>
              <w:bottom w:val="single" w:color="000000" w:sz="4" w:space="0"/>
              <w:right w:val="single" w:color="000000" w:sz="4" w:space="0"/>
            </w:tcBorders>
          </w:tcPr>
          <w:p w14:paraId="5C82F23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1B609FC1">
        <w:tblPrEx>
          <w:tblCellMar>
            <w:top w:w="8" w:type="dxa"/>
            <w:left w:w="108" w:type="dxa"/>
            <w:bottom w:w="0" w:type="dxa"/>
            <w:right w:w="115" w:type="dxa"/>
          </w:tblCellMar>
        </w:tblPrEx>
        <w:trPr>
          <w:trHeight w:val="240" w:hRule="atLeast"/>
          <w:tblHeader/>
        </w:trPr>
        <w:tc>
          <w:tcPr>
            <w:tcW w:w="4111" w:type="dxa"/>
            <w:vMerge w:val="continue"/>
            <w:tcBorders>
              <w:top w:val="nil"/>
              <w:left w:val="single" w:color="000000" w:sz="4" w:space="0"/>
              <w:bottom w:val="single" w:color="000000" w:sz="4" w:space="0"/>
              <w:right w:val="single" w:color="000000" w:sz="4" w:space="0"/>
            </w:tcBorders>
          </w:tcPr>
          <w:p w14:paraId="17542A57">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12E918D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85" w:type="dxa"/>
            <w:tcBorders>
              <w:top w:val="single" w:color="000000" w:sz="4" w:space="0"/>
              <w:left w:val="single" w:color="000000" w:sz="4" w:space="0"/>
              <w:bottom w:val="single" w:color="000000" w:sz="4" w:space="0"/>
              <w:right w:val="single" w:color="000000" w:sz="4" w:space="0"/>
            </w:tcBorders>
          </w:tcPr>
          <w:p w14:paraId="136B6DD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w:t>
            </w:r>
          </w:p>
        </w:tc>
      </w:tr>
      <w:tr w14:paraId="79A0366D">
        <w:tblPrEx>
          <w:tblCellMar>
            <w:top w:w="8" w:type="dxa"/>
            <w:left w:w="108" w:type="dxa"/>
            <w:bottom w:w="0" w:type="dxa"/>
            <w:right w:w="115" w:type="dxa"/>
          </w:tblCellMar>
        </w:tblPrEx>
        <w:trPr>
          <w:trHeight w:val="240" w:hRule="atLeast"/>
          <w:tblHeader/>
        </w:trPr>
        <w:tc>
          <w:tcPr>
            <w:tcW w:w="4111" w:type="dxa"/>
            <w:vMerge w:val="restart"/>
            <w:tcBorders>
              <w:top w:val="single" w:color="000000" w:sz="4" w:space="0"/>
              <w:left w:val="single" w:color="000000" w:sz="4" w:space="0"/>
              <w:bottom w:val="single" w:color="000000" w:sz="4" w:space="0"/>
              <w:right w:val="single" w:color="000000" w:sz="4" w:space="0"/>
            </w:tcBorders>
          </w:tcPr>
          <w:p w14:paraId="64DD64C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71" w:type="dxa"/>
            <w:tcBorders>
              <w:top w:val="single" w:color="000000" w:sz="4" w:space="0"/>
              <w:left w:val="single" w:color="000000" w:sz="4" w:space="0"/>
              <w:bottom w:val="single" w:color="000000" w:sz="4" w:space="0"/>
              <w:right w:val="single" w:color="000000" w:sz="4" w:space="0"/>
            </w:tcBorders>
          </w:tcPr>
          <w:p w14:paraId="1C6F68C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85" w:type="dxa"/>
            <w:tcBorders>
              <w:top w:val="single" w:color="000000" w:sz="4" w:space="0"/>
              <w:left w:val="single" w:color="000000" w:sz="4" w:space="0"/>
              <w:bottom w:val="single" w:color="000000" w:sz="4" w:space="0"/>
              <w:right w:val="single" w:color="000000" w:sz="4" w:space="0"/>
            </w:tcBorders>
          </w:tcPr>
          <w:p w14:paraId="79136F4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w:t>
            </w:r>
          </w:p>
        </w:tc>
      </w:tr>
      <w:tr w14:paraId="5E5F2DA8">
        <w:tblPrEx>
          <w:tblCellMar>
            <w:top w:w="8" w:type="dxa"/>
            <w:left w:w="108" w:type="dxa"/>
            <w:bottom w:w="0" w:type="dxa"/>
            <w:right w:w="115" w:type="dxa"/>
          </w:tblCellMar>
        </w:tblPrEx>
        <w:trPr>
          <w:trHeight w:val="241" w:hRule="atLeast"/>
          <w:tblHeader/>
        </w:trPr>
        <w:tc>
          <w:tcPr>
            <w:tcW w:w="4111" w:type="dxa"/>
            <w:vMerge w:val="continue"/>
            <w:tcBorders>
              <w:top w:val="nil"/>
              <w:left w:val="single" w:color="000000" w:sz="4" w:space="0"/>
              <w:bottom w:val="single" w:color="000000" w:sz="4" w:space="0"/>
              <w:right w:val="single" w:color="000000" w:sz="4" w:space="0"/>
            </w:tcBorders>
          </w:tcPr>
          <w:p w14:paraId="1254F2C1">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5FF1930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85" w:type="dxa"/>
            <w:tcBorders>
              <w:top w:val="single" w:color="000000" w:sz="4" w:space="0"/>
              <w:left w:val="single" w:color="000000" w:sz="4" w:space="0"/>
              <w:bottom w:val="single" w:color="000000" w:sz="4" w:space="0"/>
              <w:right w:val="single" w:color="000000" w:sz="4" w:space="0"/>
            </w:tcBorders>
          </w:tcPr>
          <w:p w14:paraId="51A2673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w:t>
            </w:r>
          </w:p>
        </w:tc>
      </w:tr>
      <w:tr w14:paraId="2DDDBB74">
        <w:tblPrEx>
          <w:tblCellMar>
            <w:top w:w="8" w:type="dxa"/>
            <w:left w:w="108" w:type="dxa"/>
            <w:bottom w:w="0" w:type="dxa"/>
            <w:right w:w="115" w:type="dxa"/>
          </w:tblCellMar>
        </w:tblPrEx>
        <w:trPr>
          <w:trHeight w:val="467" w:hRule="atLeast"/>
          <w:tblHeader/>
        </w:trPr>
        <w:tc>
          <w:tcPr>
            <w:tcW w:w="4111" w:type="dxa"/>
            <w:tcBorders>
              <w:top w:val="single" w:color="000000" w:sz="4" w:space="0"/>
              <w:left w:val="single" w:color="000000" w:sz="4" w:space="0"/>
              <w:bottom w:val="single" w:color="000000" w:sz="4" w:space="0"/>
              <w:right w:val="single" w:color="000000" w:sz="4" w:space="0"/>
            </w:tcBorders>
          </w:tcPr>
          <w:p w14:paraId="04675D1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71" w:type="dxa"/>
            <w:tcBorders>
              <w:top w:val="single" w:color="000000" w:sz="4" w:space="0"/>
              <w:left w:val="single" w:color="000000" w:sz="4" w:space="0"/>
              <w:bottom w:val="single" w:color="000000" w:sz="4" w:space="0"/>
              <w:right w:val="single" w:color="000000" w:sz="4" w:space="0"/>
            </w:tcBorders>
          </w:tcPr>
          <w:p w14:paraId="0C6B647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Low Medium </w:t>
            </w:r>
          </w:p>
        </w:tc>
        <w:tc>
          <w:tcPr>
            <w:tcW w:w="785" w:type="dxa"/>
            <w:tcBorders>
              <w:top w:val="single" w:color="000000" w:sz="4" w:space="0"/>
              <w:left w:val="single" w:color="000000" w:sz="4" w:space="0"/>
              <w:bottom w:val="single" w:color="000000" w:sz="4" w:space="0"/>
              <w:right w:val="single" w:color="000000" w:sz="4" w:space="0"/>
            </w:tcBorders>
            <w:shd w:val="clear" w:color="auto" w:fill="92D050"/>
          </w:tcPr>
          <w:p w14:paraId="0EFA280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16</w:t>
            </w:r>
          </w:p>
        </w:tc>
      </w:tr>
    </w:tbl>
    <w:p w14:paraId="2E6D2C1B">
      <w:pPr>
        <w:widowControl w:val="0"/>
        <w:tabs>
          <w:tab w:val="left" w:pos="709"/>
        </w:tabs>
        <w:autoSpaceDE w:val="0"/>
        <w:autoSpaceDN w:val="0"/>
        <w:spacing w:before="100" w:beforeAutospacing="1" w:after="100" w:afterAutospacing="1" w:line="240" w:lineRule="auto"/>
        <w:ind w:left="709"/>
        <w:jc w:val="both"/>
        <w:rPr>
          <w:rFonts w:eastAsia="Calibri" w:cs="Calibri"/>
          <w:b/>
          <w:i/>
          <w:lang w:bidi="en-US"/>
        </w:rPr>
      </w:pPr>
      <w:r>
        <w:rPr>
          <w:rFonts w:eastAsia="Calibri" w:cs="Calibri"/>
          <w:b/>
          <w:i/>
          <w:lang w:bidi="en-US"/>
        </w:rPr>
        <w:t>Mitigation measures</w:t>
      </w:r>
    </w:p>
    <w:p w14:paraId="2F1070A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Establish clear policies and codes of conduct against GBV, SEA, and SH.</w:t>
      </w:r>
    </w:p>
    <w:p w14:paraId="24BE00D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Provide mandatory training for staff and community awareness campaigns.</w:t>
      </w:r>
    </w:p>
    <w:p w14:paraId="283434D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confidential reporting channels and support services for victims.</w:t>
      </w:r>
    </w:p>
    <w:p w14:paraId="75DB0C8A">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Involve local leaders and empower vulnerable groups to foster a supportive environment.</w:t>
      </w:r>
    </w:p>
    <w:p w14:paraId="2ADFD88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Ensure safe work environments and secure transportation for workers.</w:t>
      </w:r>
    </w:p>
    <w:p w14:paraId="688311A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Partner with NGOs for enhanced support systems and referral services.</w:t>
      </w:r>
    </w:p>
    <w:p w14:paraId="17D944E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Tailor interventions to be culturally appropriate for the local context.</w:t>
      </w:r>
    </w:p>
    <w:p w14:paraId="2D41CEE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Develop and implement a plan to manage the risk of SEA/SH. </w:t>
      </w:r>
    </w:p>
    <w:p w14:paraId="50ABCF4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Map the GBV referral pathways and create awareness among women and men on the risk of SEA/SH.</w:t>
      </w:r>
    </w:p>
    <w:p w14:paraId="2712C677">
      <w:pPr>
        <w:spacing w:before="100" w:beforeAutospacing="1" w:after="100" w:afterAutospacing="1" w:line="240" w:lineRule="auto"/>
        <w:ind w:left="709"/>
        <w:rPr>
          <w:rFonts w:eastAsia="Calibri" w:cs="Calibri"/>
          <w:lang w:bidi="en-US"/>
        </w:rPr>
      </w:pPr>
      <w:r>
        <w:rPr>
          <w:rFonts w:eastAsia="Times New Roman" w:cs="Times New Roman"/>
          <w:b/>
          <w:bCs/>
        </w:rPr>
        <w:t xml:space="preserve">HIV/AIDS </w:t>
      </w:r>
      <w:r>
        <w:rPr>
          <w:rFonts w:eastAsia="Calibri" w:cs="Calibri"/>
          <w:b/>
          <w:i/>
          <w:lang w:bidi="en-US"/>
        </w:rPr>
        <w:t>(Low medium)</w:t>
      </w:r>
      <w:r>
        <w:rPr>
          <w:rFonts w:eastAsia="Times New Roman" w:cs="Times New Roman"/>
        </w:rPr>
        <w:br w:type="textWrapping"/>
      </w:r>
      <w:r>
        <w:rPr>
          <w:rFonts w:eastAsia="Calibri" w:cs="Calibri"/>
          <w:lang w:bidi="en-US"/>
        </w:rPr>
        <w:t>The project could lead to an increase in the spread of HIV/AIDS due to several factors, such as the influx of workers from outside the community, increased economic activities, and possible social interactions between workers and local residents. This could heighten the risk of unprotected sexual activity, exploitation, or risky behaviors, increasing the incidence of HIV/AIDS transmission.</w:t>
      </w:r>
    </w:p>
    <w:tbl>
      <w:tblPr>
        <w:tblStyle w:val="258"/>
        <w:tblW w:w="8567" w:type="dxa"/>
        <w:tblInd w:w="846" w:type="dxa"/>
        <w:tblLayout w:type="autofit"/>
        <w:tblCellMar>
          <w:top w:w="8" w:type="dxa"/>
          <w:left w:w="108" w:type="dxa"/>
          <w:bottom w:w="0" w:type="dxa"/>
          <w:right w:w="115" w:type="dxa"/>
        </w:tblCellMar>
      </w:tblPr>
      <w:tblGrid>
        <w:gridCol w:w="4111"/>
        <w:gridCol w:w="3671"/>
        <w:gridCol w:w="785"/>
      </w:tblGrid>
      <w:tr w14:paraId="3704DDBF">
        <w:tblPrEx>
          <w:tblCellMar>
            <w:top w:w="8" w:type="dxa"/>
            <w:left w:w="108" w:type="dxa"/>
            <w:bottom w:w="0" w:type="dxa"/>
            <w:right w:w="115" w:type="dxa"/>
          </w:tblCellMar>
        </w:tblPrEx>
        <w:trPr>
          <w:trHeight w:val="240" w:hRule="atLeast"/>
        </w:trPr>
        <w:tc>
          <w:tcPr>
            <w:tcW w:w="4111" w:type="dxa"/>
            <w:tcBorders>
              <w:top w:val="single" w:color="000000" w:sz="4" w:space="0"/>
              <w:left w:val="single" w:color="000000" w:sz="4" w:space="0"/>
              <w:bottom w:val="single" w:color="000000" w:sz="4" w:space="0"/>
              <w:right w:val="nil"/>
            </w:tcBorders>
          </w:tcPr>
          <w:p w14:paraId="1654977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71" w:type="dxa"/>
            <w:tcBorders>
              <w:top w:val="single" w:color="000000" w:sz="4" w:space="0"/>
              <w:left w:val="nil"/>
              <w:bottom w:val="single" w:color="000000" w:sz="4" w:space="0"/>
              <w:right w:val="single" w:color="000000" w:sz="4" w:space="0"/>
            </w:tcBorders>
          </w:tcPr>
          <w:p w14:paraId="4642F6E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785" w:type="dxa"/>
            <w:tcBorders>
              <w:top w:val="single" w:color="000000" w:sz="4" w:space="0"/>
              <w:left w:val="single" w:color="000000" w:sz="4" w:space="0"/>
              <w:bottom w:val="single" w:color="000000" w:sz="4" w:space="0"/>
              <w:right w:val="single" w:color="000000" w:sz="4" w:space="0"/>
            </w:tcBorders>
          </w:tcPr>
          <w:p w14:paraId="1207243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38C1F4A7">
        <w:tblPrEx>
          <w:tblCellMar>
            <w:top w:w="8" w:type="dxa"/>
            <w:left w:w="108" w:type="dxa"/>
            <w:bottom w:w="0" w:type="dxa"/>
            <w:right w:w="115" w:type="dxa"/>
          </w:tblCellMar>
        </w:tblPrEx>
        <w:trPr>
          <w:trHeight w:val="240" w:hRule="atLeast"/>
        </w:trPr>
        <w:tc>
          <w:tcPr>
            <w:tcW w:w="4111" w:type="dxa"/>
            <w:vMerge w:val="restart"/>
            <w:tcBorders>
              <w:top w:val="single" w:color="000000" w:sz="4" w:space="0"/>
              <w:left w:val="single" w:color="000000" w:sz="4" w:space="0"/>
              <w:bottom w:val="single" w:color="000000" w:sz="4" w:space="0"/>
              <w:right w:val="single" w:color="000000" w:sz="4" w:space="0"/>
            </w:tcBorders>
          </w:tcPr>
          <w:p w14:paraId="50BBAFB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71" w:type="dxa"/>
            <w:tcBorders>
              <w:top w:val="single" w:color="000000" w:sz="4" w:space="0"/>
              <w:left w:val="single" w:color="000000" w:sz="4" w:space="0"/>
              <w:bottom w:val="single" w:color="000000" w:sz="4" w:space="0"/>
              <w:right w:val="single" w:color="000000" w:sz="4" w:space="0"/>
            </w:tcBorders>
          </w:tcPr>
          <w:p w14:paraId="4B50FCA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85" w:type="dxa"/>
            <w:tcBorders>
              <w:top w:val="single" w:color="000000" w:sz="4" w:space="0"/>
              <w:left w:val="single" w:color="000000" w:sz="4" w:space="0"/>
              <w:bottom w:val="single" w:color="000000" w:sz="4" w:space="0"/>
              <w:right w:val="single" w:color="000000" w:sz="4" w:space="0"/>
            </w:tcBorders>
          </w:tcPr>
          <w:p w14:paraId="7CFAB36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68737A5C">
        <w:tblPrEx>
          <w:tblCellMar>
            <w:top w:w="8" w:type="dxa"/>
            <w:left w:w="108" w:type="dxa"/>
            <w:bottom w:w="0" w:type="dxa"/>
            <w:right w:w="115" w:type="dxa"/>
          </w:tblCellMar>
        </w:tblPrEx>
        <w:trPr>
          <w:trHeight w:val="263" w:hRule="atLeast"/>
        </w:trPr>
        <w:tc>
          <w:tcPr>
            <w:tcW w:w="4111" w:type="dxa"/>
            <w:vMerge w:val="continue"/>
            <w:tcBorders>
              <w:top w:val="nil"/>
              <w:left w:val="single" w:color="000000" w:sz="4" w:space="0"/>
              <w:bottom w:val="nil"/>
              <w:right w:val="single" w:color="000000" w:sz="4" w:space="0"/>
            </w:tcBorders>
          </w:tcPr>
          <w:p w14:paraId="03D369FD">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6095AEA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85" w:type="dxa"/>
            <w:tcBorders>
              <w:top w:val="single" w:color="000000" w:sz="4" w:space="0"/>
              <w:left w:val="single" w:color="000000" w:sz="4" w:space="0"/>
              <w:bottom w:val="single" w:color="000000" w:sz="4" w:space="0"/>
              <w:right w:val="single" w:color="000000" w:sz="4" w:space="0"/>
            </w:tcBorders>
          </w:tcPr>
          <w:p w14:paraId="695B23A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37810B4B">
        <w:tblPrEx>
          <w:tblCellMar>
            <w:top w:w="8" w:type="dxa"/>
            <w:left w:w="108" w:type="dxa"/>
            <w:bottom w:w="0" w:type="dxa"/>
            <w:right w:w="115" w:type="dxa"/>
          </w:tblCellMar>
        </w:tblPrEx>
        <w:trPr>
          <w:trHeight w:val="240" w:hRule="atLeast"/>
        </w:trPr>
        <w:tc>
          <w:tcPr>
            <w:tcW w:w="4111" w:type="dxa"/>
            <w:vMerge w:val="continue"/>
            <w:tcBorders>
              <w:top w:val="nil"/>
              <w:left w:val="single" w:color="000000" w:sz="4" w:space="0"/>
              <w:bottom w:val="single" w:color="000000" w:sz="4" w:space="0"/>
              <w:right w:val="single" w:color="000000" w:sz="4" w:space="0"/>
            </w:tcBorders>
          </w:tcPr>
          <w:p w14:paraId="3129FA35">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3270947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85" w:type="dxa"/>
            <w:tcBorders>
              <w:top w:val="single" w:color="000000" w:sz="4" w:space="0"/>
              <w:left w:val="single" w:color="000000" w:sz="4" w:space="0"/>
              <w:bottom w:val="single" w:color="000000" w:sz="4" w:space="0"/>
              <w:right w:val="single" w:color="000000" w:sz="4" w:space="0"/>
            </w:tcBorders>
          </w:tcPr>
          <w:p w14:paraId="23FCE24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w:t>
            </w:r>
          </w:p>
        </w:tc>
      </w:tr>
      <w:tr w14:paraId="0B9B8DD5">
        <w:tblPrEx>
          <w:tblCellMar>
            <w:top w:w="8" w:type="dxa"/>
            <w:left w:w="108" w:type="dxa"/>
            <w:bottom w:w="0" w:type="dxa"/>
            <w:right w:w="115" w:type="dxa"/>
          </w:tblCellMar>
        </w:tblPrEx>
        <w:trPr>
          <w:trHeight w:val="240" w:hRule="atLeast"/>
        </w:trPr>
        <w:tc>
          <w:tcPr>
            <w:tcW w:w="4111" w:type="dxa"/>
            <w:vMerge w:val="restart"/>
            <w:tcBorders>
              <w:top w:val="single" w:color="000000" w:sz="4" w:space="0"/>
              <w:left w:val="single" w:color="000000" w:sz="4" w:space="0"/>
              <w:bottom w:val="single" w:color="000000" w:sz="4" w:space="0"/>
              <w:right w:val="single" w:color="000000" w:sz="4" w:space="0"/>
            </w:tcBorders>
          </w:tcPr>
          <w:p w14:paraId="6C9B05C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71" w:type="dxa"/>
            <w:tcBorders>
              <w:top w:val="single" w:color="000000" w:sz="4" w:space="0"/>
              <w:left w:val="single" w:color="000000" w:sz="4" w:space="0"/>
              <w:bottom w:val="single" w:color="000000" w:sz="4" w:space="0"/>
              <w:right w:val="single" w:color="000000" w:sz="4" w:space="0"/>
            </w:tcBorders>
          </w:tcPr>
          <w:p w14:paraId="123877D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85" w:type="dxa"/>
            <w:tcBorders>
              <w:top w:val="single" w:color="000000" w:sz="4" w:space="0"/>
              <w:left w:val="single" w:color="000000" w:sz="4" w:space="0"/>
              <w:bottom w:val="single" w:color="000000" w:sz="4" w:space="0"/>
              <w:right w:val="single" w:color="000000" w:sz="4" w:space="0"/>
            </w:tcBorders>
          </w:tcPr>
          <w:p w14:paraId="1B5AF5F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w:t>
            </w:r>
          </w:p>
        </w:tc>
      </w:tr>
      <w:tr w14:paraId="442085F9">
        <w:tblPrEx>
          <w:tblCellMar>
            <w:top w:w="8" w:type="dxa"/>
            <w:left w:w="108" w:type="dxa"/>
            <w:bottom w:w="0" w:type="dxa"/>
            <w:right w:w="115" w:type="dxa"/>
          </w:tblCellMar>
        </w:tblPrEx>
        <w:trPr>
          <w:trHeight w:val="241" w:hRule="atLeast"/>
        </w:trPr>
        <w:tc>
          <w:tcPr>
            <w:tcW w:w="4111" w:type="dxa"/>
            <w:vMerge w:val="continue"/>
            <w:tcBorders>
              <w:top w:val="nil"/>
              <w:left w:val="single" w:color="000000" w:sz="4" w:space="0"/>
              <w:bottom w:val="single" w:color="000000" w:sz="4" w:space="0"/>
              <w:right w:val="single" w:color="000000" w:sz="4" w:space="0"/>
            </w:tcBorders>
          </w:tcPr>
          <w:p w14:paraId="699CCA37">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3671" w:type="dxa"/>
            <w:tcBorders>
              <w:top w:val="single" w:color="000000" w:sz="4" w:space="0"/>
              <w:left w:val="single" w:color="000000" w:sz="4" w:space="0"/>
              <w:bottom w:val="single" w:color="000000" w:sz="4" w:space="0"/>
              <w:right w:val="single" w:color="000000" w:sz="4" w:space="0"/>
            </w:tcBorders>
          </w:tcPr>
          <w:p w14:paraId="3F0695C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85" w:type="dxa"/>
            <w:tcBorders>
              <w:top w:val="single" w:color="000000" w:sz="4" w:space="0"/>
              <w:left w:val="single" w:color="000000" w:sz="4" w:space="0"/>
              <w:bottom w:val="single" w:color="000000" w:sz="4" w:space="0"/>
              <w:right w:val="single" w:color="000000" w:sz="4" w:space="0"/>
            </w:tcBorders>
          </w:tcPr>
          <w:p w14:paraId="7AAC6EB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w:t>
            </w:r>
          </w:p>
        </w:tc>
      </w:tr>
      <w:tr w14:paraId="145E27C6">
        <w:tblPrEx>
          <w:tblCellMar>
            <w:top w:w="8" w:type="dxa"/>
            <w:left w:w="108" w:type="dxa"/>
            <w:bottom w:w="0" w:type="dxa"/>
            <w:right w:w="115" w:type="dxa"/>
          </w:tblCellMar>
        </w:tblPrEx>
        <w:trPr>
          <w:trHeight w:val="467" w:hRule="atLeast"/>
        </w:trPr>
        <w:tc>
          <w:tcPr>
            <w:tcW w:w="4111" w:type="dxa"/>
            <w:tcBorders>
              <w:top w:val="single" w:color="000000" w:sz="4" w:space="0"/>
              <w:left w:val="single" w:color="000000" w:sz="4" w:space="0"/>
              <w:bottom w:val="single" w:color="000000" w:sz="4" w:space="0"/>
              <w:right w:val="single" w:color="000000" w:sz="4" w:space="0"/>
            </w:tcBorders>
          </w:tcPr>
          <w:p w14:paraId="2EC0887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71" w:type="dxa"/>
            <w:tcBorders>
              <w:top w:val="single" w:color="000000" w:sz="4" w:space="0"/>
              <w:left w:val="single" w:color="000000" w:sz="4" w:space="0"/>
              <w:bottom w:val="single" w:color="000000" w:sz="4" w:space="0"/>
              <w:right w:val="single" w:color="000000" w:sz="4" w:space="0"/>
            </w:tcBorders>
          </w:tcPr>
          <w:p w14:paraId="2B40CD8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Low Medium </w:t>
            </w:r>
          </w:p>
        </w:tc>
        <w:tc>
          <w:tcPr>
            <w:tcW w:w="785" w:type="dxa"/>
            <w:tcBorders>
              <w:top w:val="single" w:color="000000" w:sz="4" w:space="0"/>
              <w:left w:val="single" w:color="000000" w:sz="4" w:space="0"/>
              <w:bottom w:val="single" w:color="000000" w:sz="4" w:space="0"/>
              <w:right w:val="single" w:color="000000" w:sz="4" w:space="0"/>
            </w:tcBorders>
            <w:shd w:val="clear" w:color="auto" w:fill="92D050"/>
          </w:tcPr>
          <w:p w14:paraId="7019444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16</w:t>
            </w:r>
          </w:p>
        </w:tc>
      </w:tr>
    </w:tbl>
    <w:p w14:paraId="600FE9E5">
      <w:pPr>
        <w:widowControl w:val="0"/>
        <w:tabs>
          <w:tab w:val="left" w:pos="709"/>
        </w:tabs>
        <w:autoSpaceDE w:val="0"/>
        <w:autoSpaceDN w:val="0"/>
        <w:spacing w:before="100" w:beforeAutospacing="1" w:after="100" w:afterAutospacing="1" w:line="240" w:lineRule="auto"/>
        <w:ind w:left="709"/>
        <w:jc w:val="both"/>
        <w:rPr>
          <w:rFonts w:eastAsia="Calibri" w:cs="Calibri"/>
          <w:b/>
          <w:i/>
          <w:lang w:bidi="en-US"/>
        </w:rPr>
      </w:pPr>
      <w:r>
        <w:rPr>
          <w:rFonts w:eastAsia="Calibri" w:cs="Calibri"/>
          <w:b/>
          <w:i/>
          <w:lang w:bidi="en-US"/>
        </w:rPr>
        <w:t>Mitigation Measures:</w:t>
      </w:r>
    </w:p>
    <w:p w14:paraId="5D8CEE0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HIV/AIDS Awareness Campaigns: Implement regular awareness and education programs on HIV/AIDS prevention and safe practices for workers and local communities.</w:t>
      </w:r>
    </w:p>
    <w:p w14:paraId="029360DA">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Health Screening and Support Services: Provide voluntary counseling, testing, and access to healthcare services, including antiretroviral treatment, for workers and nearby residents.</w:t>
      </w:r>
    </w:p>
    <w:p w14:paraId="6AF73F6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Promotion of Safe Sex Practices: Distribute condoms freely to workers and residents, alongside campaigns encouraging their use.</w:t>
      </w:r>
    </w:p>
    <w:p w14:paraId="2A48DCD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Code of Conduct for Workers: Establish a code of conduct that prohibits sexual exploitation and harassment, holding workers accountable for violations.</w:t>
      </w:r>
    </w:p>
    <w:p w14:paraId="484DF7E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Collaboration with Health Authorities: Partner with local health institutions to ensure the availability of HIV/AIDS prevention, treatment, and support services.</w:t>
      </w:r>
    </w:p>
    <w:p w14:paraId="5A9B830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Workforce Accommodation and Management: Manage workforce interactions by ensuring worker accommodation is separate from local communities and monitor social interactions to reduce risk behaviors.</w:t>
      </w:r>
    </w:p>
    <w:p w14:paraId="5F658AE3">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lang w:bidi="en-US"/>
        </w:rPr>
      </w:pPr>
    </w:p>
    <w:p w14:paraId="3C0C0127">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lang w:bidi="en-US"/>
        </w:rPr>
      </w:pPr>
      <w:r>
        <w:rPr>
          <w:rFonts w:eastAsia="Calibri" w:cs="Calibri"/>
          <w:b/>
          <w:lang w:bidi="en-US"/>
        </w:rPr>
        <w:t>Leakage of fuel and lubricants (Low medium)</w:t>
      </w:r>
    </w:p>
    <w:p w14:paraId="76066D12">
      <w:pPr>
        <w:widowControl w:val="0"/>
        <w:tabs>
          <w:tab w:val="left" w:pos="709"/>
        </w:tabs>
        <w:autoSpaceDE w:val="0"/>
        <w:autoSpaceDN w:val="0"/>
        <w:spacing w:before="100" w:beforeAutospacing="1" w:after="100" w:afterAutospacing="1" w:line="240" w:lineRule="auto"/>
        <w:ind w:left="709"/>
        <w:contextualSpacing/>
        <w:jc w:val="both"/>
        <w:rPr>
          <w:rFonts w:eastAsia="Calibri" w:cs="Calibri"/>
          <w:lang w:bidi="en-US"/>
        </w:rPr>
      </w:pPr>
      <w:r>
        <w:rPr>
          <w:rFonts w:eastAsia="Calibri" w:cs="Calibri"/>
          <w:lang w:bidi="en-US"/>
        </w:rPr>
        <w:t>Ground- and surface water contamination could occur if the Contractor does not follow pollution control measures. Groundwater can be contaminated through leaking of spilt fuels and lubricants.</w:t>
      </w:r>
    </w:p>
    <w:tbl>
      <w:tblPr>
        <w:tblStyle w:val="258"/>
        <w:tblW w:w="8709" w:type="dxa"/>
        <w:tblInd w:w="704" w:type="dxa"/>
        <w:tblLayout w:type="autofit"/>
        <w:tblCellMar>
          <w:top w:w="8" w:type="dxa"/>
          <w:left w:w="108" w:type="dxa"/>
          <w:bottom w:w="0" w:type="dxa"/>
          <w:right w:w="115" w:type="dxa"/>
        </w:tblCellMar>
      </w:tblPr>
      <w:tblGrid>
        <w:gridCol w:w="3827"/>
        <w:gridCol w:w="4097"/>
        <w:gridCol w:w="785"/>
      </w:tblGrid>
      <w:tr w14:paraId="3389ADA4">
        <w:tblPrEx>
          <w:tblCellMar>
            <w:top w:w="8" w:type="dxa"/>
            <w:left w:w="108" w:type="dxa"/>
            <w:bottom w:w="0" w:type="dxa"/>
            <w:right w:w="115" w:type="dxa"/>
          </w:tblCellMar>
        </w:tblPrEx>
        <w:trPr>
          <w:trHeight w:val="240" w:hRule="atLeast"/>
        </w:trPr>
        <w:tc>
          <w:tcPr>
            <w:tcW w:w="3827" w:type="dxa"/>
            <w:tcBorders>
              <w:top w:val="single" w:color="000000" w:sz="4" w:space="0"/>
              <w:left w:val="single" w:color="000000" w:sz="4" w:space="0"/>
              <w:bottom w:val="single" w:color="000000" w:sz="4" w:space="0"/>
              <w:right w:val="nil"/>
            </w:tcBorders>
          </w:tcPr>
          <w:p w14:paraId="6F934AD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4097" w:type="dxa"/>
            <w:tcBorders>
              <w:top w:val="single" w:color="000000" w:sz="4" w:space="0"/>
              <w:left w:val="nil"/>
              <w:bottom w:val="single" w:color="000000" w:sz="4" w:space="0"/>
              <w:right w:val="single" w:color="000000" w:sz="4" w:space="0"/>
            </w:tcBorders>
          </w:tcPr>
          <w:p w14:paraId="00AB0B54">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785" w:type="dxa"/>
            <w:tcBorders>
              <w:top w:val="single" w:color="000000" w:sz="4" w:space="0"/>
              <w:left w:val="single" w:color="000000" w:sz="4" w:space="0"/>
              <w:bottom w:val="single" w:color="000000" w:sz="4" w:space="0"/>
              <w:right w:val="single" w:color="000000" w:sz="4" w:space="0"/>
            </w:tcBorders>
          </w:tcPr>
          <w:p w14:paraId="3CDE345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79BFDCFF">
        <w:tblPrEx>
          <w:tblCellMar>
            <w:top w:w="8" w:type="dxa"/>
            <w:left w:w="108" w:type="dxa"/>
            <w:bottom w:w="0" w:type="dxa"/>
            <w:right w:w="115" w:type="dxa"/>
          </w:tblCellMar>
        </w:tblPrEx>
        <w:trPr>
          <w:trHeight w:val="240" w:hRule="atLeast"/>
        </w:trPr>
        <w:tc>
          <w:tcPr>
            <w:tcW w:w="3827" w:type="dxa"/>
            <w:vMerge w:val="restart"/>
            <w:tcBorders>
              <w:top w:val="single" w:color="000000" w:sz="4" w:space="0"/>
              <w:left w:val="single" w:color="000000" w:sz="4" w:space="0"/>
              <w:bottom w:val="single" w:color="000000" w:sz="4" w:space="0"/>
              <w:right w:val="single" w:color="000000" w:sz="4" w:space="0"/>
            </w:tcBorders>
          </w:tcPr>
          <w:p w14:paraId="43D743F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4097" w:type="dxa"/>
            <w:tcBorders>
              <w:top w:val="single" w:color="000000" w:sz="4" w:space="0"/>
              <w:left w:val="single" w:color="000000" w:sz="4" w:space="0"/>
              <w:bottom w:val="single" w:color="000000" w:sz="4" w:space="0"/>
              <w:right w:val="single" w:color="000000" w:sz="4" w:space="0"/>
            </w:tcBorders>
          </w:tcPr>
          <w:p w14:paraId="34566CD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85" w:type="dxa"/>
            <w:tcBorders>
              <w:top w:val="single" w:color="000000" w:sz="4" w:space="0"/>
              <w:left w:val="single" w:color="000000" w:sz="4" w:space="0"/>
              <w:bottom w:val="single" w:color="000000" w:sz="4" w:space="0"/>
              <w:right w:val="single" w:color="000000" w:sz="4" w:space="0"/>
            </w:tcBorders>
          </w:tcPr>
          <w:p w14:paraId="72992F7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766168F6">
        <w:tblPrEx>
          <w:tblCellMar>
            <w:top w:w="8" w:type="dxa"/>
            <w:left w:w="108" w:type="dxa"/>
            <w:bottom w:w="0" w:type="dxa"/>
            <w:right w:w="115" w:type="dxa"/>
          </w:tblCellMar>
        </w:tblPrEx>
        <w:trPr>
          <w:trHeight w:val="253" w:hRule="atLeast"/>
        </w:trPr>
        <w:tc>
          <w:tcPr>
            <w:tcW w:w="3827" w:type="dxa"/>
            <w:vMerge w:val="continue"/>
            <w:tcBorders>
              <w:top w:val="nil"/>
              <w:left w:val="single" w:color="000000" w:sz="4" w:space="0"/>
              <w:bottom w:val="nil"/>
              <w:right w:val="single" w:color="000000" w:sz="4" w:space="0"/>
            </w:tcBorders>
          </w:tcPr>
          <w:p w14:paraId="508E15F3">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97" w:type="dxa"/>
            <w:tcBorders>
              <w:top w:val="single" w:color="000000" w:sz="4" w:space="0"/>
              <w:left w:val="single" w:color="000000" w:sz="4" w:space="0"/>
              <w:bottom w:val="single" w:color="000000" w:sz="4" w:space="0"/>
              <w:right w:val="single" w:color="000000" w:sz="4" w:space="0"/>
            </w:tcBorders>
          </w:tcPr>
          <w:p w14:paraId="75ECFA1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85" w:type="dxa"/>
            <w:tcBorders>
              <w:top w:val="single" w:color="000000" w:sz="4" w:space="0"/>
              <w:left w:val="single" w:color="000000" w:sz="4" w:space="0"/>
              <w:bottom w:val="single" w:color="000000" w:sz="4" w:space="0"/>
              <w:right w:val="single" w:color="000000" w:sz="4" w:space="0"/>
            </w:tcBorders>
          </w:tcPr>
          <w:p w14:paraId="1F435D5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233475F2">
        <w:tblPrEx>
          <w:tblCellMar>
            <w:top w:w="8" w:type="dxa"/>
            <w:left w:w="108" w:type="dxa"/>
            <w:bottom w:w="0" w:type="dxa"/>
            <w:right w:w="115" w:type="dxa"/>
          </w:tblCellMar>
        </w:tblPrEx>
        <w:trPr>
          <w:trHeight w:val="240" w:hRule="atLeast"/>
        </w:trPr>
        <w:tc>
          <w:tcPr>
            <w:tcW w:w="3827" w:type="dxa"/>
            <w:vMerge w:val="continue"/>
            <w:tcBorders>
              <w:top w:val="nil"/>
              <w:left w:val="single" w:color="000000" w:sz="4" w:space="0"/>
              <w:bottom w:val="single" w:color="000000" w:sz="4" w:space="0"/>
              <w:right w:val="single" w:color="000000" w:sz="4" w:space="0"/>
            </w:tcBorders>
          </w:tcPr>
          <w:p w14:paraId="12049DB5">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97" w:type="dxa"/>
            <w:tcBorders>
              <w:top w:val="single" w:color="000000" w:sz="4" w:space="0"/>
              <w:left w:val="single" w:color="000000" w:sz="4" w:space="0"/>
              <w:bottom w:val="single" w:color="000000" w:sz="4" w:space="0"/>
              <w:right w:val="single" w:color="000000" w:sz="4" w:space="0"/>
            </w:tcBorders>
          </w:tcPr>
          <w:p w14:paraId="5622D17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85" w:type="dxa"/>
            <w:tcBorders>
              <w:top w:val="single" w:color="000000" w:sz="4" w:space="0"/>
              <w:left w:val="single" w:color="000000" w:sz="4" w:space="0"/>
              <w:bottom w:val="single" w:color="000000" w:sz="4" w:space="0"/>
              <w:right w:val="single" w:color="000000" w:sz="4" w:space="0"/>
            </w:tcBorders>
          </w:tcPr>
          <w:p w14:paraId="10C9A7B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w:t>
            </w:r>
          </w:p>
        </w:tc>
      </w:tr>
      <w:tr w14:paraId="1B2563EB">
        <w:tblPrEx>
          <w:tblCellMar>
            <w:top w:w="8" w:type="dxa"/>
            <w:left w:w="108" w:type="dxa"/>
            <w:bottom w:w="0" w:type="dxa"/>
            <w:right w:w="115" w:type="dxa"/>
          </w:tblCellMar>
        </w:tblPrEx>
        <w:trPr>
          <w:trHeight w:val="240" w:hRule="atLeast"/>
        </w:trPr>
        <w:tc>
          <w:tcPr>
            <w:tcW w:w="3827" w:type="dxa"/>
            <w:vMerge w:val="restart"/>
            <w:tcBorders>
              <w:top w:val="single" w:color="000000" w:sz="4" w:space="0"/>
              <w:left w:val="single" w:color="000000" w:sz="4" w:space="0"/>
              <w:bottom w:val="single" w:color="000000" w:sz="4" w:space="0"/>
              <w:right w:val="single" w:color="000000" w:sz="4" w:space="0"/>
            </w:tcBorders>
          </w:tcPr>
          <w:p w14:paraId="2E9D838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4097" w:type="dxa"/>
            <w:tcBorders>
              <w:top w:val="single" w:color="000000" w:sz="4" w:space="0"/>
              <w:left w:val="single" w:color="000000" w:sz="4" w:space="0"/>
              <w:bottom w:val="single" w:color="000000" w:sz="4" w:space="0"/>
              <w:right w:val="single" w:color="000000" w:sz="4" w:space="0"/>
            </w:tcBorders>
          </w:tcPr>
          <w:p w14:paraId="6BCCB2B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85" w:type="dxa"/>
            <w:tcBorders>
              <w:top w:val="single" w:color="000000" w:sz="4" w:space="0"/>
              <w:left w:val="single" w:color="000000" w:sz="4" w:space="0"/>
              <w:bottom w:val="single" w:color="000000" w:sz="4" w:space="0"/>
              <w:right w:val="single" w:color="000000" w:sz="4" w:space="0"/>
            </w:tcBorders>
          </w:tcPr>
          <w:p w14:paraId="26F1891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w:t>
            </w:r>
          </w:p>
        </w:tc>
      </w:tr>
      <w:tr w14:paraId="38633DE4">
        <w:tblPrEx>
          <w:tblCellMar>
            <w:top w:w="8" w:type="dxa"/>
            <w:left w:w="108" w:type="dxa"/>
            <w:bottom w:w="0" w:type="dxa"/>
            <w:right w:w="115" w:type="dxa"/>
          </w:tblCellMar>
        </w:tblPrEx>
        <w:trPr>
          <w:trHeight w:val="241" w:hRule="atLeast"/>
        </w:trPr>
        <w:tc>
          <w:tcPr>
            <w:tcW w:w="3827" w:type="dxa"/>
            <w:vMerge w:val="continue"/>
            <w:tcBorders>
              <w:top w:val="nil"/>
              <w:left w:val="single" w:color="000000" w:sz="4" w:space="0"/>
              <w:bottom w:val="single" w:color="000000" w:sz="4" w:space="0"/>
              <w:right w:val="single" w:color="000000" w:sz="4" w:space="0"/>
            </w:tcBorders>
          </w:tcPr>
          <w:p w14:paraId="0476EE10">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97" w:type="dxa"/>
            <w:tcBorders>
              <w:top w:val="single" w:color="000000" w:sz="4" w:space="0"/>
              <w:left w:val="single" w:color="000000" w:sz="4" w:space="0"/>
              <w:bottom w:val="single" w:color="000000" w:sz="4" w:space="0"/>
              <w:right w:val="single" w:color="000000" w:sz="4" w:space="0"/>
            </w:tcBorders>
          </w:tcPr>
          <w:p w14:paraId="61979E6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85" w:type="dxa"/>
            <w:tcBorders>
              <w:top w:val="single" w:color="000000" w:sz="4" w:space="0"/>
              <w:left w:val="single" w:color="000000" w:sz="4" w:space="0"/>
              <w:bottom w:val="single" w:color="000000" w:sz="4" w:space="0"/>
              <w:right w:val="single" w:color="000000" w:sz="4" w:space="0"/>
            </w:tcBorders>
          </w:tcPr>
          <w:p w14:paraId="10A5816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w:t>
            </w:r>
          </w:p>
        </w:tc>
      </w:tr>
      <w:tr w14:paraId="5FDDC5AC">
        <w:tblPrEx>
          <w:tblCellMar>
            <w:top w:w="8" w:type="dxa"/>
            <w:left w:w="108" w:type="dxa"/>
            <w:bottom w:w="0" w:type="dxa"/>
            <w:right w:w="115" w:type="dxa"/>
          </w:tblCellMar>
        </w:tblPrEx>
        <w:trPr>
          <w:trHeight w:val="467" w:hRule="atLeast"/>
        </w:trPr>
        <w:tc>
          <w:tcPr>
            <w:tcW w:w="3827" w:type="dxa"/>
            <w:tcBorders>
              <w:top w:val="single" w:color="000000" w:sz="4" w:space="0"/>
              <w:left w:val="single" w:color="000000" w:sz="4" w:space="0"/>
              <w:bottom w:val="single" w:color="000000" w:sz="4" w:space="0"/>
              <w:right w:val="single" w:color="000000" w:sz="4" w:space="0"/>
            </w:tcBorders>
          </w:tcPr>
          <w:p w14:paraId="524A210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4097" w:type="dxa"/>
            <w:tcBorders>
              <w:top w:val="single" w:color="000000" w:sz="4" w:space="0"/>
              <w:left w:val="single" w:color="000000" w:sz="4" w:space="0"/>
              <w:bottom w:val="single" w:color="000000" w:sz="4" w:space="0"/>
              <w:right w:val="single" w:color="000000" w:sz="4" w:space="0"/>
            </w:tcBorders>
          </w:tcPr>
          <w:p w14:paraId="00E100A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Low Medium </w:t>
            </w:r>
          </w:p>
        </w:tc>
        <w:tc>
          <w:tcPr>
            <w:tcW w:w="785" w:type="dxa"/>
            <w:tcBorders>
              <w:top w:val="single" w:color="000000" w:sz="4" w:space="0"/>
              <w:left w:val="single" w:color="000000" w:sz="4" w:space="0"/>
              <w:bottom w:val="single" w:color="000000" w:sz="4" w:space="0"/>
              <w:right w:val="single" w:color="000000" w:sz="4" w:space="0"/>
            </w:tcBorders>
            <w:shd w:val="clear" w:color="auto" w:fill="92D050"/>
          </w:tcPr>
          <w:p w14:paraId="52E2BF9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16</w:t>
            </w:r>
          </w:p>
        </w:tc>
      </w:tr>
    </w:tbl>
    <w:p w14:paraId="1FF4B30B">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i/>
          <w:lang w:bidi="en-US"/>
        </w:rPr>
      </w:pPr>
    </w:p>
    <w:p w14:paraId="59F54268">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i/>
          <w:lang w:bidi="en-US"/>
        </w:rPr>
      </w:pPr>
      <w:r>
        <w:rPr>
          <w:rFonts w:eastAsia="Calibri" w:cs="Calibri"/>
          <w:b/>
          <w:i/>
          <w:lang w:bidi="en-US"/>
        </w:rPr>
        <w:t>Mitigation Measures</w:t>
      </w:r>
    </w:p>
    <w:p w14:paraId="3101715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Dripping pans to be used to contain all hydrocarbon leakages on construction equipment. </w:t>
      </w:r>
    </w:p>
    <w:p w14:paraId="1F65DD1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Re-fueling on designated areas. </w:t>
      </w:r>
    </w:p>
    <w:p w14:paraId="21E0787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 case of hydrocarbon spills, the contaminated soils will be collected and treated to remove the hydrocarbon and prevent the hydrocarbons from being washed away in storm water to the nearby water bodies</w:t>
      </w:r>
    </w:p>
    <w:p w14:paraId="3B79C897">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lang w:bidi="en-US"/>
        </w:rPr>
      </w:pPr>
      <w:r>
        <w:rPr>
          <w:rFonts w:eastAsia="Calibri" w:cs="Calibri"/>
          <w:b/>
          <w:lang w:bidi="en-US"/>
        </w:rPr>
        <w:t xml:space="preserve">Community Safety Risks </w:t>
      </w:r>
      <w:r>
        <w:rPr>
          <w:rFonts w:eastAsia="Calibri" w:cs="Calibri"/>
          <w:b/>
          <w:i/>
          <w:lang w:bidi="en-US"/>
        </w:rPr>
        <w:t>(Low Medium)</w:t>
      </w:r>
      <w:r>
        <w:rPr>
          <w:rFonts w:eastAsia="Calibri" w:cs="Calibri"/>
          <w:b/>
          <w:lang w:bidi="en-US"/>
        </w:rPr>
        <w:t xml:space="preserve"> </w:t>
      </w:r>
    </w:p>
    <w:p w14:paraId="0F726C92">
      <w:pPr>
        <w:widowControl w:val="0"/>
        <w:tabs>
          <w:tab w:val="left" w:pos="709"/>
        </w:tabs>
        <w:autoSpaceDE w:val="0"/>
        <w:autoSpaceDN w:val="0"/>
        <w:spacing w:before="100" w:beforeAutospacing="1" w:after="100" w:afterAutospacing="1" w:line="240" w:lineRule="auto"/>
        <w:ind w:left="709"/>
        <w:contextualSpacing/>
        <w:jc w:val="both"/>
        <w:rPr>
          <w:rFonts w:eastAsia="Calibri" w:cs="Calibri"/>
          <w:lang w:bidi="en-US"/>
        </w:rPr>
      </w:pPr>
      <w:r>
        <w:rPr>
          <w:rFonts w:eastAsia="Calibri" w:cs="Calibri"/>
          <w:lang w:bidi="en-US"/>
        </w:rPr>
        <w:t>Construction of the FSTP and the road leading to it, like any other construction site, is inherently a potentially dangerous place. Once the construction site is active, there are chances that people may come as a matter of interest or look for employment. Free roaming at the construction site can be dangerous and may lead to accidents such as falling into open ponds.</w:t>
      </w:r>
    </w:p>
    <w:p w14:paraId="6F7A00A0">
      <w:pPr>
        <w:widowControl w:val="0"/>
        <w:tabs>
          <w:tab w:val="left" w:pos="709"/>
        </w:tabs>
        <w:autoSpaceDE w:val="0"/>
        <w:autoSpaceDN w:val="0"/>
        <w:spacing w:before="100" w:beforeAutospacing="1" w:after="100" w:afterAutospacing="1" w:line="240" w:lineRule="auto"/>
        <w:ind w:left="709"/>
        <w:contextualSpacing/>
        <w:jc w:val="both"/>
        <w:rPr>
          <w:rFonts w:eastAsia="Calibri" w:cs="Calibri"/>
          <w:lang w:bidi="en-US"/>
        </w:rPr>
      </w:pPr>
    </w:p>
    <w:tbl>
      <w:tblPr>
        <w:tblStyle w:val="258"/>
        <w:tblW w:w="8709" w:type="dxa"/>
        <w:tblInd w:w="704" w:type="dxa"/>
        <w:tblLayout w:type="autofit"/>
        <w:tblCellMar>
          <w:top w:w="8" w:type="dxa"/>
          <w:left w:w="108" w:type="dxa"/>
          <w:bottom w:w="0" w:type="dxa"/>
          <w:right w:w="115" w:type="dxa"/>
        </w:tblCellMar>
      </w:tblPr>
      <w:tblGrid>
        <w:gridCol w:w="2414"/>
        <w:gridCol w:w="4029"/>
        <w:gridCol w:w="2266"/>
      </w:tblGrid>
      <w:tr w14:paraId="04BE8885">
        <w:tblPrEx>
          <w:tblCellMar>
            <w:top w:w="8" w:type="dxa"/>
            <w:left w:w="108" w:type="dxa"/>
            <w:bottom w:w="0" w:type="dxa"/>
            <w:right w:w="115" w:type="dxa"/>
          </w:tblCellMar>
        </w:tblPrEx>
        <w:trPr>
          <w:trHeight w:val="240" w:hRule="atLeast"/>
        </w:trPr>
        <w:tc>
          <w:tcPr>
            <w:tcW w:w="2414" w:type="dxa"/>
            <w:tcBorders>
              <w:top w:val="single" w:color="000000" w:sz="4" w:space="0"/>
              <w:left w:val="single" w:color="000000" w:sz="4" w:space="0"/>
              <w:bottom w:val="single" w:color="000000" w:sz="4" w:space="0"/>
              <w:right w:val="nil"/>
            </w:tcBorders>
          </w:tcPr>
          <w:p w14:paraId="776E65E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4029" w:type="dxa"/>
            <w:tcBorders>
              <w:top w:val="single" w:color="000000" w:sz="4" w:space="0"/>
              <w:left w:val="nil"/>
              <w:bottom w:val="single" w:color="000000" w:sz="4" w:space="0"/>
              <w:right w:val="single" w:color="000000" w:sz="4" w:space="0"/>
            </w:tcBorders>
          </w:tcPr>
          <w:p w14:paraId="61488238">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2266" w:type="dxa"/>
            <w:tcBorders>
              <w:top w:val="single" w:color="000000" w:sz="4" w:space="0"/>
              <w:left w:val="single" w:color="000000" w:sz="4" w:space="0"/>
              <w:bottom w:val="single" w:color="000000" w:sz="4" w:space="0"/>
              <w:right w:val="single" w:color="000000" w:sz="4" w:space="0"/>
            </w:tcBorders>
          </w:tcPr>
          <w:p w14:paraId="35B891C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Rating </w:t>
            </w:r>
          </w:p>
        </w:tc>
      </w:tr>
      <w:tr w14:paraId="68F51E84">
        <w:tblPrEx>
          <w:tblCellMar>
            <w:top w:w="8" w:type="dxa"/>
            <w:left w:w="108" w:type="dxa"/>
            <w:bottom w:w="0" w:type="dxa"/>
            <w:right w:w="115" w:type="dxa"/>
          </w:tblCellMar>
        </w:tblPrEx>
        <w:trPr>
          <w:trHeight w:val="240" w:hRule="atLeast"/>
        </w:trPr>
        <w:tc>
          <w:tcPr>
            <w:tcW w:w="2414" w:type="dxa"/>
            <w:vMerge w:val="restart"/>
            <w:tcBorders>
              <w:top w:val="single" w:color="000000" w:sz="4" w:space="0"/>
              <w:left w:val="single" w:color="000000" w:sz="4" w:space="0"/>
              <w:bottom w:val="single" w:color="000000" w:sz="4" w:space="0"/>
              <w:right w:val="single" w:color="000000" w:sz="4" w:space="0"/>
            </w:tcBorders>
          </w:tcPr>
          <w:p w14:paraId="1C88136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4029" w:type="dxa"/>
            <w:tcBorders>
              <w:top w:val="single" w:color="000000" w:sz="4" w:space="0"/>
              <w:left w:val="single" w:color="000000" w:sz="4" w:space="0"/>
              <w:bottom w:val="single" w:color="000000" w:sz="4" w:space="0"/>
              <w:right w:val="single" w:color="000000" w:sz="4" w:space="0"/>
            </w:tcBorders>
          </w:tcPr>
          <w:p w14:paraId="2B5C71D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2266" w:type="dxa"/>
            <w:tcBorders>
              <w:top w:val="single" w:color="000000" w:sz="4" w:space="0"/>
              <w:left w:val="single" w:color="000000" w:sz="4" w:space="0"/>
              <w:bottom w:val="single" w:color="000000" w:sz="4" w:space="0"/>
              <w:right w:val="single" w:color="000000" w:sz="4" w:space="0"/>
            </w:tcBorders>
          </w:tcPr>
          <w:p w14:paraId="14890E4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3</w:t>
            </w:r>
          </w:p>
        </w:tc>
      </w:tr>
      <w:tr w14:paraId="1C751638">
        <w:tblPrEx>
          <w:tblCellMar>
            <w:top w:w="8" w:type="dxa"/>
            <w:left w:w="108" w:type="dxa"/>
            <w:bottom w:w="0" w:type="dxa"/>
            <w:right w:w="115" w:type="dxa"/>
          </w:tblCellMar>
        </w:tblPrEx>
        <w:trPr>
          <w:trHeight w:val="471" w:hRule="atLeast"/>
        </w:trPr>
        <w:tc>
          <w:tcPr>
            <w:tcW w:w="2414" w:type="dxa"/>
            <w:vMerge w:val="continue"/>
            <w:tcBorders>
              <w:top w:val="nil"/>
              <w:left w:val="single" w:color="000000" w:sz="4" w:space="0"/>
              <w:bottom w:val="nil"/>
              <w:right w:val="single" w:color="000000" w:sz="4" w:space="0"/>
            </w:tcBorders>
          </w:tcPr>
          <w:p w14:paraId="1EA0A9A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29" w:type="dxa"/>
            <w:tcBorders>
              <w:top w:val="single" w:color="000000" w:sz="4" w:space="0"/>
              <w:left w:val="single" w:color="000000" w:sz="4" w:space="0"/>
              <w:bottom w:val="single" w:color="000000" w:sz="4" w:space="0"/>
              <w:right w:val="single" w:color="000000" w:sz="4" w:space="0"/>
            </w:tcBorders>
          </w:tcPr>
          <w:p w14:paraId="14998DF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2266" w:type="dxa"/>
            <w:tcBorders>
              <w:top w:val="single" w:color="000000" w:sz="4" w:space="0"/>
              <w:left w:val="single" w:color="000000" w:sz="4" w:space="0"/>
              <w:bottom w:val="single" w:color="000000" w:sz="4" w:space="0"/>
              <w:right w:val="single" w:color="000000" w:sz="4" w:space="0"/>
            </w:tcBorders>
          </w:tcPr>
          <w:p w14:paraId="61E800D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2 </w:t>
            </w:r>
          </w:p>
        </w:tc>
      </w:tr>
      <w:tr w14:paraId="5730474D">
        <w:tblPrEx>
          <w:tblCellMar>
            <w:top w:w="8" w:type="dxa"/>
            <w:left w:w="108" w:type="dxa"/>
            <w:bottom w:w="0" w:type="dxa"/>
            <w:right w:w="115" w:type="dxa"/>
          </w:tblCellMar>
        </w:tblPrEx>
        <w:trPr>
          <w:trHeight w:val="240" w:hRule="atLeast"/>
        </w:trPr>
        <w:tc>
          <w:tcPr>
            <w:tcW w:w="2414" w:type="dxa"/>
            <w:vMerge w:val="continue"/>
            <w:tcBorders>
              <w:top w:val="nil"/>
              <w:left w:val="single" w:color="000000" w:sz="4" w:space="0"/>
              <w:bottom w:val="single" w:color="000000" w:sz="4" w:space="0"/>
              <w:right w:val="single" w:color="000000" w:sz="4" w:space="0"/>
            </w:tcBorders>
          </w:tcPr>
          <w:p w14:paraId="52E21B37">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29" w:type="dxa"/>
            <w:tcBorders>
              <w:top w:val="single" w:color="000000" w:sz="4" w:space="0"/>
              <w:left w:val="single" w:color="000000" w:sz="4" w:space="0"/>
              <w:bottom w:val="single" w:color="000000" w:sz="4" w:space="0"/>
              <w:right w:val="single" w:color="000000" w:sz="4" w:space="0"/>
            </w:tcBorders>
          </w:tcPr>
          <w:p w14:paraId="473AE1A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2266" w:type="dxa"/>
            <w:tcBorders>
              <w:top w:val="single" w:color="000000" w:sz="4" w:space="0"/>
              <w:left w:val="single" w:color="000000" w:sz="4" w:space="0"/>
              <w:bottom w:val="single" w:color="000000" w:sz="4" w:space="0"/>
              <w:right w:val="single" w:color="000000" w:sz="4" w:space="0"/>
            </w:tcBorders>
          </w:tcPr>
          <w:p w14:paraId="38EF80E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1 </w:t>
            </w:r>
          </w:p>
        </w:tc>
      </w:tr>
      <w:tr w14:paraId="12A627D7">
        <w:tblPrEx>
          <w:tblCellMar>
            <w:top w:w="8" w:type="dxa"/>
            <w:left w:w="108" w:type="dxa"/>
            <w:bottom w:w="0" w:type="dxa"/>
            <w:right w:w="115" w:type="dxa"/>
          </w:tblCellMar>
        </w:tblPrEx>
        <w:trPr>
          <w:trHeight w:val="240" w:hRule="atLeast"/>
        </w:trPr>
        <w:tc>
          <w:tcPr>
            <w:tcW w:w="2414" w:type="dxa"/>
            <w:vMerge w:val="restart"/>
            <w:tcBorders>
              <w:top w:val="single" w:color="000000" w:sz="4" w:space="0"/>
              <w:left w:val="single" w:color="000000" w:sz="4" w:space="0"/>
              <w:bottom w:val="single" w:color="000000" w:sz="4" w:space="0"/>
              <w:right w:val="single" w:color="000000" w:sz="4" w:space="0"/>
            </w:tcBorders>
          </w:tcPr>
          <w:p w14:paraId="722C2FB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4029" w:type="dxa"/>
            <w:tcBorders>
              <w:top w:val="single" w:color="000000" w:sz="4" w:space="0"/>
              <w:left w:val="single" w:color="000000" w:sz="4" w:space="0"/>
              <w:bottom w:val="single" w:color="000000" w:sz="4" w:space="0"/>
              <w:right w:val="single" w:color="000000" w:sz="4" w:space="0"/>
            </w:tcBorders>
          </w:tcPr>
          <w:p w14:paraId="242F31A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2266" w:type="dxa"/>
            <w:tcBorders>
              <w:top w:val="single" w:color="000000" w:sz="4" w:space="0"/>
              <w:left w:val="single" w:color="000000" w:sz="4" w:space="0"/>
              <w:bottom w:val="single" w:color="000000" w:sz="4" w:space="0"/>
              <w:right w:val="single" w:color="000000" w:sz="4" w:space="0"/>
            </w:tcBorders>
          </w:tcPr>
          <w:p w14:paraId="4191D50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w:t>
            </w:r>
          </w:p>
        </w:tc>
      </w:tr>
      <w:tr w14:paraId="278AD55C">
        <w:tblPrEx>
          <w:tblCellMar>
            <w:top w:w="8" w:type="dxa"/>
            <w:left w:w="108" w:type="dxa"/>
            <w:bottom w:w="0" w:type="dxa"/>
            <w:right w:w="115" w:type="dxa"/>
          </w:tblCellMar>
        </w:tblPrEx>
        <w:trPr>
          <w:trHeight w:val="241" w:hRule="atLeast"/>
        </w:trPr>
        <w:tc>
          <w:tcPr>
            <w:tcW w:w="2414" w:type="dxa"/>
            <w:vMerge w:val="continue"/>
            <w:tcBorders>
              <w:top w:val="nil"/>
              <w:left w:val="single" w:color="000000" w:sz="4" w:space="0"/>
              <w:bottom w:val="single" w:color="000000" w:sz="4" w:space="0"/>
              <w:right w:val="single" w:color="000000" w:sz="4" w:space="0"/>
            </w:tcBorders>
          </w:tcPr>
          <w:p w14:paraId="0B5322B9">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p>
        </w:tc>
        <w:tc>
          <w:tcPr>
            <w:tcW w:w="4029" w:type="dxa"/>
            <w:tcBorders>
              <w:top w:val="single" w:color="000000" w:sz="4" w:space="0"/>
              <w:left w:val="single" w:color="000000" w:sz="4" w:space="0"/>
              <w:bottom w:val="single" w:color="000000" w:sz="4" w:space="0"/>
              <w:right w:val="single" w:color="000000" w:sz="4" w:space="0"/>
            </w:tcBorders>
          </w:tcPr>
          <w:p w14:paraId="0F67CED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2266" w:type="dxa"/>
            <w:tcBorders>
              <w:top w:val="single" w:color="000000" w:sz="4" w:space="0"/>
              <w:left w:val="single" w:color="000000" w:sz="4" w:space="0"/>
              <w:bottom w:val="single" w:color="000000" w:sz="4" w:space="0"/>
              <w:right w:val="single" w:color="000000" w:sz="4" w:space="0"/>
            </w:tcBorders>
          </w:tcPr>
          <w:p w14:paraId="1C774B2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2</w:t>
            </w:r>
          </w:p>
        </w:tc>
      </w:tr>
      <w:tr w14:paraId="1324702D">
        <w:tblPrEx>
          <w:tblCellMar>
            <w:top w:w="8" w:type="dxa"/>
            <w:left w:w="108" w:type="dxa"/>
            <w:bottom w:w="0" w:type="dxa"/>
            <w:right w:w="115" w:type="dxa"/>
          </w:tblCellMar>
        </w:tblPrEx>
        <w:trPr>
          <w:trHeight w:val="467" w:hRule="atLeast"/>
        </w:trPr>
        <w:tc>
          <w:tcPr>
            <w:tcW w:w="2414" w:type="dxa"/>
            <w:tcBorders>
              <w:top w:val="single" w:color="000000" w:sz="4" w:space="0"/>
              <w:left w:val="single" w:color="000000" w:sz="4" w:space="0"/>
              <w:bottom w:val="single" w:color="000000" w:sz="4" w:space="0"/>
              <w:right w:val="single" w:color="000000" w:sz="4" w:space="0"/>
            </w:tcBorders>
          </w:tcPr>
          <w:p w14:paraId="1427FB1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4029" w:type="dxa"/>
            <w:tcBorders>
              <w:top w:val="single" w:color="000000" w:sz="4" w:space="0"/>
              <w:left w:val="single" w:color="000000" w:sz="4" w:space="0"/>
              <w:bottom w:val="single" w:color="000000" w:sz="4" w:space="0"/>
              <w:right w:val="single" w:color="000000" w:sz="4" w:space="0"/>
            </w:tcBorders>
          </w:tcPr>
          <w:p w14:paraId="5CD99FCA">
            <w:pPr>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Arial" w:cs="Arial"/>
                <w:lang w:bidi="en-US"/>
              </w:rPr>
              <w:t xml:space="preserve">Low Medium </w:t>
            </w:r>
          </w:p>
        </w:tc>
        <w:tc>
          <w:tcPr>
            <w:tcW w:w="2266" w:type="dxa"/>
            <w:tcBorders>
              <w:top w:val="single" w:color="000000" w:sz="4" w:space="0"/>
              <w:left w:val="single" w:color="000000" w:sz="4" w:space="0"/>
              <w:bottom w:val="single" w:color="000000" w:sz="4" w:space="0"/>
              <w:right w:val="single" w:color="000000" w:sz="4" w:space="0"/>
            </w:tcBorders>
            <w:shd w:val="clear" w:color="auto" w:fill="FFE599" w:themeFill="accent4" w:themeFillTint="66"/>
          </w:tcPr>
          <w:p w14:paraId="23D3E5D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 24</w:t>
            </w:r>
          </w:p>
        </w:tc>
      </w:tr>
    </w:tbl>
    <w:p w14:paraId="14C27BAC">
      <w:pPr>
        <w:widowControl w:val="0"/>
        <w:tabs>
          <w:tab w:val="left" w:pos="709"/>
        </w:tabs>
        <w:autoSpaceDE w:val="0"/>
        <w:autoSpaceDN w:val="0"/>
        <w:spacing w:before="100" w:beforeAutospacing="1" w:after="100" w:afterAutospacing="1" w:line="240" w:lineRule="auto"/>
        <w:ind w:left="709"/>
        <w:contextualSpacing/>
        <w:jc w:val="both"/>
        <w:rPr>
          <w:rFonts w:eastAsia="Calibri" w:cs="Calibri"/>
          <w:lang w:bidi="en-US"/>
        </w:rPr>
      </w:pPr>
    </w:p>
    <w:p w14:paraId="66EB10AB">
      <w:pPr>
        <w:widowControl w:val="0"/>
        <w:tabs>
          <w:tab w:val="left" w:pos="709"/>
        </w:tabs>
        <w:autoSpaceDE w:val="0"/>
        <w:autoSpaceDN w:val="0"/>
        <w:spacing w:before="100" w:beforeAutospacing="1" w:after="100" w:afterAutospacing="1" w:line="240" w:lineRule="auto"/>
        <w:ind w:left="709"/>
        <w:contextualSpacing/>
        <w:jc w:val="both"/>
        <w:rPr>
          <w:rFonts w:eastAsia="Calibri" w:cs="Calibri"/>
          <w:b/>
          <w:lang w:bidi="en-US"/>
        </w:rPr>
      </w:pPr>
      <w:r>
        <w:rPr>
          <w:rFonts w:eastAsia="Calibri" w:cs="Calibri"/>
          <w:b/>
          <w:lang w:bidi="en-US"/>
        </w:rPr>
        <w:t>Mitigation measures</w:t>
      </w:r>
    </w:p>
    <w:p w14:paraId="62EB4FA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Construction sites shall be provided with barricades to protect neighbors and those passing-by. </w:t>
      </w:r>
    </w:p>
    <w:p w14:paraId="785BAA3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Therefore, the public particularly the children shall not be allowed to come closer to the swing area of excavators or other equipment at site.</w:t>
      </w:r>
    </w:p>
    <w:p w14:paraId="6F9DACB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In places where there are vehicles transporting construction materials and at turning places towards the construction site, appropriate warning signage shall be posted. </w:t>
      </w:r>
    </w:p>
    <w:p w14:paraId="0EF7ACE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Sensitization and training of the surrounding communities regarding the risks associated with construction activities. </w:t>
      </w:r>
    </w:p>
    <w:p w14:paraId="63593C6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Constant surveillance from security to make sure that there are no “uninvited guests” in the project area</w:t>
      </w:r>
    </w:p>
    <w:p w14:paraId="2ECC1747">
      <w:pPr>
        <w:widowControl w:val="0"/>
        <w:tabs>
          <w:tab w:val="left" w:pos="709"/>
        </w:tabs>
        <w:autoSpaceDE w:val="0"/>
        <w:autoSpaceDN w:val="0"/>
        <w:spacing w:before="100" w:beforeAutospacing="1" w:after="100" w:afterAutospacing="1" w:line="240" w:lineRule="auto"/>
        <w:contextualSpacing/>
        <w:jc w:val="both"/>
        <w:rPr>
          <w:rFonts w:eastAsia="Calibri" w:cs="Calibri"/>
          <w:lang w:bidi="en-US"/>
        </w:rPr>
      </w:pPr>
    </w:p>
    <w:p w14:paraId="716EE719">
      <w:pPr>
        <w:keepNext/>
        <w:keepLines/>
        <w:tabs>
          <w:tab w:val="left" w:pos="709"/>
        </w:tabs>
        <w:spacing w:before="100" w:beforeAutospacing="1" w:after="100" w:afterAutospacing="1" w:line="240" w:lineRule="auto"/>
        <w:jc w:val="both"/>
        <w:outlineLvl w:val="1"/>
        <w:rPr>
          <w:rFonts w:eastAsia="Times New Roman Bold" w:cstheme="minorHAnsi"/>
          <w:b/>
          <w:bCs/>
          <w:iCs/>
          <w:lang w:eastAsia="ja-JP"/>
        </w:rPr>
      </w:pPr>
      <w:bookmarkStart w:id="470" w:name="_Toc168582318"/>
      <w:bookmarkStart w:id="471" w:name="_Toc165641103"/>
      <w:bookmarkStart w:id="472" w:name="_Toc165906830"/>
      <w:bookmarkStart w:id="473" w:name="_Toc165555080"/>
      <w:bookmarkStart w:id="474" w:name="_Toc165612421"/>
      <w:bookmarkStart w:id="475" w:name="_Toc165648426"/>
      <w:bookmarkStart w:id="476" w:name="_Toc165890392"/>
      <w:bookmarkStart w:id="477" w:name="_Toc171919798"/>
      <w:bookmarkStart w:id="478" w:name="_Toc173301470"/>
      <w:bookmarkStart w:id="479" w:name="_Toc179904097"/>
      <w:r>
        <w:rPr>
          <w:rFonts w:eastAsia="Times New Roman Bold" w:cstheme="minorHAnsi"/>
          <w:b/>
          <w:bCs/>
          <w:iCs/>
          <w:lang w:eastAsia="ja-JP"/>
        </w:rPr>
        <w:t>8.</w:t>
      </w:r>
      <w:bookmarkEnd w:id="470"/>
      <w:bookmarkEnd w:id="471"/>
      <w:bookmarkEnd w:id="472"/>
      <w:bookmarkEnd w:id="473"/>
      <w:bookmarkEnd w:id="474"/>
      <w:bookmarkEnd w:id="475"/>
      <w:bookmarkEnd w:id="476"/>
      <w:bookmarkStart w:id="480" w:name="_Toc165641105"/>
      <w:bookmarkStart w:id="481" w:name="_Toc165612423"/>
      <w:bookmarkStart w:id="482" w:name="_Toc165555082"/>
      <w:bookmarkStart w:id="483" w:name="_Toc165906832"/>
      <w:bookmarkStart w:id="484" w:name="_Toc168582320"/>
      <w:bookmarkStart w:id="485" w:name="_Toc165648428"/>
      <w:bookmarkStart w:id="486" w:name="_Toc165890394"/>
      <w:r>
        <w:rPr>
          <w:rFonts w:eastAsia="Times New Roman Bold" w:cstheme="minorHAnsi"/>
          <w:b/>
          <w:bCs/>
          <w:iCs/>
          <w:lang w:eastAsia="ja-JP"/>
        </w:rPr>
        <w:t>8</w:t>
      </w:r>
      <w:r>
        <w:rPr>
          <w:rFonts w:eastAsia="Times New Roman Bold" w:cstheme="minorHAnsi"/>
          <w:b/>
          <w:bCs/>
          <w:iCs/>
          <w:lang w:eastAsia="ja-JP"/>
        </w:rPr>
        <w:tab/>
      </w:r>
      <w:r>
        <w:rPr>
          <w:rFonts w:eastAsia="Times New Roman Bold" w:cstheme="minorHAnsi"/>
          <w:b/>
          <w:bCs/>
          <w:iCs/>
          <w:lang w:eastAsia="ja-JP"/>
        </w:rPr>
        <w:t>Anticipated Negative Impacts during Operation stage</w:t>
      </w:r>
      <w:bookmarkEnd w:id="477"/>
      <w:bookmarkEnd w:id="478"/>
      <w:bookmarkEnd w:id="479"/>
      <w:bookmarkEnd w:id="480"/>
      <w:bookmarkEnd w:id="481"/>
      <w:bookmarkEnd w:id="482"/>
      <w:bookmarkEnd w:id="483"/>
      <w:bookmarkEnd w:id="484"/>
      <w:bookmarkEnd w:id="485"/>
      <w:bookmarkEnd w:id="486"/>
      <w:r>
        <w:rPr>
          <w:rFonts w:eastAsia="Times New Roman Bold" w:cstheme="minorHAnsi"/>
          <w:b/>
          <w:bCs/>
          <w:iCs/>
          <w:lang w:eastAsia="ja-JP"/>
        </w:rPr>
        <w:t xml:space="preserve"> </w:t>
      </w:r>
    </w:p>
    <w:p w14:paraId="46A4A650">
      <w:pPr>
        <w:keepNext/>
        <w:keepLines/>
        <w:widowControl w:val="0"/>
        <w:tabs>
          <w:tab w:val="left" w:pos="709"/>
        </w:tabs>
        <w:autoSpaceDE w:val="0"/>
        <w:autoSpaceDN w:val="0"/>
        <w:spacing w:before="100" w:beforeAutospacing="1" w:after="100" w:afterAutospacing="1" w:line="240" w:lineRule="auto"/>
        <w:ind w:left="709"/>
        <w:jc w:val="both"/>
        <w:rPr>
          <w:rFonts w:eastAsia="Calibri" w:cs="Calibri"/>
          <w:b/>
          <w:lang w:bidi="en-US"/>
        </w:rPr>
      </w:pPr>
      <w:r>
        <w:rPr>
          <w:rFonts w:eastAsia="Calibri" w:cs="Calibri"/>
          <w:b/>
          <w:lang w:bidi="en-US"/>
        </w:rPr>
        <w:t>Gender-Based Violence and Sexual Exploitation and Abuse (SEA) and Sexual Harassment (SH)</w:t>
      </w:r>
      <w:r>
        <w:rPr>
          <w:rFonts w:eastAsia="Calibri" w:cs="Calibri"/>
          <w:b/>
          <w:i/>
          <w:lang w:bidi="en-US"/>
        </w:rPr>
        <w:t xml:space="preserve"> (Medium high)</w:t>
      </w:r>
    </w:p>
    <w:p w14:paraId="358D2B32">
      <w:pPr>
        <w:keepNext/>
        <w:keepLines/>
        <w:widowControl w:val="0"/>
        <w:tabs>
          <w:tab w:val="left" w:pos="709"/>
        </w:tabs>
        <w:autoSpaceDE w:val="0"/>
        <w:autoSpaceDN w:val="0"/>
        <w:spacing w:before="100" w:beforeAutospacing="1" w:after="100" w:afterAutospacing="1" w:line="240" w:lineRule="auto"/>
        <w:ind w:left="709"/>
        <w:jc w:val="both"/>
        <w:rPr>
          <w:rFonts w:eastAsia="Calibri" w:cs="Calibri"/>
          <w:lang w:bidi="en-US"/>
        </w:rPr>
      </w:pPr>
      <w:r>
        <w:rPr>
          <w:rFonts w:eastAsia="Calibri" w:cs="Calibri"/>
          <w:lang w:bidi="en-US"/>
        </w:rPr>
        <w:t>This is likely to be caused by influx of people in the project area. Incidents of GBV, SEA, and SH create an environment of fear and insecurity within the community, particularly for women and girls. They may feel unsafe in public spaces, at home, or even within their own families, leading to restrictions on their mobility and freedom.</w:t>
      </w:r>
    </w:p>
    <w:tbl>
      <w:tblPr>
        <w:tblStyle w:val="258"/>
        <w:tblW w:w="8709" w:type="dxa"/>
        <w:tblInd w:w="704" w:type="dxa"/>
        <w:tblLayout w:type="autofit"/>
        <w:tblCellMar>
          <w:top w:w="8" w:type="dxa"/>
          <w:left w:w="108" w:type="dxa"/>
          <w:bottom w:w="0" w:type="dxa"/>
          <w:right w:w="105" w:type="dxa"/>
        </w:tblCellMar>
      </w:tblPr>
      <w:tblGrid>
        <w:gridCol w:w="4253"/>
        <w:gridCol w:w="3678"/>
        <w:gridCol w:w="778"/>
      </w:tblGrid>
      <w:tr w14:paraId="078F0B49">
        <w:tblPrEx>
          <w:tblCellMar>
            <w:top w:w="8" w:type="dxa"/>
            <w:left w:w="108" w:type="dxa"/>
            <w:bottom w:w="0" w:type="dxa"/>
            <w:right w:w="105" w:type="dxa"/>
          </w:tblCellMar>
        </w:tblPrEx>
        <w:trPr>
          <w:trHeight w:val="240" w:hRule="atLeast"/>
        </w:trPr>
        <w:tc>
          <w:tcPr>
            <w:tcW w:w="4253" w:type="dxa"/>
            <w:tcBorders>
              <w:top w:val="single" w:color="000000" w:sz="4" w:space="0"/>
              <w:left w:val="single" w:color="000000" w:sz="4" w:space="0"/>
              <w:bottom w:val="single" w:color="000000" w:sz="4" w:space="0"/>
              <w:right w:val="nil"/>
            </w:tcBorders>
          </w:tcPr>
          <w:p w14:paraId="03BEF8BB">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78" w:type="dxa"/>
            <w:tcBorders>
              <w:top w:val="single" w:color="000000" w:sz="4" w:space="0"/>
              <w:left w:val="nil"/>
              <w:bottom w:val="single" w:color="000000" w:sz="4" w:space="0"/>
              <w:right w:val="single" w:color="000000" w:sz="4" w:space="0"/>
            </w:tcBorders>
          </w:tcPr>
          <w:p w14:paraId="5058D00F">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778" w:type="dxa"/>
            <w:tcBorders>
              <w:top w:val="single" w:color="000000" w:sz="4" w:space="0"/>
              <w:left w:val="single" w:color="000000" w:sz="4" w:space="0"/>
              <w:bottom w:val="single" w:color="000000" w:sz="4" w:space="0"/>
              <w:right w:val="single" w:color="000000" w:sz="4" w:space="0"/>
            </w:tcBorders>
          </w:tcPr>
          <w:p w14:paraId="7A32BD24">
            <w:pPr>
              <w:keepNext/>
              <w:keepLines/>
              <w:widowControl w:val="0"/>
              <w:tabs>
                <w:tab w:val="left" w:pos="709"/>
              </w:tabs>
              <w:autoSpaceDE w:val="0"/>
              <w:autoSpaceDN w:val="0"/>
              <w:spacing w:before="100" w:beforeAutospacing="1" w:after="100" w:afterAutospacing="1" w:line="240" w:lineRule="auto"/>
              <w:ind w:right="3"/>
              <w:jc w:val="both"/>
              <w:rPr>
                <w:rFonts w:eastAsia="Calibri" w:cs="Calibri"/>
                <w:lang w:bidi="en-US"/>
              </w:rPr>
            </w:pPr>
            <w:r>
              <w:rPr>
                <w:rFonts w:eastAsia="Arial" w:cs="Arial"/>
                <w:b/>
                <w:lang w:bidi="en-US"/>
              </w:rPr>
              <w:t xml:space="preserve">Rating </w:t>
            </w:r>
          </w:p>
        </w:tc>
      </w:tr>
      <w:tr w14:paraId="020898ED">
        <w:tblPrEx>
          <w:tblCellMar>
            <w:top w:w="8" w:type="dxa"/>
            <w:left w:w="108" w:type="dxa"/>
            <w:bottom w:w="0" w:type="dxa"/>
            <w:right w:w="10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15B0B714">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78" w:type="dxa"/>
            <w:tcBorders>
              <w:top w:val="single" w:color="000000" w:sz="4" w:space="0"/>
              <w:left w:val="single" w:color="000000" w:sz="4" w:space="0"/>
              <w:bottom w:val="single" w:color="000000" w:sz="4" w:space="0"/>
              <w:right w:val="single" w:color="000000" w:sz="4" w:space="0"/>
            </w:tcBorders>
          </w:tcPr>
          <w:p w14:paraId="376C3FA6">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78" w:type="dxa"/>
            <w:tcBorders>
              <w:top w:val="single" w:color="000000" w:sz="4" w:space="0"/>
              <w:left w:val="single" w:color="000000" w:sz="4" w:space="0"/>
              <w:bottom w:val="single" w:color="000000" w:sz="4" w:space="0"/>
              <w:right w:val="single" w:color="000000" w:sz="4" w:space="0"/>
            </w:tcBorders>
          </w:tcPr>
          <w:p w14:paraId="4ED2A4C9">
            <w:pPr>
              <w:keepNext/>
              <w:keepLines/>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 xml:space="preserve">1 </w:t>
            </w:r>
          </w:p>
        </w:tc>
      </w:tr>
      <w:tr w14:paraId="1215BD04">
        <w:tblPrEx>
          <w:tblCellMar>
            <w:top w:w="8" w:type="dxa"/>
            <w:left w:w="108" w:type="dxa"/>
            <w:bottom w:w="0" w:type="dxa"/>
            <w:right w:w="105" w:type="dxa"/>
          </w:tblCellMar>
        </w:tblPrEx>
        <w:trPr>
          <w:trHeight w:val="240" w:hRule="atLeast"/>
        </w:trPr>
        <w:tc>
          <w:tcPr>
            <w:tcW w:w="4253" w:type="dxa"/>
            <w:vMerge w:val="continue"/>
            <w:tcBorders>
              <w:top w:val="nil"/>
              <w:left w:val="single" w:color="000000" w:sz="4" w:space="0"/>
              <w:bottom w:val="nil"/>
              <w:right w:val="single" w:color="000000" w:sz="4" w:space="0"/>
            </w:tcBorders>
          </w:tcPr>
          <w:p w14:paraId="1EDF70C6">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7CF62A01">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78" w:type="dxa"/>
            <w:tcBorders>
              <w:top w:val="single" w:color="000000" w:sz="4" w:space="0"/>
              <w:left w:val="single" w:color="000000" w:sz="4" w:space="0"/>
              <w:bottom w:val="single" w:color="000000" w:sz="4" w:space="0"/>
              <w:right w:val="single" w:color="000000" w:sz="4" w:space="0"/>
            </w:tcBorders>
          </w:tcPr>
          <w:p w14:paraId="0AB6638D">
            <w:pPr>
              <w:keepNext/>
              <w:keepLines/>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 xml:space="preserve">1 </w:t>
            </w:r>
          </w:p>
        </w:tc>
      </w:tr>
      <w:tr w14:paraId="2DCFBC83">
        <w:tblPrEx>
          <w:tblCellMar>
            <w:top w:w="8" w:type="dxa"/>
            <w:left w:w="108" w:type="dxa"/>
            <w:bottom w:w="0" w:type="dxa"/>
            <w:right w:w="105" w:type="dxa"/>
          </w:tblCellMar>
        </w:tblPrEx>
        <w:trPr>
          <w:trHeight w:val="240" w:hRule="atLeast"/>
        </w:trPr>
        <w:tc>
          <w:tcPr>
            <w:tcW w:w="4253" w:type="dxa"/>
            <w:vMerge w:val="continue"/>
            <w:tcBorders>
              <w:top w:val="nil"/>
              <w:left w:val="single" w:color="000000" w:sz="4" w:space="0"/>
              <w:bottom w:val="single" w:color="000000" w:sz="4" w:space="0"/>
              <w:right w:val="single" w:color="000000" w:sz="4" w:space="0"/>
            </w:tcBorders>
          </w:tcPr>
          <w:p w14:paraId="6700FD0C">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2BF890D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78" w:type="dxa"/>
            <w:tcBorders>
              <w:top w:val="single" w:color="000000" w:sz="4" w:space="0"/>
              <w:left w:val="single" w:color="000000" w:sz="4" w:space="0"/>
              <w:bottom w:val="single" w:color="000000" w:sz="4" w:space="0"/>
              <w:right w:val="single" w:color="000000" w:sz="4" w:space="0"/>
            </w:tcBorders>
          </w:tcPr>
          <w:p w14:paraId="79D9A65A">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4</w:t>
            </w:r>
          </w:p>
        </w:tc>
      </w:tr>
      <w:tr w14:paraId="0C0647D5">
        <w:tblPrEx>
          <w:tblCellMar>
            <w:top w:w="8" w:type="dxa"/>
            <w:left w:w="108" w:type="dxa"/>
            <w:bottom w:w="0" w:type="dxa"/>
            <w:right w:w="10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157FC42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78" w:type="dxa"/>
            <w:tcBorders>
              <w:top w:val="single" w:color="000000" w:sz="4" w:space="0"/>
              <w:left w:val="single" w:color="000000" w:sz="4" w:space="0"/>
              <w:bottom w:val="single" w:color="000000" w:sz="4" w:space="0"/>
              <w:right w:val="single" w:color="000000" w:sz="4" w:space="0"/>
            </w:tcBorders>
          </w:tcPr>
          <w:p w14:paraId="61941E5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78" w:type="dxa"/>
            <w:tcBorders>
              <w:top w:val="single" w:color="000000" w:sz="4" w:space="0"/>
              <w:left w:val="single" w:color="000000" w:sz="4" w:space="0"/>
              <w:bottom w:val="single" w:color="000000" w:sz="4" w:space="0"/>
              <w:right w:val="single" w:color="000000" w:sz="4" w:space="0"/>
            </w:tcBorders>
          </w:tcPr>
          <w:p w14:paraId="0A5C250E">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 xml:space="preserve">2 </w:t>
            </w:r>
          </w:p>
        </w:tc>
      </w:tr>
      <w:tr w14:paraId="7A44C2CF">
        <w:tblPrEx>
          <w:tblCellMar>
            <w:top w:w="8" w:type="dxa"/>
            <w:left w:w="108" w:type="dxa"/>
            <w:bottom w:w="0" w:type="dxa"/>
            <w:right w:w="105" w:type="dxa"/>
          </w:tblCellMar>
        </w:tblPrEx>
        <w:trPr>
          <w:trHeight w:val="241" w:hRule="atLeast"/>
        </w:trPr>
        <w:tc>
          <w:tcPr>
            <w:tcW w:w="4253" w:type="dxa"/>
            <w:vMerge w:val="continue"/>
            <w:tcBorders>
              <w:top w:val="nil"/>
              <w:left w:val="single" w:color="000000" w:sz="4" w:space="0"/>
              <w:bottom w:val="single" w:color="000000" w:sz="4" w:space="0"/>
              <w:right w:val="single" w:color="000000" w:sz="4" w:space="0"/>
            </w:tcBorders>
          </w:tcPr>
          <w:p w14:paraId="67FE5D44">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244CDDF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78" w:type="dxa"/>
            <w:tcBorders>
              <w:top w:val="single" w:color="000000" w:sz="4" w:space="0"/>
              <w:left w:val="single" w:color="000000" w:sz="4" w:space="0"/>
              <w:bottom w:val="single" w:color="000000" w:sz="4" w:space="0"/>
              <w:right w:val="single" w:color="000000" w:sz="4" w:space="0"/>
            </w:tcBorders>
          </w:tcPr>
          <w:p w14:paraId="33EBDB31">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10F6602F">
        <w:tblPrEx>
          <w:tblCellMar>
            <w:top w:w="8" w:type="dxa"/>
            <w:left w:w="108" w:type="dxa"/>
            <w:bottom w:w="0" w:type="dxa"/>
            <w:right w:w="105" w:type="dxa"/>
          </w:tblCellMar>
        </w:tblPrEx>
        <w:trPr>
          <w:trHeight w:val="468" w:hRule="atLeast"/>
        </w:trPr>
        <w:tc>
          <w:tcPr>
            <w:tcW w:w="4253" w:type="dxa"/>
            <w:tcBorders>
              <w:top w:val="single" w:color="000000" w:sz="4" w:space="0"/>
              <w:left w:val="single" w:color="000000" w:sz="4" w:space="0"/>
              <w:bottom w:val="single" w:color="000000" w:sz="4" w:space="0"/>
              <w:right w:val="single" w:color="000000" w:sz="4" w:space="0"/>
            </w:tcBorders>
          </w:tcPr>
          <w:p w14:paraId="3AF2818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Impact Significance Rating (Consequence × likelihood)</w:t>
            </w:r>
            <w:r>
              <w:rPr>
                <w:rFonts w:eastAsia="Arial" w:cs="Arial"/>
                <w:lang w:bidi="en-US"/>
              </w:rPr>
              <w:t xml:space="preserve"> </w:t>
            </w:r>
          </w:p>
        </w:tc>
        <w:tc>
          <w:tcPr>
            <w:tcW w:w="3678" w:type="dxa"/>
            <w:tcBorders>
              <w:top w:val="single" w:color="000000" w:sz="4" w:space="0"/>
              <w:left w:val="single" w:color="000000" w:sz="4" w:space="0"/>
              <w:bottom w:val="single" w:color="000000" w:sz="4" w:space="0"/>
              <w:right w:val="single" w:color="000000" w:sz="4" w:space="0"/>
            </w:tcBorders>
          </w:tcPr>
          <w:p w14:paraId="045EE08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Medium High </w:t>
            </w:r>
          </w:p>
        </w:tc>
        <w:tc>
          <w:tcPr>
            <w:tcW w:w="778" w:type="dxa"/>
            <w:tcBorders>
              <w:top w:val="single" w:color="000000" w:sz="4" w:space="0"/>
              <w:left w:val="single" w:color="000000" w:sz="4" w:space="0"/>
              <w:bottom w:val="single" w:color="000000" w:sz="4" w:space="0"/>
              <w:right w:val="single" w:color="000000" w:sz="4" w:space="0"/>
            </w:tcBorders>
            <w:shd w:val="clear" w:color="auto" w:fill="FFE599" w:themeFill="accent4" w:themeFillTint="66"/>
          </w:tcPr>
          <w:p w14:paraId="46D9148E">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24</w:t>
            </w:r>
          </w:p>
        </w:tc>
      </w:tr>
    </w:tbl>
    <w:p w14:paraId="56D4A152">
      <w:pPr>
        <w:widowControl w:val="0"/>
        <w:tabs>
          <w:tab w:val="left" w:pos="709"/>
        </w:tabs>
        <w:autoSpaceDE w:val="0"/>
        <w:autoSpaceDN w:val="0"/>
        <w:spacing w:before="100" w:beforeAutospacing="1" w:after="100" w:afterAutospacing="1" w:line="240" w:lineRule="auto"/>
        <w:ind w:left="709"/>
        <w:jc w:val="both"/>
        <w:rPr>
          <w:rFonts w:eastAsia="Calibri" w:cs="Calibri"/>
          <w:i/>
          <w:lang w:bidi="en-US"/>
        </w:rPr>
      </w:pPr>
      <w:r>
        <w:rPr>
          <w:rFonts w:eastAsia="Calibri" w:cs="Calibri"/>
          <w:i/>
          <w:lang w:bidi="en-US"/>
        </w:rPr>
        <w:t>Mitigation measures</w:t>
      </w:r>
    </w:p>
    <w:p w14:paraId="363DB41C">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Develop and implement a plan to manage the risk of SEA/SH. </w:t>
      </w:r>
    </w:p>
    <w:p w14:paraId="7833708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Map the GBV referral pathways and create awareness among women and men on the risk of SEA/SH.</w:t>
      </w:r>
    </w:p>
    <w:p w14:paraId="687113DB">
      <w:pPr>
        <w:widowControl w:val="0"/>
        <w:tabs>
          <w:tab w:val="left" w:pos="709"/>
        </w:tabs>
        <w:autoSpaceDE w:val="0"/>
        <w:autoSpaceDN w:val="0"/>
        <w:spacing w:before="100" w:beforeAutospacing="1" w:after="100" w:afterAutospacing="1" w:line="240" w:lineRule="auto"/>
        <w:ind w:left="709"/>
        <w:jc w:val="both"/>
        <w:rPr>
          <w:rFonts w:eastAsia="Calibri" w:cs="Times New Roman"/>
          <w:b/>
          <w:bCs/>
          <w:lang w:bidi="en-US"/>
        </w:rPr>
      </w:pPr>
      <w:r>
        <w:rPr>
          <w:rFonts w:eastAsia="Calibri" w:cs="Times New Roman"/>
          <w:b/>
          <w:bCs/>
          <w:lang w:bidi="en-US"/>
        </w:rPr>
        <w:t>Inadequate stakeholder Engagement and Exclusion of disadvantaged and vulnerable groups</w:t>
      </w:r>
    </w:p>
    <w:p w14:paraId="55139B8A">
      <w:pPr>
        <w:widowControl w:val="0"/>
        <w:tabs>
          <w:tab w:val="left" w:pos="709"/>
        </w:tabs>
        <w:autoSpaceDE w:val="0"/>
        <w:autoSpaceDN w:val="0"/>
        <w:spacing w:before="100" w:beforeAutospacing="1" w:after="100" w:afterAutospacing="1" w:line="240" w:lineRule="auto"/>
        <w:ind w:left="709"/>
        <w:jc w:val="both"/>
        <w:rPr>
          <w:rFonts w:eastAsia="Calibri" w:cs="Times New Roman"/>
          <w:b/>
          <w:bCs/>
          <w:lang w:bidi="en-US"/>
        </w:rPr>
      </w:pPr>
      <w:r>
        <w:rPr>
          <w:rFonts w:eastAsia="Calibri" w:cs="Times New Roman"/>
          <w:b/>
          <w:bCs/>
          <w:i/>
          <w:lang w:bidi="en-US"/>
        </w:rPr>
        <w:t>(Medium high)</w:t>
      </w:r>
    </w:p>
    <w:p w14:paraId="5AF0439F">
      <w:pPr>
        <w:widowControl w:val="0"/>
        <w:tabs>
          <w:tab w:val="left" w:pos="709"/>
        </w:tabs>
        <w:autoSpaceDE w:val="0"/>
        <w:autoSpaceDN w:val="0"/>
        <w:spacing w:before="100" w:beforeAutospacing="1" w:after="100" w:afterAutospacing="1" w:line="240" w:lineRule="auto"/>
        <w:ind w:left="709"/>
        <w:jc w:val="both"/>
        <w:rPr>
          <w:rFonts w:eastAsia="Calibri" w:cs="Times New Roman"/>
          <w:bCs/>
          <w:lang w:bidi="en-US"/>
        </w:rPr>
      </w:pPr>
      <w:r>
        <w:rPr>
          <w:rFonts w:eastAsia="Calibri" w:cs="Times New Roman"/>
          <w:bCs/>
          <w:lang w:bidi="en-US"/>
        </w:rPr>
        <w:t>Excluding disadvantaged and vulnerable groups from stakeholder engagement processes can bring social injustice,</w:t>
      </w:r>
      <w:r>
        <w:rPr>
          <w:rFonts w:eastAsia="Calibri" w:cs="Calibri"/>
          <w:lang w:bidi="en-US"/>
        </w:rPr>
        <w:t xml:space="preserve"> </w:t>
      </w:r>
      <w:r>
        <w:rPr>
          <w:rFonts w:eastAsia="Calibri" w:cs="Times New Roman"/>
          <w:bCs/>
          <w:lang w:bidi="en-US"/>
        </w:rPr>
        <w:t xml:space="preserve">Loss of Trust and Credibility and increase the likelihood of misunderstandings, conflicts, and resistance to the project. </w:t>
      </w:r>
    </w:p>
    <w:tbl>
      <w:tblPr>
        <w:tblStyle w:val="258"/>
        <w:tblW w:w="8709" w:type="dxa"/>
        <w:tblInd w:w="704" w:type="dxa"/>
        <w:tblLayout w:type="autofit"/>
        <w:tblCellMar>
          <w:top w:w="8" w:type="dxa"/>
          <w:left w:w="108" w:type="dxa"/>
          <w:bottom w:w="0" w:type="dxa"/>
          <w:right w:w="115" w:type="dxa"/>
        </w:tblCellMar>
      </w:tblPr>
      <w:tblGrid>
        <w:gridCol w:w="4111"/>
        <w:gridCol w:w="3807"/>
        <w:gridCol w:w="791"/>
      </w:tblGrid>
      <w:tr w14:paraId="63DD1740">
        <w:tblPrEx>
          <w:tblCellMar>
            <w:top w:w="8" w:type="dxa"/>
            <w:left w:w="108" w:type="dxa"/>
            <w:bottom w:w="0" w:type="dxa"/>
            <w:right w:w="115" w:type="dxa"/>
          </w:tblCellMar>
        </w:tblPrEx>
        <w:trPr>
          <w:trHeight w:val="240" w:hRule="atLeast"/>
        </w:trPr>
        <w:tc>
          <w:tcPr>
            <w:tcW w:w="4111" w:type="dxa"/>
            <w:tcBorders>
              <w:top w:val="single" w:color="000000" w:sz="4" w:space="0"/>
              <w:left w:val="single" w:color="000000" w:sz="4" w:space="0"/>
              <w:bottom w:val="single" w:color="000000" w:sz="4" w:space="0"/>
              <w:right w:val="nil"/>
            </w:tcBorders>
          </w:tcPr>
          <w:p w14:paraId="4E5F006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807" w:type="dxa"/>
            <w:tcBorders>
              <w:top w:val="single" w:color="000000" w:sz="4" w:space="0"/>
              <w:left w:val="nil"/>
              <w:bottom w:val="single" w:color="000000" w:sz="4" w:space="0"/>
              <w:right w:val="single" w:color="000000" w:sz="4" w:space="0"/>
            </w:tcBorders>
          </w:tcPr>
          <w:p w14:paraId="2D9F60DC">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791" w:type="dxa"/>
            <w:tcBorders>
              <w:top w:val="single" w:color="000000" w:sz="4" w:space="0"/>
              <w:left w:val="single" w:color="000000" w:sz="4" w:space="0"/>
              <w:bottom w:val="single" w:color="000000" w:sz="4" w:space="0"/>
              <w:right w:val="single" w:color="000000" w:sz="4" w:space="0"/>
            </w:tcBorders>
          </w:tcPr>
          <w:p w14:paraId="5653B1E9">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b/>
                <w:lang w:bidi="en-US"/>
              </w:rPr>
              <w:t xml:space="preserve">Rating </w:t>
            </w:r>
          </w:p>
        </w:tc>
      </w:tr>
      <w:tr w14:paraId="25B94059">
        <w:tblPrEx>
          <w:tblCellMar>
            <w:top w:w="8" w:type="dxa"/>
            <w:left w:w="108" w:type="dxa"/>
            <w:bottom w:w="0" w:type="dxa"/>
            <w:right w:w="115" w:type="dxa"/>
          </w:tblCellMar>
        </w:tblPrEx>
        <w:trPr>
          <w:trHeight w:val="240" w:hRule="atLeast"/>
        </w:trPr>
        <w:tc>
          <w:tcPr>
            <w:tcW w:w="4111" w:type="dxa"/>
            <w:vMerge w:val="restart"/>
            <w:tcBorders>
              <w:top w:val="single" w:color="000000" w:sz="4" w:space="0"/>
              <w:left w:val="single" w:color="000000" w:sz="4" w:space="0"/>
              <w:bottom w:val="single" w:color="000000" w:sz="4" w:space="0"/>
              <w:right w:val="single" w:color="000000" w:sz="4" w:space="0"/>
            </w:tcBorders>
          </w:tcPr>
          <w:p w14:paraId="33D1E9C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807" w:type="dxa"/>
            <w:tcBorders>
              <w:top w:val="single" w:color="000000" w:sz="4" w:space="0"/>
              <w:left w:val="single" w:color="000000" w:sz="4" w:space="0"/>
              <w:bottom w:val="single" w:color="000000" w:sz="4" w:space="0"/>
              <w:right w:val="single" w:color="000000" w:sz="4" w:space="0"/>
            </w:tcBorders>
          </w:tcPr>
          <w:p w14:paraId="1701ACD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91" w:type="dxa"/>
            <w:tcBorders>
              <w:top w:val="single" w:color="000000" w:sz="4" w:space="0"/>
              <w:left w:val="single" w:color="000000" w:sz="4" w:space="0"/>
              <w:bottom w:val="single" w:color="000000" w:sz="4" w:space="0"/>
              <w:right w:val="single" w:color="000000" w:sz="4" w:space="0"/>
            </w:tcBorders>
          </w:tcPr>
          <w:p w14:paraId="364F92A3">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3</w:t>
            </w:r>
          </w:p>
        </w:tc>
      </w:tr>
      <w:tr w14:paraId="2EE081EB">
        <w:tblPrEx>
          <w:tblCellMar>
            <w:top w:w="8" w:type="dxa"/>
            <w:left w:w="108" w:type="dxa"/>
            <w:bottom w:w="0" w:type="dxa"/>
            <w:right w:w="115" w:type="dxa"/>
          </w:tblCellMar>
        </w:tblPrEx>
        <w:trPr>
          <w:trHeight w:val="205" w:hRule="atLeast"/>
        </w:trPr>
        <w:tc>
          <w:tcPr>
            <w:tcW w:w="4111" w:type="dxa"/>
            <w:vMerge w:val="continue"/>
            <w:tcBorders>
              <w:top w:val="nil"/>
              <w:left w:val="single" w:color="000000" w:sz="4" w:space="0"/>
              <w:bottom w:val="nil"/>
              <w:right w:val="single" w:color="000000" w:sz="4" w:space="0"/>
            </w:tcBorders>
          </w:tcPr>
          <w:p w14:paraId="4EE65499">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807" w:type="dxa"/>
            <w:tcBorders>
              <w:top w:val="single" w:color="000000" w:sz="4" w:space="0"/>
              <w:left w:val="single" w:color="000000" w:sz="4" w:space="0"/>
              <w:bottom w:val="single" w:color="000000" w:sz="4" w:space="0"/>
              <w:right w:val="single" w:color="000000" w:sz="4" w:space="0"/>
            </w:tcBorders>
          </w:tcPr>
          <w:p w14:paraId="7548493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91" w:type="dxa"/>
            <w:tcBorders>
              <w:top w:val="single" w:color="000000" w:sz="4" w:space="0"/>
              <w:left w:val="single" w:color="000000" w:sz="4" w:space="0"/>
              <w:bottom w:val="single" w:color="000000" w:sz="4" w:space="0"/>
              <w:right w:val="single" w:color="000000" w:sz="4" w:space="0"/>
            </w:tcBorders>
          </w:tcPr>
          <w:p w14:paraId="712EE3A7">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 xml:space="preserve">2 </w:t>
            </w:r>
          </w:p>
        </w:tc>
      </w:tr>
      <w:tr w14:paraId="34D988E3">
        <w:tblPrEx>
          <w:tblCellMar>
            <w:top w:w="8" w:type="dxa"/>
            <w:left w:w="108" w:type="dxa"/>
            <w:bottom w:w="0" w:type="dxa"/>
            <w:right w:w="115" w:type="dxa"/>
          </w:tblCellMar>
        </w:tblPrEx>
        <w:trPr>
          <w:trHeight w:val="240" w:hRule="atLeast"/>
        </w:trPr>
        <w:tc>
          <w:tcPr>
            <w:tcW w:w="4111" w:type="dxa"/>
            <w:vMerge w:val="continue"/>
            <w:tcBorders>
              <w:top w:val="nil"/>
              <w:left w:val="single" w:color="000000" w:sz="4" w:space="0"/>
              <w:bottom w:val="single" w:color="000000" w:sz="4" w:space="0"/>
              <w:right w:val="single" w:color="000000" w:sz="4" w:space="0"/>
            </w:tcBorders>
          </w:tcPr>
          <w:p w14:paraId="75E4DEC6">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807" w:type="dxa"/>
            <w:tcBorders>
              <w:top w:val="single" w:color="000000" w:sz="4" w:space="0"/>
              <w:left w:val="single" w:color="000000" w:sz="4" w:space="0"/>
              <w:bottom w:val="single" w:color="000000" w:sz="4" w:space="0"/>
              <w:right w:val="single" w:color="000000" w:sz="4" w:space="0"/>
            </w:tcBorders>
          </w:tcPr>
          <w:p w14:paraId="684339E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91" w:type="dxa"/>
            <w:tcBorders>
              <w:top w:val="single" w:color="000000" w:sz="4" w:space="0"/>
              <w:left w:val="single" w:color="000000" w:sz="4" w:space="0"/>
              <w:bottom w:val="single" w:color="000000" w:sz="4" w:space="0"/>
              <w:right w:val="single" w:color="000000" w:sz="4" w:space="0"/>
            </w:tcBorders>
          </w:tcPr>
          <w:p w14:paraId="76123DCB">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 xml:space="preserve">1 </w:t>
            </w:r>
          </w:p>
        </w:tc>
      </w:tr>
      <w:tr w14:paraId="0C35DC29">
        <w:tblPrEx>
          <w:tblCellMar>
            <w:top w:w="8" w:type="dxa"/>
            <w:left w:w="108" w:type="dxa"/>
            <w:bottom w:w="0" w:type="dxa"/>
            <w:right w:w="115" w:type="dxa"/>
          </w:tblCellMar>
        </w:tblPrEx>
        <w:trPr>
          <w:trHeight w:val="240" w:hRule="atLeast"/>
        </w:trPr>
        <w:tc>
          <w:tcPr>
            <w:tcW w:w="4111" w:type="dxa"/>
            <w:vMerge w:val="restart"/>
            <w:tcBorders>
              <w:top w:val="single" w:color="000000" w:sz="4" w:space="0"/>
              <w:left w:val="single" w:color="000000" w:sz="4" w:space="0"/>
              <w:bottom w:val="single" w:color="000000" w:sz="4" w:space="0"/>
              <w:right w:val="single" w:color="000000" w:sz="4" w:space="0"/>
            </w:tcBorders>
          </w:tcPr>
          <w:p w14:paraId="186534E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807" w:type="dxa"/>
            <w:tcBorders>
              <w:top w:val="single" w:color="000000" w:sz="4" w:space="0"/>
              <w:left w:val="single" w:color="000000" w:sz="4" w:space="0"/>
              <w:bottom w:val="single" w:color="000000" w:sz="4" w:space="0"/>
              <w:right w:val="single" w:color="000000" w:sz="4" w:space="0"/>
            </w:tcBorders>
          </w:tcPr>
          <w:p w14:paraId="7DAC0E0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91" w:type="dxa"/>
            <w:tcBorders>
              <w:top w:val="single" w:color="000000" w:sz="4" w:space="0"/>
              <w:left w:val="single" w:color="000000" w:sz="4" w:space="0"/>
              <w:bottom w:val="single" w:color="000000" w:sz="4" w:space="0"/>
              <w:right w:val="single" w:color="000000" w:sz="4" w:space="0"/>
            </w:tcBorders>
          </w:tcPr>
          <w:p w14:paraId="4CA25F7B">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1</w:t>
            </w:r>
          </w:p>
        </w:tc>
      </w:tr>
      <w:tr w14:paraId="405D2503">
        <w:tblPrEx>
          <w:tblCellMar>
            <w:top w:w="8" w:type="dxa"/>
            <w:left w:w="108" w:type="dxa"/>
            <w:bottom w:w="0" w:type="dxa"/>
            <w:right w:w="115" w:type="dxa"/>
          </w:tblCellMar>
        </w:tblPrEx>
        <w:trPr>
          <w:trHeight w:val="241" w:hRule="atLeast"/>
        </w:trPr>
        <w:tc>
          <w:tcPr>
            <w:tcW w:w="4111" w:type="dxa"/>
            <w:vMerge w:val="continue"/>
            <w:tcBorders>
              <w:top w:val="nil"/>
              <w:left w:val="single" w:color="000000" w:sz="4" w:space="0"/>
              <w:bottom w:val="single" w:color="000000" w:sz="4" w:space="0"/>
              <w:right w:val="single" w:color="000000" w:sz="4" w:space="0"/>
            </w:tcBorders>
          </w:tcPr>
          <w:p w14:paraId="094BC8A5">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807" w:type="dxa"/>
            <w:tcBorders>
              <w:top w:val="single" w:color="000000" w:sz="4" w:space="0"/>
              <w:left w:val="single" w:color="000000" w:sz="4" w:space="0"/>
              <w:bottom w:val="single" w:color="000000" w:sz="4" w:space="0"/>
              <w:right w:val="single" w:color="000000" w:sz="4" w:space="0"/>
            </w:tcBorders>
          </w:tcPr>
          <w:p w14:paraId="3B5D1AD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91" w:type="dxa"/>
            <w:tcBorders>
              <w:top w:val="single" w:color="000000" w:sz="4" w:space="0"/>
              <w:left w:val="single" w:color="000000" w:sz="4" w:space="0"/>
              <w:bottom w:val="single" w:color="000000" w:sz="4" w:space="0"/>
              <w:right w:val="single" w:color="000000" w:sz="4" w:space="0"/>
            </w:tcBorders>
          </w:tcPr>
          <w:p w14:paraId="7DDA723A">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3</w:t>
            </w:r>
          </w:p>
        </w:tc>
      </w:tr>
      <w:tr w14:paraId="1F0A6B05">
        <w:tblPrEx>
          <w:tblCellMar>
            <w:top w:w="8" w:type="dxa"/>
            <w:left w:w="108" w:type="dxa"/>
            <w:bottom w:w="0" w:type="dxa"/>
            <w:right w:w="115" w:type="dxa"/>
          </w:tblCellMar>
        </w:tblPrEx>
        <w:trPr>
          <w:trHeight w:val="467" w:hRule="atLeast"/>
        </w:trPr>
        <w:tc>
          <w:tcPr>
            <w:tcW w:w="4111" w:type="dxa"/>
            <w:tcBorders>
              <w:top w:val="single" w:color="000000" w:sz="4" w:space="0"/>
              <w:left w:val="single" w:color="000000" w:sz="4" w:space="0"/>
              <w:bottom w:val="single" w:color="000000" w:sz="4" w:space="0"/>
              <w:right w:val="single" w:color="000000" w:sz="4" w:space="0"/>
            </w:tcBorders>
          </w:tcPr>
          <w:p w14:paraId="5061CD5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807" w:type="dxa"/>
            <w:tcBorders>
              <w:top w:val="single" w:color="000000" w:sz="4" w:space="0"/>
              <w:left w:val="single" w:color="000000" w:sz="4" w:space="0"/>
              <w:bottom w:val="single" w:color="000000" w:sz="4" w:space="0"/>
              <w:right w:val="single" w:color="000000" w:sz="4" w:space="0"/>
            </w:tcBorders>
          </w:tcPr>
          <w:p w14:paraId="53104A7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Medium high </w:t>
            </w:r>
          </w:p>
        </w:tc>
        <w:tc>
          <w:tcPr>
            <w:tcW w:w="791" w:type="dxa"/>
            <w:tcBorders>
              <w:top w:val="single" w:color="000000" w:sz="4" w:space="0"/>
              <w:left w:val="single" w:color="000000" w:sz="4" w:space="0"/>
              <w:bottom w:val="single" w:color="000000" w:sz="4" w:space="0"/>
              <w:right w:val="single" w:color="000000" w:sz="4" w:space="0"/>
            </w:tcBorders>
            <w:shd w:val="clear" w:color="auto" w:fill="FFE599" w:themeFill="accent4" w:themeFillTint="66"/>
          </w:tcPr>
          <w:p w14:paraId="33069838">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24</w:t>
            </w:r>
          </w:p>
        </w:tc>
      </w:tr>
    </w:tbl>
    <w:p w14:paraId="7C04D548">
      <w:pPr>
        <w:widowControl w:val="0"/>
        <w:tabs>
          <w:tab w:val="left" w:pos="709"/>
        </w:tabs>
        <w:autoSpaceDE w:val="0"/>
        <w:autoSpaceDN w:val="0"/>
        <w:spacing w:before="100" w:beforeAutospacing="1" w:after="100" w:afterAutospacing="1" w:line="240" w:lineRule="auto"/>
        <w:ind w:left="709"/>
        <w:jc w:val="both"/>
        <w:rPr>
          <w:rFonts w:eastAsia="Calibri" w:cs="Times New Roman"/>
          <w:bCs/>
          <w:lang w:bidi="en-US"/>
        </w:rPr>
      </w:pPr>
      <w:r>
        <w:rPr>
          <w:rFonts w:eastAsia="Calibri" w:cs="Times New Roman"/>
          <w:bCs/>
          <w:i/>
          <w:lang w:bidi="en-US"/>
        </w:rPr>
        <w:t>Mitigation measures</w:t>
      </w:r>
      <w:r>
        <w:rPr>
          <w:rFonts w:eastAsia="Calibri" w:cs="Times New Roman"/>
          <w:bCs/>
          <w:lang w:bidi="en-US"/>
        </w:rPr>
        <w:t xml:space="preserve">; </w:t>
      </w:r>
    </w:p>
    <w:p w14:paraId="6077222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Share project information widely and in a timely manner through diverse, feasible and accessible channels of communication e.g., public forums.</w:t>
      </w:r>
    </w:p>
    <w:p w14:paraId="5565AA0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Introduce measures for affirmative action that would ensure especially persons with disability, the elderly and women have access to job opportunities.</w:t>
      </w:r>
    </w:p>
    <w:p w14:paraId="3837A38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Undertake recruitment transparently, while ensuring the inclusion of disadvantaged groups.</w:t>
      </w:r>
    </w:p>
    <w:p w14:paraId="498A6B7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Develop and implementation of a stakeholder engagement plan.</w:t>
      </w:r>
    </w:p>
    <w:p w14:paraId="5E493E6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Engage stakeholders throughout the project phase as guided by the approved stakeholder engagement plan.</w:t>
      </w:r>
    </w:p>
    <w:p w14:paraId="3AEC83A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Culturally appropriate consultations and early involvement of VMGs in the project.</w:t>
      </w:r>
    </w:p>
    <w:p w14:paraId="1E84B13C">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of tailored communication channels to ensure VMGs can access project information.</w:t>
      </w:r>
    </w:p>
    <w:p w14:paraId="63900A69">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Training and empowerment programs to enhance VMG participation.</w:t>
      </w:r>
    </w:p>
    <w:p w14:paraId="27EC402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Ensure VMGs have equal access to project benefits and opportunities.</w:t>
      </w:r>
    </w:p>
    <w:p w14:paraId="2D65E22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Culturally sensitive systems for VMGs to safely report issues.</w:t>
      </w:r>
    </w:p>
    <w:p w14:paraId="38A0A3D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Adherence to policies that protect VMG rights.</w:t>
      </w:r>
    </w:p>
    <w:p w14:paraId="05B959A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Ongoing assessment involving VMGs to track the project’s impact on them.</w:t>
      </w:r>
    </w:p>
    <w:p w14:paraId="1841DCF9">
      <w:pPr>
        <w:widowControl w:val="0"/>
        <w:tabs>
          <w:tab w:val="left" w:pos="709"/>
        </w:tabs>
        <w:autoSpaceDE w:val="0"/>
        <w:autoSpaceDN w:val="0"/>
        <w:spacing w:before="100" w:beforeAutospacing="1" w:after="100" w:afterAutospacing="1" w:line="240" w:lineRule="auto"/>
        <w:ind w:left="709"/>
        <w:jc w:val="both"/>
        <w:rPr>
          <w:rFonts w:eastAsia="Calibri" w:cs="Calibri"/>
          <w:b/>
          <w:bCs/>
          <w:lang w:bidi="en-US"/>
        </w:rPr>
      </w:pPr>
    </w:p>
    <w:p w14:paraId="0EA4BAB9">
      <w:pPr>
        <w:widowControl w:val="0"/>
        <w:tabs>
          <w:tab w:val="left" w:pos="709"/>
        </w:tabs>
        <w:autoSpaceDE w:val="0"/>
        <w:autoSpaceDN w:val="0"/>
        <w:spacing w:before="100" w:beforeAutospacing="1" w:after="100" w:afterAutospacing="1" w:line="240" w:lineRule="auto"/>
        <w:ind w:left="709"/>
        <w:jc w:val="both"/>
        <w:rPr>
          <w:rFonts w:eastAsia="Calibri" w:cs="Calibri"/>
          <w:b/>
          <w:bCs/>
          <w:lang w:bidi="en-US"/>
        </w:rPr>
      </w:pPr>
      <w:r>
        <w:rPr>
          <w:rFonts w:eastAsia="Calibri" w:cs="Calibri"/>
          <w:b/>
          <w:bCs/>
          <w:lang w:bidi="en-US"/>
        </w:rPr>
        <w:t xml:space="preserve">Water Pollution/Contamination </w:t>
      </w:r>
      <w:r>
        <w:rPr>
          <w:rFonts w:eastAsia="Calibri" w:cs="Calibri"/>
          <w:b/>
          <w:bCs/>
          <w:i/>
          <w:lang w:bidi="en-US"/>
        </w:rPr>
        <w:t>(High)</w:t>
      </w:r>
    </w:p>
    <w:p w14:paraId="609C002E">
      <w:pPr>
        <w:widowControl w:val="0"/>
        <w:tabs>
          <w:tab w:val="left" w:pos="709"/>
        </w:tabs>
        <w:autoSpaceDE w:val="0"/>
        <w:autoSpaceDN w:val="0"/>
        <w:spacing w:before="100" w:beforeAutospacing="1" w:after="100" w:afterAutospacing="1" w:line="240" w:lineRule="auto"/>
        <w:ind w:left="709"/>
        <w:jc w:val="both"/>
        <w:rPr>
          <w:rFonts w:eastAsia="Calibri" w:cs="Times New Roman"/>
          <w:bCs/>
          <w:lang w:bidi="en-US"/>
        </w:rPr>
      </w:pPr>
      <w:r>
        <w:rPr>
          <w:rFonts w:eastAsia="Calibri" w:cs="Times New Roman"/>
          <w:bCs/>
          <w:lang w:bidi="en-US"/>
        </w:rPr>
        <w:t xml:space="preserve">If the proposed sludge treatment plant does not function as planned, there may be pollution of groundwater sources. </w:t>
      </w:r>
    </w:p>
    <w:p w14:paraId="5BBFCEA8">
      <w:pPr>
        <w:widowControl w:val="0"/>
        <w:tabs>
          <w:tab w:val="left" w:pos="709"/>
        </w:tabs>
        <w:autoSpaceDE w:val="0"/>
        <w:autoSpaceDN w:val="0"/>
        <w:spacing w:before="100" w:beforeAutospacing="1" w:after="100" w:afterAutospacing="1" w:line="240" w:lineRule="auto"/>
        <w:ind w:left="709"/>
        <w:jc w:val="both"/>
        <w:rPr>
          <w:rFonts w:eastAsia="Calibri" w:cs="Times New Roman"/>
          <w:bCs/>
          <w:lang w:bidi="en-US"/>
        </w:rPr>
      </w:pPr>
      <w:r>
        <w:rPr>
          <w:rFonts w:eastAsia="Calibri" w:cs="Times New Roman"/>
          <w:bCs/>
          <w:lang w:bidi="en-US"/>
        </w:rPr>
        <w:t>Contaminated water sources can lead to a range of health problems, including waterborne diseases such as cholera, typhoid, and diarrhea. These diseases can be especially dangerous for children, the elderly, and people with weakened immune systems, leading to illness, hospitalization, and even death.</w:t>
      </w:r>
    </w:p>
    <w:tbl>
      <w:tblPr>
        <w:tblStyle w:val="258"/>
        <w:tblW w:w="8709" w:type="dxa"/>
        <w:tblInd w:w="704" w:type="dxa"/>
        <w:tblLayout w:type="autofit"/>
        <w:tblCellMar>
          <w:top w:w="8" w:type="dxa"/>
          <w:left w:w="108" w:type="dxa"/>
          <w:bottom w:w="0" w:type="dxa"/>
          <w:right w:w="105" w:type="dxa"/>
        </w:tblCellMar>
      </w:tblPr>
      <w:tblGrid>
        <w:gridCol w:w="4253"/>
        <w:gridCol w:w="3678"/>
        <w:gridCol w:w="778"/>
      </w:tblGrid>
      <w:tr w14:paraId="0EBE7B39">
        <w:tblPrEx>
          <w:tblCellMar>
            <w:top w:w="8" w:type="dxa"/>
            <w:left w:w="108" w:type="dxa"/>
            <w:bottom w:w="0" w:type="dxa"/>
            <w:right w:w="105" w:type="dxa"/>
          </w:tblCellMar>
        </w:tblPrEx>
        <w:trPr>
          <w:trHeight w:val="240" w:hRule="atLeast"/>
        </w:trPr>
        <w:tc>
          <w:tcPr>
            <w:tcW w:w="4253" w:type="dxa"/>
            <w:tcBorders>
              <w:top w:val="single" w:color="000000" w:sz="4" w:space="0"/>
              <w:left w:val="single" w:color="000000" w:sz="4" w:space="0"/>
              <w:bottom w:val="single" w:color="000000" w:sz="4" w:space="0"/>
              <w:right w:val="nil"/>
            </w:tcBorders>
          </w:tcPr>
          <w:p w14:paraId="6867FD1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78" w:type="dxa"/>
            <w:tcBorders>
              <w:top w:val="single" w:color="000000" w:sz="4" w:space="0"/>
              <w:left w:val="nil"/>
              <w:bottom w:val="single" w:color="000000" w:sz="4" w:space="0"/>
              <w:right w:val="single" w:color="000000" w:sz="4" w:space="0"/>
            </w:tcBorders>
          </w:tcPr>
          <w:p w14:paraId="78653112">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778" w:type="dxa"/>
            <w:tcBorders>
              <w:top w:val="single" w:color="000000" w:sz="4" w:space="0"/>
              <w:left w:val="single" w:color="000000" w:sz="4" w:space="0"/>
              <w:bottom w:val="single" w:color="000000" w:sz="4" w:space="0"/>
              <w:right w:val="single" w:color="000000" w:sz="4" w:space="0"/>
            </w:tcBorders>
          </w:tcPr>
          <w:p w14:paraId="5D1877F3">
            <w:pPr>
              <w:widowControl w:val="0"/>
              <w:tabs>
                <w:tab w:val="left" w:pos="709"/>
              </w:tabs>
              <w:autoSpaceDE w:val="0"/>
              <w:autoSpaceDN w:val="0"/>
              <w:spacing w:before="100" w:beforeAutospacing="1" w:after="100" w:afterAutospacing="1" w:line="240" w:lineRule="auto"/>
              <w:ind w:right="3"/>
              <w:jc w:val="both"/>
              <w:rPr>
                <w:rFonts w:eastAsia="Calibri" w:cs="Calibri"/>
                <w:lang w:bidi="en-US"/>
              </w:rPr>
            </w:pPr>
            <w:r>
              <w:rPr>
                <w:rFonts w:eastAsia="Arial" w:cs="Arial"/>
                <w:b/>
                <w:lang w:bidi="en-US"/>
              </w:rPr>
              <w:t xml:space="preserve">Rating </w:t>
            </w:r>
          </w:p>
        </w:tc>
      </w:tr>
      <w:tr w14:paraId="39136901">
        <w:tblPrEx>
          <w:tblCellMar>
            <w:top w:w="8" w:type="dxa"/>
            <w:left w:w="108" w:type="dxa"/>
            <w:bottom w:w="0" w:type="dxa"/>
            <w:right w:w="10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3C89FA4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78" w:type="dxa"/>
            <w:tcBorders>
              <w:top w:val="single" w:color="000000" w:sz="4" w:space="0"/>
              <w:left w:val="single" w:color="000000" w:sz="4" w:space="0"/>
              <w:bottom w:val="single" w:color="000000" w:sz="4" w:space="0"/>
              <w:right w:val="single" w:color="000000" w:sz="4" w:space="0"/>
            </w:tcBorders>
          </w:tcPr>
          <w:p w14:paraId="1453FF1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78" w:type="dxa"/>
            <w:tcBorders>
              <w:top w:val="single" w:color="000000" w:sz="4" w:space="0"/>
              <w:left w:val="single" w:color="000000" w:sz="4" w:space="0"/>
              <w:bottom w:val="single" w:color="000000" w:sz="4" w:space="0"/>
              <w:right w:val="single" w:color="000000" w:sz="4" w:space="0"/>
            </w:tcBorders>
          </w:tcPr>
          <w:p w14:paraId="756EDCA4">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Calibri" w:cs="Calibri"/>
                <w:lang w:bidi="en-US"/>
              </w:rPr>
              <w:t>3</w:t>
            </w:r>
          </w:p>
        </w:tc>
      </w:tr>
      <w:tr w14:paraId="52F5A902">
        <w:tblPrEx>
          <w:tblCellMar>
            <w:top w:w="8" w:type="dxa"/>
            <w:left w:w="108" w:type="dxa"/>
            <w:bottom w:w="0" w:type="dxa"/>
            <w:right w:w="105" w:type="dxa"/>
          </w:tblCellMar>
        </w:tblPrEx>
        <w:trPr>
          <w:trHeight w:val="240" w:hRule="atLeast"/>
        </w:trPr>
        <w:tc>
          <w:tcPr>
            <w:tcW w:w="4253" w:type="dxa"/>
            <w:vMerge w:val="continue"/>
            <w:tcBorders>
              <w:top w:val="nil"/>
              <w:left w:val="single" w:color="000000" w:sz="4" w:space="0"/>
              <w:bottom w:val="nil"/>
              <w:right w:val="single" w:color="000000" w:sz="4" w:space="0"/>
            </w:tcBorders>
          </w:tcPr>
          <w:p w14:paraId="38B014B8">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5617AA0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78" w:type="dxa"/>
            <w:tcBorders>
              <w:top w:val="single" w:color="000000" w:sz="4" w:space="0"/>
              <w:left w:val="single" w:color="000000" w:sz="4" w:space="0"/>
              <w:bottom w:val="single" w:color="000000" w:sz="4" w:space="0"/>
              <w:right w:val="single" w:color="000000" w:sz="4" w:space="0"/>
            </w:tcBorders>
          </w:tcPr>
          <w:p w14:paraId="64E226C1">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4865ABAA">
        <w:tblPrEx>
          <w:tblCellMar>
            <w:top w:w="8" w:type="dxa"/>
            <w:left w:w="108" w:type="dxa"/>
            <w:bottom w:w="0" w:type="dxa"/>
            <w:right w:w="105" w:type="dxa"/>
          </w:tblCellMar>
        </w:tblPrEx>
        <w:trPr>
          <w:trHeight w:val="240" w:hRule="atLeast"/>
        </w:trPr>
        <w:tc>
          <w:tcPr>
            <w:tcW w:w="4253" w:type="dxa"/>
            <w:vMerge w:val="continue"/>
            <w:tcBorders>
              <w:top w:val="nil"/>
              <w:left w:val="single" w:color="000000" w:sz="4" w:space="0"/>
              <w:bottom w:val="single" w:color="000000" w:sz="4" w:space="0"/>
              <w:right w:val="single" w:color="000000" w:sz="4" w:space="0"/>
            </w:tcBorders>
          </w:tcPr>
          <w:p w14:paraId="356184F9">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793716B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78" w:type="dxa"/>
            <w:tcBorders>
              <w:top w:val="single" w:color="000000" w:sz="4" w:space="0"/>
              <w:left w:val="single" w:color="000000" w:sz="4" w:space="0"/>
              <w:bottom w:val="single" w:color="000000" w:sz="4" w:space="0"/>
              <w:right w:val="single" w:color="000000" w:sz="4" w:space="0"/>
            </w:tcBorders>
          </w:tcPr>
          <w:p w14:paraId="516FC858">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0FC2A54F">
        <w:tblPrEx>
          <w:tblCellMar>
            <w:top w:w="8" w:type="dxa"/>
            <w:left w:w="108" w:type="dxa"/>
            <w:bottom w:w="0" w:type="dxa"/>
            <w:right w:w="10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7F776E7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78" w:type="dxa"/>
            <w:tcBorders>
              <w:top w:val="single" w:color="000000" w:sz="4" w:space="0"/>
              <w:left w:val="single" w:color="000000" w:sz="4" w:space="0"/>
              <w:bottom w:val="single" w:color="000000" w:sz="4" w:space="0"/>
              <w:right w:val="single" w:color="000000" w:sz="4" w:space="0"/>
            </w:tcBorders>
          </w:tcPr>
          <w:p w14:paraId="23D6105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78" w:type="dxa"/>
            <w:tcBorders>
              <w:top w:val="single" w:color="000000" w:sz="4" w:space="0"/>
              <w:left w:val="single" w:color="000000" w:sz="4" w:space="0"/>
              <w:bottom w:val="single" w:color="000000" w:sz="4" w:space="0"/>
              <w:right w:val="single" w:color="000000" w:sz="4" w:space="0"/>
            </w:tcBorders>
          </w:tcPr>
          <w:p w14:paraId="663EBC17">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20A1E718">
        <w:tblPrEx>
          <w:tblCellMar>
            <w:top w:w="8" w:type="dxa"/>
            <w:left w:w="108" w:type="dxa"/>
            <w:bottom w:w="0" w:type="dxa"/>
            <w:right w:w="105" w:type="dxa"/>
          </w:tblCellMar>
        </w:tblPrEx>
        <w:trPr>
          <w:trHeight w:val="241" w:hRule="atLeast"/>
        </w:trPr>
        <w:tc>
          <w:tcPr>
            <w:tcW w:w="4253" w:type="dxa"/>
            <w:vMerge w:val="continue"/>
            <w:tcBorders>
              <w:top w:val="nil"/>
              <w:left w:val="single" w:color="000000" w:sz="4" w:space="0"/>
              <w:bottom w:val="single" w:color="000000" w:sz="4" w:space="0"/>
              <w:right w:val="single" w:color="000000" w:sz="4" w:space="0"/>
            </w:tcBorders>
          </w:tcPr>
          <w:p w14:paraId="394C9134">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496B58F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78" w:type="dxa"/>
            <w:tcBorders>
              <w:top w:val="single" w:color="000000" w:sz="4" w:space="0"/>
              <w:left w:val="single" w:color="000000" w:sz="4" w:space="0"/>
              <w:bottom w:val="single" w:color="000000" w:sz="4" w:space="0"/>
              <w:right w:val="single" w:color="000000" w:sz="4" w:space="0"/>
            </w:tcBorders>
          </w:tcPr>
          <w:p w14:paraId="36421810">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26B9C27E">
        <w:tblPrEx>
          <w:tblCellMar>
            <w:top w:w="8" w:type="dxa"/>
            <w:left w:w="108" w:type="dxa"/>
            <w:bottom w:w="0" w:type="dxa"/>
            <w:right w:w="105" w:type="dxa"/>
          </w:tblCellMar>
        </w:tblPrEx>
        <w:trPr>
          <w:trHeight w:val="468" w:hRule="atLeast"/>
        </w:trPr>
        <w:tc>
          <w:tcPr>
            <w:tcW w:w="4253" w:type="dxa"/>
            <w:tcBorders>
              <w:top w:val="single" w:color="000000" w:sz="4" w:space="0"/>
              <w:left w:val="single" w:color="000000" w:sz="4" w:space="0"/>
              <w:bottom w:val="single" w:color="000000" w:sz="4" w:space="0"/>
              <w:right w:val="single" w:color="000000" w:sz="4" w:space="0"/>
            </w:tcBorders>
          </w:tcPr>
          <w:p w14:paraId="7E2B4FE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78" w:type="dxa"/>
            <w:tcBorders>
              <w:top w:val="single" w:color="000000" w:sz="4" w:space="0"/>
              <w:left w:val="single" w:color="000000" w:sz="4" w:space="0"/>
              <w:bottom w:val="single" w:color="000000" w:sz="4" w:space="0"/>
              <w:right w:val="single" w:color="000000" w:sz="4" w:space="0"/>
            </w:tcBorders>
          </w:tcPr>
          <w:p w14:paraId="5EA5E02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Very Low </w:t>
            </w:r>
          </w:p>
        </w:tc>
        <w:tc>
          <w:tcPr>
            <w:tcW w:w="778" w:type="dxa"/>
            <w:tcBorders>
              <w:top w:val="single" w:color="000000" w:sz="4" w:space="0"/>
              <w:left w:val="single" w:color="000000" w:sz="4" w:space="0"/>
              <w:bottom w:val="single" w:color="000000" w:sz="4" w:space="0"/>
              <w:right w:val="single" w:color="000000" w:sz="4" w:space="0"/>
            </w:tcBorders>
            <w:shd w:val="clear" w:color="auto" w:fill="ED7D31" w:themeFill="accent2"/>
          </w:tcPr>
          <w:p w14:paraId="1C954D0E">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28</w:t>
            </w:r>
          </w:p>
        </w:tc>
      </w:tr>
    </w:tbl>
    <w:p w14:paraId="08A7B4EA">
      <w:pPr>
        <w:widowControl w:val="0"/>
        <w:tabs>
          <w:tab w:val="left" w:pos="709"/>
        </w:tabs>
        <w:autoSpaceDE w:val="0"/>
        <w:autoSpaceDN w:val="0"/>
        <w:spacing w:before="100" w:beforeAutospacing="1" w:after="100" w:afterAutospacing="1" w:line="240" w:lineRule="auto"/>
        <w:ind w:left="709"/>
        <w:jc w:val="both"/>
        <w:rPr>
          <w:rFonts w:eastAsia="Calibri" w:cs="Times New Roman"/>
          <w:bCs/>
          <w:lang w:bidi="en-US"/>
        </w:rPr>
      </w:pPr>
      <w:r>
        <w:rPr>
          <w:rFonts w:eastAsia="Calibri" w:cs="Times New Roman"/>
          <w:bCs/>
          <w:lang w:bidi="en-US"/>
        </w:rPr>
        <w:t>Mitigation measures</w:t>
      </w:r>
    </w:p>
    <w:p w14:paraId="3A547B5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impermeable liners in ponds or lagoons to prevent leachate from seeping into the soil and groundwater.</w:t>
      </w:r>
    </w:p>
    <w:p w14:paraId="1379607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a system to collect and treat leachate before it is discharged.</w:t>
      </w:r>
    </w:p>
    <w:p w14:paraId="04D79E2D">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Include sedimentation tanks to remove solids from the effluent before further treatment.</w:t>
      </w:r>
    </w:p>
    <w:p w14:paraId="370E225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wetlands to naturally treat effluent, utilizing plants to absorb and break down contaminants.</w:t>
      </w:r>
    </w:p>
    <w:p w14:paraId="38C76D5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Chlorination or UV treatment shall be used to disinfect the treated effluent before discharge.</w:t>
      </w:r>
    </w:p>
    <w:p w14:paraId="0454834A">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Regularly test nearby water sources to monitor for potential contamination.</w:t>
      </w:r>
    </w:p>
    <w:p w14:paraId="49B6276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Ensure the treated effluent meets environmental standards before discharge.</w:t>
      </w:r>
    </w:p>
    <w:p w14:paraId="7ECD639C">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Establish vegetation buffers around the plant to absorb and filter runoff.</w:t>
      </w:r>
    </w:p>
    <w:p w14:paraId="529DCAA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Store sludge in covered facilities to prevent contamination from rainwater and minimize leachate.</w:t>
      </w:r>
    </w:p>
    <w:p w14:paraId="4D31926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lined drying beds with proper drainage to reduce the volume of sludge and safely manage any runoff.</w:t>
      </w:r>
    </w:p>
    <w:p w14:paraId="714B1ED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Educate the community about the importance of the plant and how it operates to prevent accidental contamination.</w:t>
      </w:r>
    </w:p>
    <w:p w14:paraId="20CF29F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Develop and communicate emergency response plans for potential spills or leaks.</w:t>
      </w:r>
    </w:p>
    <w:p w14:paraId="008F9909">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Construct the plant on a concrete or similarly impermeable base to prevent leachate infiltration.</w:t>
      </w:r>
    </w:p>
    <w:p w14:paraId="6E6C575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Install groundwater monitoring wells around the plant to detect any potential contamination early.</w:t>
      </w:r>
    </w:p>
    <w:p w14:paraId="1340EFB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Regular maintenance of all equipment and infrastructure to prevent leaks and overflows.</w:t>
      </w:r>
    </w:p>
    <w:p w14:paraId="66B586B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lang w:bidi="en-US"/>
        </w:rPr>
      </w:pPr>
      <w:r>
        <w:rPr>
          <w:rFonts w:eastAsia="Calibri" w:cs="Calibri"/>
          <w:lang w:bidi="en-US"/>
        </w:rPr>
        <w:t>Train staff on best practices for operation and emergency procedures.</w:t>
      </w:r>
    </w:p>
    <w:p w14:paraId="2972460B">
      <w:pPr>
        <w:widowControl w:val="0"/>
        <w:tabs>
          <w:tab w:val="left" w:pos="709"/>
        </w:tabs>
        <w:autoSpaceDE w:val="0"/>
        <w:autoSpaceDN w:val="0"/>
        <w:spacing w:before="100" w:beforeAutospacing="1" w:after="100" w:afterAutospacing="1" w:line="240" w:lineRule="auto"/>
        <w:ind w:left="709"/>
        <w:jc w:val="both"/>
        <w:rPr>
          <w:b/>
        </w:rPr>
      </w:pPr>
    </w:p>
    <w:p w14:paraId="71B5056B">
      <w:pPr>
        <w:keepNext/>
        <w:keepLines/>
        <w:widowControl w:val="0"/>
        <w:tabs>
          <w:tab w:val="left" w:pos="709"/>
        </w:tabs>
        <w:autoSpaceDE w:val="0"/>
        <w:autoSpaceDN w:val="0"/>
        <w:spacing w:before="100" w:beforeAutospacing="1" w:after="100" w:afterAutospacing="1" w:line="240" w:lineRule="auto"/>
        <w:ind w:left="709"/>
        <w:jc w:val="both"/>
        <w:rPr>
          <w:b/>
        </w:rPr>
      </w:pPr>
      <w:r>
        <w:rPr>
          <w:b/>
        </w:rPr>
        <w:t>Foul smell (Low medium)</w:t>
      </w:r>
    </w:p>
    <w:p w14:paraId="489DBF19">
      <w:pPr>
        <w:keepNext/>
        <w:keepLines/>
        <w:widowControl w:val="0"/>
        <w:tabs>
          <w:tab w:val="left" w:pos="709"/>
        </w:tabs>
        <w:autoSpaceDE w:val="0"/>
        <w:autoSpaceDN w:val="0"/>
        <w:spacing w:before="100" w:beforeAutospacing="1" w:after="100" w:afterAutospacing="1" w:line="240" w:lineRule="auto"/>
        <w:ind w:left="709"/>
        <w:jc w:val="both"/>
      </w:pPr>
      <w:r>
        <w:t>The frequent dumping of truckloads for faecal sludge may cause bad smell in and around the FSTP. However, as the FSTP is located southeast of the town amidst a low density population, foul smell is expected to be of minor significance.</w:t>
      </w:r>
    </w:p>
    <w:tbl>
      <w:tblPr>
        <w:tblStyle w:val="258"/>
        <w:tblW w:w="8709" w:type="dxa"/>
        <w:tblInd w:w="704" w:type="dxa"/>
        <w:tblLayout w:type="autofit"/>
        <w:tblCellMar>
          <w:top w:w="8" w:type="dxa"/>
          <w:left w:w="108" w:type="dxa"/>
          <w:bottom w:w="0" w:type="dxa"/>
          <w:right w:w="115" w:type="dxa"/>
        </w:tblCellMar>
      </w:tblPr>
      <w:tblGrid>
        <w:gridCol w:w="4253"/>
        <w:gridCol w:w="3665"/>
        <w:gridCol w:w="791"/>
      </w:tblGrid>
      <w:tr w14:paraId="30EE7093">
        <w:tblPrEx>
          <w:tblCellMar>
            <w:top w:w="8" w:type="dxa"/>
            <w:left w:w="108" w:type="dxa"/>
            <w:bottom w:w="0" w:type="dxa"/>
            <w:right w:w="115" w:type="dxa"/>
          </w:tblCellMar>
        </w:tblPrEx>
        <w:trPr>
          <w:trHeight w:val="240" w:hRule="atLeast"/>
        </w:trPr>
        <w:tc>
          <w:tcPr>
            <w:tcW w:w="4253" w:type="dxa"/>
            <w:tcBorders>
              <w:top w:val="single" w:color="000000" w:sz="4" w:space="0"/>
              <w:left w:val="single" w:color="000000" w:sz="4" w:space="0"/>
              <w:bottom w:val="single" w:color="000000" w:sz="4" w:space="0"/>
              <w:right w:val="nil"/>
            </w:tcBorders>
          </w:tcPr>
          <w:p w14:paraId="66B90B3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65" w:type="dxa"/>
            <w:tcBorders>
              <w:top w:val="single" w:color="000000" w:sz="4" w:space="0"/>
              <w:left w:val="nil"/>
              <w:bottom w:val="single" w:color="000000" w:sz="4" w:space="0"/>
              <w:right w:val="single" w:color="000000" w:sz="4" w:space="0"/>
            </w:tcBorders>
          </w:tcPr>
          <w:p w14:paraId="63EFC406">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791" w:type="dxa"/>
            <w:tcBorders>
              <w:top w:val="single" w:color="000000" w:sz="4" w:space="0"/>
              <w:left w:val="single" w:color="000000" w:sz="4" w:space="0"/>
              <w:bottom w:val="single" w:color="000000" w:sz="4" w:space="0"/>
              <w:right w:val="single" w:color="000000" w:sz="4" w:space="0"/>
            </w:tcBorders>
          </w:tcPr>
          <w:p w14:paraId="003FF6DF">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b/>
                <w:lang w:bidi="en-US"/>
              </w:rPr>
              <w:t xml:space="preserve">Rating </w:t>
            </w:r>
          </w:p>
        </w:tc>
      </w:tr>
      <w:tr w14:paraId="2427E316">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46618DA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65" w:type="dxa"/>
            <w:tcBorders>
              <w:top w:val="single" w:color="000000" w:sz="4" w:space="0"/>
              <w:left w:val="single" w:color="000000" w:sz="4" w:space="0"/>
              <w:bottom w:val="single" w:color="000000" w:sz="4" w:space="0"/>
              <w:right w:val="single" w:color="000000" w:sz="4" w:space="0"/>
            </w:tcBorders>
          </w:tcPr>
          <w:p w14:paraId="2783DDC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91" w:type="dxa"/>
            <w:tcBorders>
              <w:top w:val="single" w:color="000000" w:sz="4" w:space="0"/>
              <w:left w:val="single" w:color="000000" w:sz="4" w:space="0"/>
              <w:bottom w:val="single" w:color="000000" w:sz="4" w:space="0"/>
              <w:right w:val="single" w:color="000000" w:sz="4" w:space="0"/>
            </w:tcBorders>
          </w:tcPr>
          <w:p w14:paraId="08E068FA">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2</w:t>
            </w:r>
          </w:p>
        </w:tc>
      </w:tr>
      <w:tr w14:paraId="0562EAD8">
        <w:tblPrEx>
          <w:tblCellMar>
            <w:top w:w="8" w:type="dxa"/>
            <w:left w:w="108" w:type="dxa"/>
            <w:bottom w:w="0" w:type="dxa"/>
            <w:right w:w="115" w:type="dxa"/>
          </w:tblCellMar>
        </w:tblPrEx>
        <w:trPr>
          <w:trHeight w:val="233" w:hRule="atLeast"/>
        </w:trPr>
        <w:tc>
          <w:tcPr>
            <w:tcW w:w="4253" w:type="dxa"/>
            <w:vMerge w:val="continue"/>
            <w:tcBorders>
              <w:top w:val="nil"/>
              <w:left w:val="single" w:color="000000" w:sz="4" w:space="0"/>
              <w:bottom w:val="nil"/>
              <w:right w:val="single" w:color="000000" w:sz="4" w:space="0"/>
            </w:tcBorders>
          </w:tcPr>
          <w:p w14:paraId="293F9989">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65" w:type="dxa"/>
            <w:tcBorders>
              <w:top w:val="single" w:color="000000" w:sz="4" w:space="0"/>
              <w:left w:val="single" w:color="000000" w:sz="4" w:space="0"/>
              <w:bottom w:val="single" w:color="000000" w:sz="4" w:space="0"/>
              <w:right w:val="single" w:color="000000" w:sz="4" w:space="0"/>
            </w:tcBorders>
          </w:tcPr>
          <w:p w14:paraId="07F1EEB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91" w:type="dxa"/>
            <w:tcBorders>
              <w:top w:val="single" w:color="000000" w:sz="4" w:space="0"/>
              <w:left w:val="single" w:color="000000" w:sz="4" w:space="0"/>
              <w:bottom w:val="single" w:color="000000" w:sz="4" w:space="0"/>
              <w:right w:val="single" w:color="000000" w:sz="4" w:space="0"/>
            </w:tcBorders>
          </w:tcPr>
          <w:p w14:paraId="6760BDEC">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 xml:space="preserve">2 </w:t>
            </w:r>
          </w:p>
        </w:tc>
      </w:tr>
      <w:tr w14:paraId="7E5C0D42">
        <w:tblPrEx>
          <w:tblCellMar>
            <w:top w:w="8" w:type="dxa"/>
            <w:left w:w="108" w:type="dxa"/>
            <w:bottom w:w="0" w:type="dxa"/>
            <w:right w:w="115" w:type="dxa"/>
          </w:tblCellMar>
        </w:tblPrEx>
        <w:trPr>
          <w:trHeight w:val="240" w:hRule="atLeast"/>
        </w:trPr>
        <w:tc>
          <w:tcPr>
            <w:tcW w:w="4253" w:type="dxa"/>
            <w:vMerge w:val="continue"/>
            <w:tcBorders>
              <w:top w:val="nil"/>
              <w:left w:val="single" w:color="000000" w:sz="4" w:space="0"/>
              <w:bottom w:val="single" w:color="000000" w:sz="4" w:space="0"/>
              <w:right w:val="single" w:color="000000" w:sz="4" w:space="0"/>
            </w:tcBorders>
          </w:tcPr>
          <w:p w14:paraId="3ED8075B">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65" w:type="dxa"/>
            <w:tcBorders>
              <w:top w:val="single" w:color="000000" w:sz="4" w:space="0"/>
              <w:left w:val="single" w:color="000000" w:sz="4" w:space="0"/>
              <w:bottom w:val="single" w:color="000000" w:sz="4" w:space="0"/>
              <w:right w:val="single" w:color="000000" w:sz="4" w:space="0"/>
            </w:tcBorders>
          </w:tcPr>
          <w:p w14:paraId="009F125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91" w:type="dxa"/>
            <w:tcBorders>
              <w:top w:val="single" w:color="000000" w:sz="4" w:space="0"/>
              <w:left w:val="single" w:color="000000" w:sz="4" w:space="0"/>
              <w:bottom w:val="single" w:color="000000" w:sz="4" w:space="0"/>
              <w:right w:val="single" w:color="000000" w:sz="4" w:space="0"/>
            </w:tcBorders>
          </w:tcPr>
          <w:p w14:paraId="718E623F">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 xml:space="preserve">1 </w:t>
            </w:r>
          </w:p>
        </w:tc>
      </w:tr>
      <w:tr w14:paraId="12B6AC4C">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2C75AAD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65" w:type="dxa"/>
            <w:tcBorders>
              <w:top w:val="single" w:color="000000" w:sz="4" w:space="0"/>
              <w:left w:val="single" w:color="000000" w:sz="4" w:space="0"/>
              <w:bottom w:val="single" w:color="000000" w:sz="4" w:space="0"/>
              <w:right w:val="single" w:color="000000" w:sz="4" w:space="0"/>
            </w:tcBorders>
          </w:tcPr>
          <w:p w14:paraId="3926E7E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91" w:type="dxa"/>
            <w:tcBorders>
              <w:top w:val="single" w:color="000000" w:sz="4" w:space="0"/>
              <w:left w:val="single" w:color="000000" w:sz="4" w:space="0"/>
              <w:bottom w:val="single" w:color="000000" w:sz="4" w:space="0"/>
              <w:right w:val="single" w:color="000000" w:sz="4" w:space="0"/>
            </w:tcBorders>
          </w:tcPr>
          <w:p w14:paraId="249C13F7">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1</w:t>
            </w:r>
          </w:p>
        </w:tc>
      </w:tr>
      <w:tr w14:paraId="1850F457">
        <w:tblPrEx>
          <w:tblCellMar>
            <w:top w:w="8" w:type="dxa"/>
            <w:left w:w="108" w:type="dxa"/>
            <w:bottom w:w="0" w:type="dxa"/>
            <w:right w:w="115" w:type="dxa"/>
          </w:tblCellMar>
        </w:tblPrEx>
        <w:trPr>
          <w:trHeight w:val="241" w:hRule="atLeast"/>
        </w:trPr>
        <w:tc>
          <w:tcPr>
            <w:tcW w:w="4253" w:type="dxa"/>
            <w:vMerge w:val="continue"/>
            <w:tcBorders>
              <w:top w:val="nil"/>
              <w:left w:val="single" w:color="000000" w:sz="4" w:space="0"/>
              <w:bottom w:val="single" w:color="000000" w:sz="4" w:space="0"/>
              <w:right w:val="single" w:color="000000" w:sz="4" w:space="0"/>
            </w:tcBorders>
          </w:tcPr>
          <w:p w14:paraId="04FC909E">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65" w:type="dxa"/>
            <w:tcBorders>
              <w:top w:val="single" w:color="000000" w:sz="4" w:space="0"/>
              <w:left w:val="single" w:color="000000" w:sz="4" w:space="0"/>
              <w:bottom w:val="single" w:color="000000" w:sz="4" w:space="0"/>
              <w:right w:val="single" w:color="000000" w:sz="4" w:space="0"/>
            </w:tcBorders>
          </w:tcPr>
          <w:p w14:paraId="6844A8E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91" w:type="dxa"/>
            <w:tcBorders>
              <w:top w:val="single" w:color="000000" w:sz="4" w:space="0"/>
              <w:left w:val="single" w:color="000000" w:sz="4" w:space="0"/>
              <w:bottom w:val="single" w:color="000000" w:sz="4" w:space="0"/>
              <w:right w:val="single" w:color="000000" w:sz="4" w:space="0"/>
            </w:tcBorders>
          </w:tcPr>
          <w:p w14:paraId="2D11A0C2">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2</w:t>
            </w:r>
          </w:p>
        </w:tc>
      </w:tr>
      <w:tr w14:paraId="18099D9F">
        <w:tblPrEx>
          <w:tblCellMar>
            <w:top w:w="8" w:type="dxa"/>
            <w:left w:w="108" w:type="dxa"/>
            <w:bottom w:w="0" w:type="dxa"/>
            <w:right w:w="115" w:type="dxa"/>
          </w:tblCellMar>
        </w:tblPrEx>
        <w:trPr>
          <w:trHeight w:val="467" w:hRule="atLeast"/>
        </w:trPr>
        <w:tc>
          <w:tcPr>
            <w:tcW w:w="4253" w:type="dxa"/>
            <w:tcBorders>
              <w:top w:val="single" w:color="000000" w:sz="4" w:space="0"/>
              <w:left w:val="single" w:color="000000" w:sz="4" w:space="0"/>
              <w:bottom w:val="single" w:color="000000" w:sz="4" w:space="0"/>
              <w:right w:val="single" w:color="000000" w:sz="4" w:space="0"/>
            </w:tcBorders>
          </w:tcPr>
          <w:p w14:paraId="74BA7A7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65" w:type="dxa"/>
            <w:tcBorders>
              <w:top w:val="single" w:color="000000" w:sz="4" w:space="0"/>
              <w:left w:val="single" w:color="000000" w:sz="4" w:space="0"/>
              <w:bottom w:val="single" w:color="000000" w:sz="4" w:space="0"/>
              <w:right w:val="single" w:color="000000" w:sz="4" w:space="0"/>
            </w:tcBorders>
          </w:tcPr>
          <w:p w14:paraId="30F9A87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Medium high </w:t>
            </w:r>
          </w:p>
        </w:tc>
        <w:tc>
          <w:tcPr>
            <w:tcW w:w="791" w:type="dxa"/>
            <w:tcBorders>
              <w:top w:val="single" w:color="000000" w:sz="4" w:space="0"/>
              <w:left w:val="single" w:color="000000" w:sz="4" w:space="0"/>
              <w:bottom w:val="single" w:color="000000" w:sz="4" w:space="0"/>
              <w:right w:val="single" w:color="000000" w:sz="4" w:space="0"/>
            </w:tcBorders>
            <w:shd w:val="clear" w:color="auto" w:fill="70AD47" w:themeFill="accent6"/>
          </w:tcPr>
          <w:p w14:paraId="74C0805E">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15</w:t>
            </w:r>
          </w:p>
        </w:tc>
      </w:tr>
    </w:tbl>
    <w:p w14:paraId="43F09FD3">
      <w:pPr>
        <w:widowControl w:val="0"/>
        <w:tabs>
          <w:tab w:val="left" w:pos="709"/>
        </w:tabs>
        <w:autoSpaceDE w:val="0"/>
        <w:autoSpaceDN w:val="0"/>
        <w:spacing w:before="100" w:beforeAutospacing="1" w:after="100" w:afterAutospacing="1" w:line="240" w:lineRule="auto"/>
        <w:ind w:left="709"/>
        <w:jc w:val="both"/>
        <w:rPr>
          <w:b/>
        </w:rPr>
      </w:pPr>
      <w:r>
        <w:rPr>
          <w:b/>
        </w:rPr>
        <w:t>Mitigation Measures</w:t>
      </w:r>
    </w:p>
    <w:p w14:paraId="66CD8509">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Install biofilters, which use natural biological processes to filter and neutralize odorous compounds from the air.</w:t>
      </w:r>
    </w:p>
    <w:p w14:paraId="08D51C7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Transport sludge and other materials in enclosed conveyors or pipelines to prevent the escape of odors.</w:t>
      </w:r>
    </w:p>
    <w:p w14:paraId="4863F66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Minimize the time sludge spends in open-air conditions by quickly processing and covering it to reduce odor generation.</w:t>
      </w:r>
    </w:p>
    <w:p w14:paraId="268FFC2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Dewater and stabilize sludge as quickly as possible to reduce the biological activity that causes odors.</w:t>
      </w:r>
    </w:p>
    <w:p w14:paraId="331CE8A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Create buffer zones with green belts or vegetation around the plant to absorb and disperse odors.</w:t>
      </w:r>
    </w:p>
    <w:p w14:paraId="37320B9D">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Place the most odor-intensive operations away from residential areas and near the center of the facility to minimize exposure to the community.</w:t>
      </w:r>
    </w:p>
    <w:p w14:paraId="3B7F81D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regular cleaning schedules for all equipment and facilities to prevent the buildup of odorous materials.</w:t>
      </w:r>
    </w:p>
    <w:p w14:paraId="11FD3A6D">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Quickly repair any leaks, overflows, or broken equipment that could lead to increased odor emissions.</w:t>
      </w:r>
    </w:p>
    <w:p w14:paraId="262EC99D">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Regularly monitor odor levels in and around the plant and share the results with the community.</w:t>
      </w:r>
    </w:p>
    <w:p w14:paraId="6B7EE32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Establish a system for the community to report odors and ensure a rapid response to any issues raised.</w:t>
      </w:r>
    </w:p>
    <w:p w14:paraId="24438809">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trees and plants known for their odor-absorbing properties around the facility.</w:t>
      </w:r>
    </w:p>
    <w:p w14:paraId="59587DD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Avoid overloading treatment systems, as this can lead to incomplete processing and higher odor emissions.</w:t>
      </w:r>
    </w:p>
    <w:p w14:paraId="5834731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Adjust operations during hot seasons when odor emissions might be higher due to increased microbial activity.</w:t>
      </w:r>
    </w:p>
    <w:p w14:paraId="403C7F74">
      <w:pPr>
        <w:tabs>
          <w:tab w:val="left" w:pos="709"/>
        </w:tabs>
        <w:spacing w:before="100" w:beforeAutospacing="1" w:after="100" w:afterAutospacing="1"/>
        <w:ind w:left="709"/>
        <w:rPr>
          <w:b/>
        </w:rPr>
      </w:pPr>
    </w:p>
    <w:p w14:paraId="06D7DEF9">
      <w:pPr>
        <w:keepNext/>
        <w:keepLines/>
        <w:tabs>
          <w:tab w:val="left" w:pos="709"/>
        </w:tabs>
        <w:spacing w:before="100" w:beforeAutospacing="1" w:after="100" w:afterAutospacing="1"/>
        <w:ind w:left="709"/>
        <w:rPr>
          <w:b/>
        </w:rPr>
      </w:pPr>
      <w:r>
        <w:rPr>
          <w:b/>
        </w:rPr>
        <w:t>Mosquito nuisance (Very High)</w:t>
      </w:r>
    </w:p>
    <w:p w14:paraId="2291A3C1">
      <w:pPr>
        <w:keepNext/>
        <w:keepLines/>
        <w:widowControl w:val="0"/>
        <w:tabs>
          <w:tab w:val="left" w:pos="709"/>
        </w:tabs>
        <w:autoSpaceDE w:val="0"/>
        <w:autoSpaceDN w:val="0"/>
        <w:spacing w:before="100" w:beforeAutospacing="1" w:after="100" w:afterAutospacing="1" w:line="240" w:lineRule="auto"/>
        <w:ind w:left="709"/>
        <w:jc w:val="both"/>
      </w:pPr>
      <w:r>
        <w:t>The settling-thickening pond and the drying beds may form a suitable breeding ground for mosquitos and diseases.</w:t>
      </w:r>
    </w:p>
    <w:tbl>
      <w:tblPr>
        <w:tblStyle w:val="258"/>
        <w:tblW w:w="8709" w:type="dxa"/>
        <w:tblInd w:w="704" w:type="dxa"/>
        <w:tblLayout w:type="autofit"/>
        <w:tblCellMar>
          <w:top w:w="8" w:type="dxa"/>
          <w:left w:w="108" w:type="dxa"/>
          <w:bottom w:w="0" w:type="dxa"/>
          <w:right w:w="115" w:type="dxa"/>
        </w:tblCellMar>
      </w:tblPr>
      <w:tblGrid>
        <w:gridCol w:w="3544"/>
        <w:gridCol w:w="3969"/>
        <w:gridCol w:w="1196"/>
      </w:tblGrid>
      <w:tr w14:paraId="6F2B3BCF">
        <w:tblPrEx>
          <w:tblCellMar>
            <w:top w:w="8" w:type="dxa"/>
            <w:left w:w="108" w:type="dxa"/>
            <w:bottom w:w="0" w:type="dxa"/>
            <w:right w:w="115" w:type="dxa"/>
          </w:tblCellMar>
        </w:tblPrEx>
        <w:trPr>
          <w:trHeight w:val="240" w:hRule="atLeast"/>
        </w:trPr>
        <w:tc>
          <w:tcPr>
            <w:tcW w:w="3544" w:type="dxa"/>
            <w:tcBorders>
              <w:top w:val="single" w:color="000000" w:sz="4" w:space="0"/>
              <w:left w:val="single" w:color="000000" w:sz="4" w:space="0"/>
              <w:bottom w:val="single" w:color="000000" w:sz="4" w:space="0"/>
              <w:right w:val="nil"/>
            </w:tcBorders>
          </w:tcPr>
          <w:p w14:paraId="4843E22A">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969" w:type="dxa"/>
            <w:tcBorders>
              <w:top w:val="single" w:color="000000" w:sz="4" w:space="0"/>
              <w:left w:val="nil"/>
              <w:bottom w:val="single" w:color="000000" w:sz="4" w:space="0"/>
              <w:right w:val="single" w:color="000000" w:sz="4" w:space="0"/>
            </w:tcBorders>
          </w:tcPr>
          <w:p w14:paraId="6F484C8B">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1196" w:type="dxa"/>
            <w:tcBorders>
              <w:top w:val="single" w:color="000000" w:sz="4" w:space="0"/>
              <w:left w:val="single" w:color="000000" w:sz="4" w:space="0"/>
              <w:bottom w:val="single" w:color="000000" w:sz="4" w:space="0"/>
              <w:right w:val="single" w:color="000000" w:sz="4" w:space="0"/>
            </w:tcBorders>
          </w:tcPr>
          <w:p w14:paraId="43AD6C94">
            <w:pPr>
              <w:keepNext/>
              <w:keepLines/>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b/>
                <w:lang w:bidi="en-US"/>
              </w:rPr>
              <w:t xml:space="preserve">Rating </w:t>
            </w:r>
          </w:p>
        </w:tc>
      </w:tr>
      <w:tr w14:paraId="3EEF32A6">
        <w:tblPrEx>
          <w:tblCellMar>
            <w:top w:w="8" w:type="dxa"/>
            <w:left w:w="108" w:type="dxa"/>
            <w:bottom w:w="0" w:type="dxa"/>
            <w:right w:w="115" w:type="dxa"/>
          </w:tblCellMar>
        </w:tblPrEx>
        <w:trPr>
          <w:trHeight w:val="240" w:hRule="atLeast"/>
        </w:trPr>
        <w:tc>
          <w:tcPr>
            <w:tcW w:w="3544" w:type="dxa"/>
            <w:vMerge w:val="restart"/>
            <w:tcBorders>
              <w:top w:val="single" w:color="000000" w:sz="4" w:space="0"/>
              <w:left w:val="single" w:color="000000" w:sz="4" w:space="0"/>
              <w:bottom w:val="single" w:color="000000" w:sz="4" w:space="0"/>
              <w:right w:val="single" w:color="000000" w:sz="4" w:space="0"/>
            </w:tcBorders>
          </w:tcPr>
          <w:p w14:paraId="68A2706E">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969" w:type="dxa"/>
            <w:tcBorders>
              <w:top w:val="single" w:color="000000" w:sz="4" w:space="0"/>
              <w:left w:val="single" w:color="000000" w:sz="4" w:space="0"/>
              <w:bottom w:val="single" w:color="000000" w:sz="4" w:space="0"/>
              <w:right w:val="single" w:color="000000" w:sz="4" w:space="0"/>
            </w:tcBorders>
          </w:tcPr>
          <w:p w14:paraId="3AC00C18">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1196" w:type="dxa"/>
            <w:tcBorders>
              <w:top w:val="single" w:color="000000" w:sz="4" w:space="0"/>
              <w:left w:val="single" w:color="000000" w:sz="4" w:space="0"/>
              <w:bottom w:val="single" w:color="000000" w:sz="4" w:space="0"/>
              <w:right w:val="single" w:color="000000" w:sz="4" w:space="0"/>
            </w:tcBorders>
          </w:tcPr>
          <w:p w14:paraId="749CD047">
            <w:pPr>
              <w:keepNext/>
              <w:keepLines/>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2</w:t>
            </w:r>
          </w:p>
        </w:tc>
      </w:tr>
      <w:tr w14:paraId="32E68672">
        <w:tblPrEx>
          <w:tblCellMar>
            <w:top w:w="8" w:type="dxa"/>
            <w:left w:w="108" w:type="dxa"/>
            <w:bottom w:w="0" w:type="dxa"/>
            <w:right w:w="115" w:type="dxa"/>
          </w:tblCellMar>
        </w:tblPrEx>
        <w:trPr>
          <w:trHeight w:val="346" w:hRule="atLeast"/>
        </w:trPr>
        <w:tc>
          <w:tcPr>
            <w:tcW w:w="3544" w:type="dxa"/>
            <w:vMerge w:val="continue"/>
            <w:tcBorders>
              <w:top w:val="nil"/>
              <w:left w:val="single" w:color="000000" w:sz="4" w:space="0"/>
              <w:bottom w:val="nil"/>
              <w:right w:val="single" w:color="000000" w:sz="4" w:space="0"/>
            </w:tcBorders>
          </w:tcPr>
          <w:p w14:paraId="7976D1B5">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969" w:type="dxa"/>
            <w:tcBorders>
              <w:top w:val="single" w:color="000000" w:sz="4" w:space="0"/>
              <w:left w:val="single" w:color="000000" w:sz="4" w:space="0"/>
              <w:bottom w:val="single" w:color="000000" w:sz="4" w:space="0"/>
              <w:right w:val="single" w:color="000000" w:sz="4" w:space="0"/>
            </w:tcBorders>
          </w:tcPr>
          <w:p w14:paraId="5E5810ED">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1196" w:type="dxa"/>
            <w:tcBorders>
              <w:top w:val="single" w:color="000000" w:sz="4" w:space="0"/>
              <w:left w:val="single" w:color="000000" w:sz="4" w:space="0"/>
              <w:bottom w:val="single" w:color="000000" w:sz="4" w:space="0"/>
              <w:right w:val="single" w:color="000000" w:sz="4" w:space="0"/>
            </w:tcBorders>
          </w:tcPr>
          <w:p w14:paraId="738E3DD2">
            <w:pPr>
              <w:keepNext/>
              <w:keepLines/>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2</w:t>
            </w:r>
          </w:p>
        </w:tc>
      </w:tr>
      <w:tr w14:paraId="6620C4C3">
        <w:tblPrEx>
          <w:tblCellMar>
            <w:top w:w="8" w:type="dxa"/>
            <w:left w:w="108" w:type="dxa"/>
            <w:bottom w:w="0" w:type="dxa"/>
            <w:right w:w="115" w:type="dxa"/>
          </w:tblCellMar>
        </w:tblPrEx>
        <w:trPr>
          <w:trHeight w:val="240" w:hRule="atLeast"/>
        </w:trPr>
        <w:tc>
          <w:tcPr>
            <w:tcW w:w="3544" w:type="dxa"/>
            <w:vMerge w:val="continue"/>
            <w:tcBorders>
              <w:top w:val="nil"/>
              <w:left w:val="single" w:color="000000" w:sz="4" w:space="0"/>
              <w:bottom w:val="single" w:color="000000" w:sz="4" w:space="0"/>
              <w:right w:val="single" w:color="000000" w:sz="4" w:space="0"/>
            </w:tcBorders>
          </w:tcPr>
          <w:p w14:paraId="50C07F48">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969" w:type="dxa"/>
            <w:tcBorders>
              <w:top w:val="single" w:color="000000" w:sz="4" w:space="0"/>
              <w:left w:val="single" w:color="000000" w:sz="4" w:space="0"/>
              <w:bottom w:val="single" w:color="000000" w:sz="4" w:space="0"/>
              <w:right w:val="single" w:color="000000" w:sz="4" w:space="0"/>
            </w:tcBorders>
          </w:tcPr>
          <w:p w14:paraId="03DFCC05">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1196" w:type="dxa"/>
            <w:tcBorders>
              <w:top w:val="single" w:color="000000" w:sz="4" w:space="0"/>
              <w:left w:val="single" w:color="000000" w:sz="4" w:space="0"/>
              <w:bottom w:val="single" w:color="000000" w:sz="4" w:space="0"/>
              <w:right w:val="single" w:color="000000" w:sz="4" w:space="0"/>
            </w:tcBorders>
          </w:tcPr>
          <w:p w14:paraId="3BA28DA5">
            <w:pPr>
              <w:keepNext/>
              <w:keepLines/>
              <w:widowControl w:val="0"/>
              <w:tabs>
                <w:tab w:val="left" w:pos="709"/>
              </w:tabs>
              <w:autoSpaceDE w:val="0"/>
              <w:autoSpaceDN w:val="0"/>
              <w:spacing w:before="100" w:beforeAutospacing="1" w:after="100" w:afterAutospacing="1" w:line="240" w:lineRule="auto"/>
              <w:ind w:left="6"/>
              <w:jc w:val="both"/>
              <w:rPr>
                <w:rFonts w:eastAsia="Calibri" w:cs="Calibri"/>
                <w:lang w:bidi="en-US"/>
              </w:rPr>
            </w:pPr>
          </w:p>
        </w:tc>
      </w:tr>
      <w:tr w14:paraId="2B45F180">
        <w:tblPrEx>
          <w:tblCellMar>
            <w:top w:w="8" w:type="dxa"/>
            <w:left w:w="108" w:type="dxa"/>
            <w:bottom w:w="0" w:type="dxa"/>
            <w:right w:w="115" w:type="dxa"/>
          </w:tblCellMar>
        </w:tblPrEx>
        <w:trPr>
          <w:trHeight w:val="240" w:hRule="atLeast"/>
        </w:trPr>
        <w:tc>
          <w:tcPr>
            <w:tcW w:w="3544" w:type="dxa"/>
            <w:vMerge w:val="restart"/>
            <w:tcBorders>
              <w:top w:val="single" w:color="000000" w:sz="4" w:space="0"/>
              <w:left w:val="single" w:color="000000" w:sz="4" w:space="0"/>
              <w:bottom w:val="single" w:color="000000" w:sz="4" w:space="0"/>
              <w:right w:val="single" w:color="000000" w:sz="4" w:space="0"/>
            </w:tcBorders>
          </w:tcPr>
          <w:p w14:paraId="1229542B">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969" w:type="dxa"/>
            <w:tcBorders>
              <w:top w:val="single" w:color="000000" w:sz="4" w:space="0"/>
              <w:left w:val="single" w:color="000000" w:sz="4" w:space="0"/>
              <w:bottom w:val="single" w:color="000000" w:sz="4" w:space="0"/>
              <w:right w:val="single" w:color="000000" w:sz="4" w:space="0"/>
            </w:tcBorders>
          </w:tcPr>
          <w:p w14:paraId="568EBB9A">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1196" w:type="dxa"/>
            <w:tcBorders>
              <w:top w:val="single" w:color="000000" w:sz="4" w:space="0"/>
              <w:left w:val="single" w:color="000000" w:sz="4" w:space="0"/>
              <w:bottom w:val="single" w:color="000000" w:sz="4" w:space="0"/>
              <w:right w:val="single" w:color="000000" w:sz="4" w:space="0"/>
            </w:tcBorders>
          </w:tcPr>
          <w:p w14:paraId="3CBFF5D0">
            <w:pPr>
              <w:keepNext/>
              <w:keepLines/>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4</w:t>
            </w:r>
          </w:p>
        </w:tc>
      </w:tr>
      <w:tr w14:paraId="102841D7">
        <w:tblPrEx>
          <w:tblCellMar>
            <w:top w:w="8" w:type="dxa"/>
            <w:left w:w="108" w:type="dxa"/>
            <w:bottom w:w="0" w:type="dxa"/>
            <w:right w:w="115" w:type="dxa"/>
          </w:tblCellMar>
        </w:tblPrEx>
        <w:trPr>
          <w:trHeight w:val="241" w:hRule="atLeast"/>
        </w:trPr>
        <w:tc>
          <w:tcPr>
            <w:tcW w:w="3544" w:type="dxa"/>
            <w:vMerge w:val="continue"/>
            <w:tcBorders>
              <w:top w:val="nil"/>
              <w:left w:val="single" w:color="000000" w:sz="4" w:space="0"/>
              <w:bottom w:val="single" w:color="000000" w:sz="4" w:space="0"/>
              <w:right w:val="single" w:color="000000" w:sz="4" w:space="0"/>
            </w:tcBorders>
          </w:tcPr>
          <w:p w14:paraId="354E732C">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969" w:type="dxa"/>
            <w:tcBorders>
              <w:top w:val="single" w:color="000000" w:sz="4" w:space="0"/>
              <w:left w:val="single" w:color="000000" w:sz="4" w:space="0"/>
              <w:bottom w:val="single" w:color="000000" w:sz="4" w:space="0"/>
              <w:right w:val="single" w:color="000000" w:sz="4" w:space="0"/>
            </w:tcBorders>
          </w:tcPr>
          <w:p w14:paraId="1DA53741">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1196" w:type="dxa"/>
            <w:tcBorders>
              <w:top w:val="single" w:color="000000" w:sz="4" w:space="0"/>
              <w:left w:val="single" w:color="000000" w:sz="4" w:space="0"/>
              <w:bottom w:val="single" w:color="000000" w:sz="4" w:space="0"/>
              <w:right w:val="single" w:color="000000" w:sz="4" w:space="0"/>
            </w:tcBorders>
          </w:tcPr>
          <w:p w14:paraId="66456B0A">
            <w:pPr>
              <w:keepNext/>
              <w:keepLines/>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4</w:t>
            </w:r>
          </w:p>
        </w:tc>
      </w:tr>
      <w:tr w14:paraId="60120159">
        <w:tblPrEx>
          <w:tblCellMar>
            <w:top w:w="8" w:type="dxa"/>
            <w:left w:w="108" w:type="dxa"/>
            <w:bottom w:w="0" w:type="dxa"/>
            <w:right w:w="115" w:type="dxa"/>
          </w:tblCellMar>
        </w:tblPrEx>
        <w:trPr>
          <w:trHeight w:val="467" w:hRule="atLeast"/>
        </w:trPr>
        <w:tc>
          <w:tcPr>
            <w:tcW w:w="3544" w:type="dxa"/>
            <w:tcBorders>
              <w:top w:val="single" w:color="000000" w:sz="4" w:space="0"/>
              <w:left w:val="single" w:color="000000" w:sz="4" w:space="0"/>
              <w:bottom w:val="single" w:color="000000" w:sz="4" w:space="0"/>
              <w:right w:val="single" w:color="000000" w:sz="4" w:space="0"/>
            </w:tcBorders>
          </w:tcPr>
          <w:p w14:paraId="73729B76">
            <w:pPr>
              <w:keepNext/>
              <w:keepLines/>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969" w:type="dxa"/>
            <w:tcBorders>
              <w:top w:val="single" w:color="000000" w:sz="4" w:space="0"/>
              <w:left w:val="single" w:color="000000" w:sz="4" w:space="0"/>
              <w:bottom w:val="single" w:color="000000" w:sz="4" w:space="0"/>
              <w:right w:val="single" w:color="000000" w:sz="4" w:space="0"/>
            </w:tcBorders>
          </w:tcPr>
          <w:p w14:paraId="0EC2ED37">
            <w:pPr>
              <w:keepNext/>
              <w:keepLines/>
              <w:widowControl w:val="0"/>
              <w:tabs>
                <w:tab w:val="left" w:pos="709"/>
              </w:tabs>
              <w:autoSpaceDE w:val="0"/>
              <w:autoSpaceDN w:val="0"/>
              <w:spacing w:before="100" w:beforeAutospacing="1" w:after="100" w:afterAutospacing="1" w:line="240" w:lineRule="auto"/>
              <w:jc w:val="both"/>
              <w:rPr>
                <w:rFonts w:eastAsia="Calibri" w:cs="Calibri"/>
                <w:b/>
                <w:lang w:bidi="en-US"/>
              </w:rPr>
            </w:pPr>
            <w:r>
              <w:rPr>
                <w:rFonts w:eastAsia="Arial" w:cs="Arial"/>
                <w:b/>
                <w:lang w:bidi="en-US"/>
              </w:rPr>
              <w:t xml:space="preserve">Very High </w:t>
            </w:r>
          </w:p>
        </w:tc>
        <w:tc>
          <w:tcPr>
            <w:tcW w:w="1196" w:type="dxa"/>
            <w:tcBorders>
              <w:top w:val="single" w:color="000000" w:sz="4" w:space="0"/>
              <w:left w:val="single" w:color="000000" w:sz="4" w:space="0"/>
              <w:bottom w:val="single" w:color="000000" w:sz="4" w:space="0"/>
              <w:right w:val="single" w:color="000000" w:sz="4" w:space="0"/>
            </w:tcBorders>
            <w:shd w:val="clear" w:color="auto" w:fill="FF0000"/>
          </w:tcPr>
          <w:p w14:paraId="67130775">
            <w:pPr>
              <w:keepNext/>
              <w:keepLines/>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32</w:t>
            </w:r>
          </w:p>
        </w:tc>
      </w:tr>
    </w:tbl>
    <w:p w14:paraId="2DCA981D">
      <w:pPr>
        <w:widowControl w:val="0"/>
        <w:tabs>
          <w:tab w:val="left" w:pos="709"/>
        </w:tabs>
        <w:autoSpaceDE w:val="0"/>
        <w:autoSpaceDN w:val="0"/>
        <w:spacing w:before="100" w:beforeAutospacing="1" w:after="100" w:afterAutospacing="1" w:line="240" w:lineRule="auto"/>
        <w:ind w:left="709"/>
        <w:jc w:val="both"/>
        <w:rPr>
          <w:b/>
        </w:rPr>
      </w:pPr>
      <w:r>
        <w:rPr>
          <w:b/>
        </w:rPr>
        <w:t>Mitigation measures</w:t>
      </w:r>
    </w:p>
    <w:p w14:paraId="26FF220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Establish a maintenance schedule to remove debris and organic matter from ponds, along with a monitoring program for mosquito populations.</w:t>
      </w:r>
    </w:p>
    <w:p w14:paraId="319038B9">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Incorporate aeration systems in water retention ponds and introduce natural predators (e.g., fish) to control mosquito larvae. Use constructed wetlands for biological control.</w:t>
      </w:r>
    </w:p>
    <w:p w14:paraId="2A3D7C8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Manage swampy areas with vegetation that repels mosquitoes and ensure drying beds are designed to prevent standing water.</w:t>
      </w:r>
    </w:p>
    <w:p w14:paraId="5E3473A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Educate local communities on mosquito control and involve stakeholders in monitoring efforts.</w:t>
      </w:r>
    </w:p>
    <w:p w14:paraId="0A3F6AB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Develop an IPM plan, considering biological, physical, and environmentally safe chemical controls, including the use of larvicides if necessary.</w:t>
      </w:r>
    </w:p>
    <w:p w14:paraId="6CD0A07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mosquito-repelling plants in landscaping and ensure proper drainage to prevent stagnant water accumulation.</w:t>
      </w:r>
    </w:p>
    <w:p w14:paraId="60897443">
      <w:pPr>
        <w:tabs>
          <w:tab w:val="left" w:pos="709"/>
        </w:tabs>
        <w:spacing w:before="100" w:beforeAutospacing="1" w:after="100" w:afterAutospacing="1"/>
        <w:ind w:left="709"/>
        <w:jc w:val="both"/>
        <w:rPr>
          <w:b/>
          <w:highlight w:val="yellow"/>
        </w:rPr>
      </w:pPr>
    </w:p>
    <w:p w14:paraId="35016129">
      <w:pPr>
        <w:tabs>
          <w:tab w:val="left" w:pos="709"/>
        </w:tabs>
        <w:spacing w:before="100" w:beforeAutospacing="1" w:after="100" w:afterAutospacing="1"/>
        <w:ind w:left="709"/>
        <w:jc w:val="both"/>
        <w:rPr>
          <w:b/>
        </w:rPr>
      </w:pPr>
      <w:r>
        <w:rPr>
          <w:b/>
        </w:rPr>
        <w:t>Spill of septage during transportation to the FSTP (</w:t>
      </w:r>
      <w:r>
        <w:rPr>
          <w:b/>
          <w:i/>
        </w:rPr>
        <w:t>Low medium</w:t>
      </w:r>
      <w:r>
        <w:rPr>
          <w:b/>
        </w:rPr>
        <w:t>)</w:t>
      </w:r>
    </w:p>
    <w:p w14:paraId="0847AC48">
      <w:pPr>
        <w:tabs>
          <w:tab w:val="left" w:pos="709"/>
        </w:tabs>
        <w:spacing w:before="100" w:beforeAutospacing="1" w:after="100" w:afterAutospacing="1"/>
        <w:ind w:left="709"/>
        <w:jc w:val="both"/>
      </w:pPr>
      <w:r>
        <w:t>Spills of septage during transportation to a Faecal Sludge Treatment Plant (FSTP) can occur due to a variety of reasons such as;</w:t>
      </w:r>
    </w:p>
    <w:p w14:paraId="6F78B10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Cracks, holes, or weak seals in the exhauster tanks can cause leaks, especially if the tank is old or poorly maintained.</w:t>
      </w:r>
    </w:p>
    <w:p w14:paraId="1306A0C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Valves or hoses used for loading, unloading, or transferring septage can fail if they are worn out, improperly secured, or damaged.</w:t>
      </w:r>
    </w:p>
    <w:p w14:paraId="49E615E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Malfunctioning pumps used for moving septage into or out of the tank can cause overflows or leaks.</w:t>
      </w:r>
    </w:p>
    <w:p w14:paraId="1348528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Filling the tank beyond its capacity can cause septage to spill out of vents or overflow during transport.</w:t>
      </w:r>
    </w:p>
    <w:p w14:paraId="5892A81C">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Failure to monitor the loading process can result in overfilling and subsequent spills.</w:t>
      </w:r>
    </w:p>
    <w:p w14:paraId="5C9D379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Driving on bumpy, uneven, or poorly maintained roads can cause the tank to jostle, leading to leaks or spills.</w:t>
      </w:r>
    </w:p>
    <w:p w14:paraId="635C038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Extreme temperature fluctuations can cause materials to expand or contract, potentially leading to leaks or equipment failure.</w:t>
      </w:r>
    </w:p>
    <w:p w14:paraId="057A9A19">
      <w:pPr>
        <w:widowControl w:val="0"/>
        <w:tabs>
          <w:tab w:val="left" w:pos="709"/>
        </w:tabs>
        <w:autoSpaceDE w:val="0"/>
        <w:autoSpaceDN w:val="0"/>
        <w:spacing w:before="100" w:beforeAutospacing="1" w:after="100" w:afterAutospacing="1" w:line="240" w:lineRule="auto"/>
        <w:ind w:left="1418"/>
        <w:contextualSpacing/>
        <w:jc w:val="both"/>
        <w:rPr>
          <w:rFonts w:eastAsia="Calibri" w:cs="Calibri"/>
          <w:lang w:bidi="en-US"/>
        </w:rPr>
      </w:pPr>
    </w:p>
    <w:tbl>
      <w:tblPr>
        <w:tblStyle w:val="258"/>
        <w:tblW w:w="8142" w:type="dxa"/>
        <w:tblInd w:w="1271" w:type="dxa"/>
        <w:tblLayout w:type="autofit"/>
        <w:tblCellMar>
          <w:top w:w="8" w:type="dxa"/>
          <w:left w:w="108" w:type="dxa"/>
          <w:bottom w:w="0" w:type="dxa"/>
          <w:right w:w="115" w:type="dxa"/>
        </w:tblCellMar>
      </w:tblPr>
      <w:tblGrid>
        <w:gridCol w:w="3544"/>
        <w:gridCol w:w="3807"/>
        <w:gridCol w:w="791"/>
      </w:tblGrid>
      <w:tr w14:paraId="7726BDF3">
        <w:tblPrEx>
          <w:tblCellMar>
            <w:top w:w="8" w:type="dxa"/>
            <w:left w:w="108" w:type="dxa"/>
            <w:bottom w:w="0" w:type="dxa"/>
            <w:right w:w="115" w:type="dxa"/>
          </w:tblCellMar>
        </w:tblPrEx>
        <w:trPr>
          <w:trHeight w:val="240" w:hRule="atLeast"/>
          <w:tblHeader/>
        </w:trPr>
        <w:tc>
          <w:tcPr>
            <w:tcW w:w="3544" w:type="dxa"/>
            <w:tcBorders>
              <w:top w:val="single" w:color="000000" w:sz="4" w:space="0"/>
              <w:left w:val="single" w:color="000000" w:sz="4" w:space="0"/>
              <w:bottom w:val="single" w:color="000000" w:sz="4" w:space="0"/>
              <w:right w:val="nil"/>
            </w:tcBorders>
          </w:tcPr>
          <w:p w14:paraId="7D26349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807" w:type="dxa"/>
            <w:tcBorders>
              <w:top w:val="single" w:color="000000" w:sz="4" w:space="0"/>
              <w:left w:val="nil"/>
              <w:bottom w:val="single" w:color="000000" w:sz="4" w:space="0"/>
              <w:right w:val="single" w:color="000000" w:sz="4" w:space="0"/>
            </w:tcBorders>
          </w:tcPr>
          <w:p w14:paraId="3DBC22AD">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791" w:type="dxa"/>
            <w:tcBorders>
              <w:top w:val="single" w:color="000000" w:sz="4" w:space="0"/>
              <w:left w:val="single" w:color="000000" w:sz="4" w:space="0"/>
              <w:bottom w:val="single" w:color="000000" w:sz="4" w:space="0"/>
              <w:right w:val="single" w:color="000000" w:sz="4" w:space="0"/>
            </w:tcBorders>
          </w:tcPr>
          <w:p w14:paraId="758B2C13">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b/>
                <w:lang w:bidi="en-US"/>
              </w:rPr>
              <w:t xml:space="preserve">Rating </w:t>
            </w:r>
          </w:p>
        </w:tc>
      </w:tr>
      <w:tr w14:paraId="34613C2B">
        <w:tblPrEx>
          <w:tblCellMar>
            <w:top w:w="8" w:type="dxa"/>
            <w:left w:w="108" w:type="dxa"/>
            <w:bottom w:w="0" w:type="dxa"/>
            <w:right w:w="115" w:type="dxa"/>
          </w:tblCellMar>
        </w:tblPrEx>
        <w:trPr>
          <w:trHeight w:val="142" w:hRule="atLeast"/>
          <w:tblHeader/>
        </w:trPr>
        <w:tc>
          <w:tcPr>
            <w:tcW w:w="3544" w:type="dxa"/>
            <w:vMerge w:val="restart"/>
            <w:tcBorders>
              <w:top w:val="single" w:color="000000" w:sz="4" w:space="0"/>
              <w:left w:val="single" w:color="000000" w:sz="4" w:space="0"/>
              <w:bottom w:val="single" w:color="000000" w:sz="4" w:space="0"/>
              <w:right w:val="single" w:color="000000" w:sz="4" w:space="0"/>
            </w:tcBorders>
          </w:tcPr>
          <w:p w14:paraId="2452069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807" w:type="dxa"/>
            <w:tcBorders>
              <w:top w:val="single" w:color="000000" w:sz="4" w:space="0"/>
              <w:left w:val="single" w:color="000000" w:sz="4" w:space="0"/>
              <w:bottom w:val="single" w:color="000000" w:sz="4" w:space="0"/>
              <w:right w:val="single" w:color="000000" w:sz="4" w:space="0"/>
            </w:tcBorders>
          </w:tcPr>
          <w:p w14:paraId="79D3BDA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91" w:type="dxa"/>
            <w:tcBorders>
              <w:top w:val="single" w:color="000000" w:sz="4" w:space="0"/>
              <w:left w:val="single" w:color="000000" w:sz="4" w:space="0"/>
              <w:bottom w:val="single" w:color="000000" w:sz="4" w:space="0"/>
              <w:right w:val="single" w:color="000000" w:sz="4" w:space="0"/>
            </w:tcBorders>
          </w:tcPr>
          <w:p w14:paraId="4B206220">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2</w:t>
            </w:r>
          </w:p>
        </w:tc>
      </w:tr>
      <w:tr w14:paraId="32FCFB9E">
        <w:tblPrEx>
          <w:tblCellMar>
            <w:top w:w="8" w:type="dxa"/>
            <w:left w:w="108" w:type="dxa"/>
            <w:bottom w:w="0" w:type="dxa"/>
            <w:right w:w="115" w:type="dxa"/>
          </w:tblCellMar>
        </w:tblPrEx>
        <w:trPr>
          <w:trHeight w:val="288" w:hRule="atLeast"/>
          <w:tblHeader/>
        </w:trPr>
        <w:tc>
          <w:tcPr>
            <w:tcW w:w="3544" w:type="dxa"/>
            <w:vMerge w:val="continue"/>
            <w:tcBorders>
              <w:top w:val="nil"/>
              <w:left w:val="single" w:color="000000" w:sz="4" w:space="0"/>
              <w:bottom w:val="nil"/>
              <w:right w:val="single" w:color="000000" w:sz="4" w:space="0"/>
            </w:tcBorders>
          </w:tcPr>
          <w:p w14:paraId="114E0F99">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807" w:type="dxa"/>
            <w:tcBorders>
              <w:top w:val="single" w:color="000000" w:sz="4" w:space="0"/>
              <w:left w:val="single" w:color="000000" w:sz="4" w:space="0"/>
              <w:bottom w:val="single" w:color="000000" w:sz="4" w:space="0"/>
              <w:right w:val="single" w:color="000000" w:sz="4" w:space="0"/>
            </w:tcBorders>
          </w:tcPr>
          <w:p w14:paraId="7AB9091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91" w:type="dxa"/>
            <w:tcBorders>
              <w:top w:val="single" w:color="000000" w:sz="4" w:space="0"/>
              <w:left w:val="single" w:color="000000" w:sz="4" w:space="0"/>
              <w:bottom w:val="single" w:color="000000" w:sz="4" w:space="0"/>
              <w:right w:val="single" w:color="000000" w:sz="4" w:space="0"/>
            </w:tcBorders>
          </w:tcPr>
          <w:p w14:paraId="279FA801">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1</w:t>
            </w:r>
          </w:p>
        </w:tc>
      </w:tr>
      <w:tr w14:paraId="36279729">
        <w:tblPrEx>
          <w:tblCellMar>
            <w:top w:w="8" w:type="dxa"/>
            <w:left w:w="108" w:type="dxa"/>
            <w:bottom w:w="0" w:type="dxa"/>
            <w:right w:w="115" w:type="dxa"/>
          </w:tblCellMar>
        </w:tblPrEx>
        <w:trPr>
          <w:trHeight w:val="240" w:hRule="atLeast"/>
          <w:tblHeader/>
        </w:trPr>
        <w:tc>
          <w:tcPr>
            <w:tcW w:w="3544" w:type="dxa"/>
            <w:vMerge w:val="continue"/>
            <w:tcBorders>
              <w:top w:val="nil"/>
              <w:left w:val="single" w:color="000000" w:sz="4" w:space="0"/>
              <w:bottom w:val="single" w:color="000000" w:sz="4" w:space="0"/>
              <w:right w:val="single" w:color="000000" w:sz="4" w:space="0"/>
            </w:tcBorders>
          </w:tcPr>
          <w:p w14:paraId="2E4D9A4A">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807" w:type="dxa"/>
            <w:tcBorders>
              <w:top w:val="single" w:color="000000" w:sz="4" w:space="0"/>
              <w:left w:val="single" w:color="000000" w:sz="4" w:space="0"/>
              <w:bottom w:val="single" w:color="000000" w:sz="4" w:space="0"/>
              <w:right w:val="single" w:color="000000" w:sz="4" w:space="0"/>
            </w:tcBorders>
          </w:tcPr>
          <w:p w14:paraId="7224E41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91" w:type="dxa"/>
            <w:tcBorders>
              <w:top w:val="single" w:color="000000" w:sz="4" w:space="0"/>
              <w:left w:val="single" w:color="000000" w:sz="4" w:space="0"/>
              <w:bottom w:val="single" w:color="000000" w:sz="4" w:space="0"/>
              <w:right w:val="single" w:color="000000" w:sz="4" w:space="0"/>
            </w:tcBorders>
          </w:tcPr>
          <w:p w14:paraId="0C4E628E">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Calibri" w:cs="Calibri"/>
                <w:lang w:bidi="en-US"/>
              </w:rPr>
              <w:t>1</w:t>
            </w:r>
          </w:p>
        </w:tc>
      </w:tr>
      <w:tr w14:paraId="2735FF18">
        <w:tblPrEx>
          <w:tblCellMar>
            <w:top w:w="8" w:type="dxa"/>
            <w:left w:w="108" w:type="dxa"/>
            <w:bottom w:w="0" w:type="dxa"/>
            <w:right w:w="115" w:type="dxa"/>
          </w:tblCellMar>
        </w:tblPrEx>
        <w:trPr>
          <w:trHeight w:val="240" w:hRule="atLeast"/>
          <w:tblHeader/>
        </w:trPr>
        <w:tc>
          <w:tcPr>
            <w:tcW w:w="3544" w:type="dxa"/>
            <w:vMerge w:val="restart"/>
            <w:tcBorders>
              <w:top w:val="single" w:color="000000" w:sz="4" w:space="0"/>
              <w:left w:val="single" w:color="000000" w:sz="4" w:space="0"/>
              <w:bottom w:val="single" w:color="000000" w:sz="4" w:space="0"/>
              <w:right w:val="single" w:color="000000" w:sz="4" w:space="0"/>
            </w:tcBorders>
          </w:tcPr>
          <w:p w14:paraId="27DED4D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807" w:type="dxa"/>
            <w:tcBorders>
              <w:top w:val="single" w:color="000000" w:sz="4" w:space="0"/>
              <w:left w:val="single" w:color="000000" w:sz="4" w:space="0"/>
              <w:bottom w:val="single" w:color="000000" w:sz="4" w:space="0"/>
              <w:right w:val="single" w:color="000000" w:sz="4" w:space="0"/>
            </w:tcBorders>
          </w:tcPr>
          <w:p w14:paraId="2A98FB6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91" w:type="dxa"/>
            <w:tcBorders>
              <w:top w:val="single" w:color="000000" w:sz="4" w:space="0"/>
              <w:left w:val="single" w:color="000000" w:sz="4" w:space="0"/>
              <w:bottom w:val="single" w:color="000000" w:sz="4" w:space="0"/>
              <w:right w:val="single" w:color="000000" w:sz="4" w:space="0"/>
            </w:tcBorders>
          </w:tcPr>
          <w:p w14:paraId="49F06A97">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2</w:t>
            </w:r>
          </w:p>
        </w:tc>
      </w:tr>
      <w:tr w14:paraId="4F6E25D3">
        <w:tblPrEx>
          <w:tblCellMar>
            <w:top w:w="8" w:type="dxa"/>
            <w:left w:w="108" w:type="dxa"/>
            <w:bottom w:w="0" w:type="dxa"/>
            <w:right w:w="115" w:type="dxa"/>
          </w:tblCellMar>
        </w:tblPrEx>
        <w:trPr>
          <w:trHeight w:val="241" w:hRule="atLeast"/>
          <w:tblHeader/>
        </w:trPr>
        <w:tc>
          <w:tcPr>
            <w:tcW w:w="3544" w:type="dxa"/>
            <w:vMerge w:val="continue"/>
            <w:tcBorders>
              <w:top w:val="nil"/>
              <w:left w:val="single" w:color="000000" w:sz="4" w:space="0"/>
              <w:bottom w:val="single" w:color="000000" w:sz="4" w:space="0"/>
              <w:right w:val="single" w:color="000000" w:sz="4" w:space="0"/>
            </w:tcBorders>
          </w:tcPr>
          <w:p w14:paraId="5D880632">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807" w:type="dxa"/>
            <w:tcBorders>
              <w:top w:val="single" w:color="000000" w:sz="4" w:space="0"/>
              <w:left w:val="single" w:color="000000" w:sz="4" w:space="0"/>
              <w:bottom w:val="single" w:color="000000" w:sz="4" w:space="0"/>
              <w:right w:val="single" w:color="000000" w:sz="4" w:space="0"/>
            </w:tcBorders>
          </w:tcPr>
          <w:p w14:paraId="46629B22">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91" w:type="dxa"/>
            <w:tcBorders>
              <w:top w:val="single" w:color="000000" w:sz="4" w:space="0"/>
              <w:left w:val="single" w:color="000000" w:sz="4" w:space="0"/>
              <w:bottom w:val="single" w:color="000000" w:sz="4" w:space="0"/>
              <w:right w:val="single" w:color="000000" w:sz="4" w:space="0"/>
            </w:tcBorders>
          </w:tcPr>
          <w:p w14:paraId="4FE64191">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2</w:t>
            </w:r>
          </w:p>
        </w:tc>
      </w:tr>
      <w:tr w14:paraId="17B399E7">
        <w:tblPrEx>
          <w:tblCellMar>
            <w:top w:w="8" w:type="dxa"/>
            <w:left w:w="108" w:type="dxa"/>
            <w:bottom w:w="0" w:type="dxa"/>
            <w:right w:w="115" w:type="dxa"/>
          </w:tblCellMar>
        </w:tblPrEx>
        <w:trPr>
          <w:trHeight w:val="467" w:hRule="atLeast"/>
          <w:tblHeader/>
        </w:trPr>
        <w:tc>
          <w:tcPr>
            <w:tcW w:w="3544" w:type="dxa"/>
            <w:tcBorders>
              <w:top w:val="single" w:color="000000" w:sz="4" w:space="0"/>
              <w:left w:val="single" w:color="000000" w:sz="4" w:space="0"/>
              <w:bottom w:val="single" w:color="000000" w:sz="4" w:space="0"/>
              <w:right w:val="single" w:color="000000" w:sz="4" w:space="0"/>
            </w:tcBorders>
          </w:tcPr>
          <w:p w14:paraId="4FADFAC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807" w:type="dxa"/>
            <w:tcBorders>
              <w:top w:val="single" w:color="000000" w:sz="4" w:space="0"/>
              <w:left w:val="single" w:color="000000" w:sz="4" w:space="0"/>
              <w:bottom w:val="single" w:color="000000" w:sz="4" w:space="0"/>
              <w:right w:val="single" w:color="000000" w:sz="4" w:space="0"/>
            </w:tcBorders>
          </w:tcPr>
          <w:p w14:paraId="607B5A92">
            <w:pPr>
              <w:widowControl w:val="0"/>
              <w:tabs>
                <w:tab w:val="left" w:pos="709"/>
              </w:tabs>
              <w:autoSpaceDE w:val="0"/>
              <w:autoSpaceDN w:val="0"/>
              <w:spacing w:before="100" w:beforeAutospacing="1" w:after="100" w:afterAutospacing="1" w:line="240" w:lineRule="auto"/>
              <w:jc w:val="both"/>
              <w:rPr>
                <w:rFonts w:eastAsia="Calibri" w:cs="Calibri"/>
                <w:b/>
                <w:lang w:bidi="en-US"/>
              </w:rPr>
            </w:pPr>
            <w:r>
              <w:rPr>
                <w:rFonts w:eastAsia="Arial" w:cs="Arial"/>
                <w:b/>
                <w:lang w:bidi="en-US"/>
              </w:rPr>
              <w:t xml:space="preserve">Very High </w:t>
            </w:r>
          </w:p>
        </w:tc>
        <w:tc>
          <w:tcPr>
            <w:tcW w:w="791" w:type="dxa"/>
            <w:tcBorders>
              <w:top w:val="single" w:color="000000" w:sz="4" w:space="0"/>
              <w:left w:val="single" w:color="000000" w:sz="4" w:space="0"/>
              <w:bottom w:val="single" w:color="000000" w:sz="4" w:space="0"/>
              <w:right w:val="single" w:color="000000" w:sz="4" w:space="0"/>
            </w:tcBorders>
            <w:shd w:val="clear" w:color="auto" w:fill="92D050"/>
          </w:tcPr>
          <w:p w14:paraId="774E738B">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16</w:t>
            </w:r>
          </w:p>
        </w:tc>
      </w:tr>
    </w:tbl>
    <w:p w14:paraId="5CAFCEC3">
      <w:pPr>
        <w:tabs>
          <w:tab w:val="left" w:pos="709"/>
        </w:tabs>
        <w:spacing w:before="100" w:beforeAutospacing="1" w:after="100" w:afterAutospacing="1"/>
        <w:ind w:left="709"/>
        <w:jc w:val="both"/>
        <w:rPr>
          <w:i/>
        </w:rPr>
      </w:pPr>
      <w:r>
        <w:rPr>
          <w:i/>
        </w:rPr>
        <w:t>Mitigation measures</w:t>
      </w:r>
    </w:p>
    <w:p w14:paraId="11B9403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Ensure that all vehicles used for transporting septage are regularly inspected for leaks, wear and tear, and proper sealing.</w:t>
      </w:r>
    </w:p>
    <w:p w14:paraId="434133C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tanks with tight, secure seals to prevent spills during transit. Inspect seals frequently to ensure they are in good condition.</w:t>
      </w:r>
    </w:p>
    <w:p w14:paraId="2F5D10B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Equip vehicles with secondary containment systems like drip trays or double-walled tanks to catch any leaks or spills.</w:t>
      </w:r>
    </w:p>
    <w:p w14:paraId="2126387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Provide each vehicle with an emergency spill kit that includes absorbent materials, containment booms, and personal protective equipment (PPE).</w:t>
      </w:r>
    </w:p>
    <w:p w14:paraId="4E08C85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Train drivers on safe handling, transportation practices, and spill response procedures.</w:t>
      </w:r>
    </w:p>
    <w:p w14:paraId="5B5CCB0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strict speed limits and plan routes to avoid rough roads or sharp turns that could cause spills.</w:t>
      </w:r>
    </w:p>
    <w:p w14:paraId="6436FEB8">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Ensure that septage is loaded properly and that tanks are not overfilled. Use secure connections when loading and unloading to prevent spills.</w:t>
      </w:r>
    </w:p>
    <w:p w14:paraId="38374D0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Perform loading and unloading in designated, well-contained areas with spill containment systems.</w:t>
      </w:r>
    </w:p>
    <w:p w14:paraId="32FF9FF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Inform the community about transportation routes and safety measures in place to handle spills.</w:t>
      </w:r>
    </w:p>
    <w:p w14:paraId="346969A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Provide the community with emergency contact information in case they witness a spill or related incident.</w:t>
      </w:r>
    </w:p>
    <w:p w14:paraId="5A94C65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Where possible, improve transportation routes to the FSTP to reduce the likelihood of accidents leading to spills.</w:t>
      </w:r>
    </w:p>
    <w:p w14:paraId="0980CA20">
      <w:pPr>
        <w:widowControl w:val="0"/>
        <w:tabs>
          <w:tab w:val="left" w:pos="709"/>
        </w:tabs>
        <w:autoSpaceDE w:val="0"/>
        <w:autoSpaceDN w:val="0"/>
        <w:spacing w:before="100" w:beforeAutospacing="1" w:after="100" w:afterAutospacing="1" w:line="240" w:lineRule="auto"/>
        <w:ind w:left="709"/>
        <w:jc w:val="both"/>
        <w:rPr>
          <w:rFonts w:eastAsia="Times New Roman" w:cs="Times New Roman"/>
          <w:b/>
          <w:lang w:bidi="en-US"/>
        </w:rPr>
      </w:pPr>
      <w:r>
        <w:rPr>
          <w:rFonts w:eastAsia="Calibri" w:cs="Calibri"/>
          <w:b/>
          <w:bCs/>
          <w:lang w:bidi="en-US"/>
        </w:rPr>
        <w:t xml:space="preserve">Occupational Health and Safety Risks </w:t>
      </w:r>
      <w:r>
        <w:rPr>
          <w:rFonts w:eastAsia="Calibri" w:cs="Calibri"/>
          <w:b/>
          <w:i/>
          <w:lang w:bidi="en-US"/>
        </w:rPr>
        <w:t>(Low Medium)</w:t>
      </w:r>
    </w:p>
    <w:p w14:paraId="5435EB86">
      <w:pPr>
        <w:tabs>
          <w:tab w:val="left" w:pos="709"/>
        </w:tabs>
        <w:spacing w:before="100" w:beforeAutospacing="1" w:after="100" w:afterAutospacing="1" w:line="240" w:lineRule="auto"/>
        <w:ind w:left="709"/>
        <w:jc w:val="both"/>
      </w:pPr>
      <w:r>
        <w:rPr>
          <w:rFonts w:eastAsia="Calibri" w:cs="Times New Roman"/>
          <w:bCs/>
          <w:lang w:bidi="en-US"/>
        </w:rPr>
        <w:t>Workers handling untreated faecal sludge are at risk of exposure to harmful pathogens, including bacteria, viruses, and parasites. Direct contact with sludge during loading, unloading, or processing can lead to infections or illnesses.</w:t>
      </w:r>
      <w:r>
        <w:t xml:space="preserve"> Operations such as pumping, agitation, or drying of sludge can release aerosolized particles, which workers might inhale, leading to respiratory infections or other health issues. Workers may be exposed to chemicals used in the treatment process, such as lime or disinfectants, which can cause skin irritation, respiratory problems, or chemical burns if not handled properly. Gases like hydrogen sulfide (H</w:t>
      </w:r>
      <w:r>
        <w:rPr>
          <w:rFonts w:ascii="Cambria Math" w:hAnsi="Cambria Math" w:cs="Cambria Math"/>
        </w:rPr>
        <w:t>₂</w:t>
      </w:r>
      <w:r>
        <w:t>S) or methane, produced during the anaerobic digestion of sludge, can pose inhalation risks. These gases are toxic in high concentrations and can lead to dizziness, respiratory distress, or in severe cases, unconsciousness.</w:t>
      </w:r>
    </w:p>
    <w:p w14:paraId="5D3E7708">
      <w:pPr>
        <w:tabs>
          <w:tab w:val="left" w:pos="709"/>
        </w:tabs>
        <w:spacing w:before="100" w:beforeAutospacing="1" w:after="100" w:afterAutospacing="1" w:line="240" w:lineRule="auto"/>
        <w:ind w:left="709"/>
        <w:jc w:val="both"/>
      </w:pPr>
      <w:r>
        <w:t>Workers involved in the manual handling of sludge, equipment, or other heavy materials may be at risk of musculoskeletal injuries, such as strains or sprains, particularly if proper lifting techniques are not followed. Repetitive tasks, such as operating machinery or performing maintenance, can lead to repetitive strain injuries over time. The presence of water, sludge, or other liquids on floors can create slippery surfaces, increasing the risk of slips, trips, and falls, which could result in injuries ranging from minor bruises to fractures. Workers entering confined spaces like sludge tanks, pits, or sumps for cleaning or maintenance may face risks such as oxygen deficiency, toxic gas exposure, or entrapment. Confined spaces can also be challenging to evacuate in an emergency. Continuous operation of pumps, blowers, or other machinery can generate significant noise levels, potentially leading to hearing loss or stress if workers are exposed over long periods without proper hearing protection.</w:t>
      </w:r>
    </w:p>
    <w:p w14:paraId="2CD6D171">
      <w:pPr>
        <w:tabs>
          <w:tab w:val="left" w:pos="709"/>
        </w:tabs>
        <w:spacing w:before="100" w:beforeAutospacing="1" w:after="100" w:afterAutospacing="1" w:line="240" w:lineRule="auto"/>
        <w:ind w:left="709"/>
        <w:jc w:val="both"/>
      </w:pPr>
      <w:r>
        <w:t>FSTPs can attract insects (e.g., flies, mosquitoes) and rodents, which can bite or spread diseases to workers. Exposure to mosquitoes and other vectors in or around the FSTP may increase the risk of diseases like malaria or dengue fever.</w:t>
      </w:r>
    </w:p>
    <w:tbl>
      <w:tblPr>
        <w:tblStyle w:val="258"/>
        <w:tblW w:w="8709" w:type="dxa"/>
        <w:tblInd w:w="704" w:type="dxa"/>
        <w:tblLayout w:type="autofit"/>
        <w:tblCellMar>
          <w:top w:w="8" w:type="dxa"/>
          <w:left w:w="108" w:type="dxa"/>
          <w:bottom w:w="0" w:type="dxa"/>
          <w:right w:w="115" w:type="dxa"/>
        </w:tblCellMar>
      </w:tblPr>
      <w:tblGrid>
        <w:gridCol w:w="4253"/>
        <w:gridCol w:w="3665"/>
        <w:gridCol w:w="791"/>
      </w:tblGrid>
      <w:tr w14:paraId="6743B6CD">
        <w:tblPrEx>
          <w:tblCellMar>
            <w:top w:w="8" w:type="dxa"/>
            <w:left w:w="108" w:type="dxa"/>
            <w:bottom w:w="0" w:type="dxa"/>
            <w:right w:w="115" w:type="dxa"/>
          </w:tblCellMar>
        </w:tblPrEx>
        <w:trPr>
          <w:trHeight w:val="240" w:hRule="atLeast"/>
        </w:trPr>
        <w:tc>
          <w:tcPr>
            <w:tcW w:w="4253" w:type="dxa"/>
            <w:tcBorders>
              <w:top w:val="single" w:color="000000" w:sz="4" w:space="0"/>
              <w:left w:val="single" w:color="000000" w:sz="4" w:space="0"/>
              <w:bottom w:val="single" w:color="000000" w:sz="4" w:space="0"/>
              <w:right w:val="nil"/>
            </w:tcBorders>
          </w:tcPr>
          <w:p w14:paraId="482DAF2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65" w:type="dxa"/>
            <w:tcBorders>
              <w:top w:val="single" w:color="000000" w:sz="4" w:space="0"/>
              <w:left w:val="nil"/>
              <w:bottom w:val="single" w:color="000000" w:sz="4" w:space="0"/>
              <w:right w:val="single" w:color="000000" w:sz="4" w:space="0"/>
            </w:tcBorders>
          </w:tcPr>
          <w:p w14:paraId="1BA50924">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791" w:type="dxa"/>
            <w:tcBorders>
              <w:top w:val="single" w:color="000000" w:sz="4" w:space="0"/>
              <w:left w:val="single" w:color="000000" w:sz="4" w:space="0"/>
              <w:bottom w:val="single" w:color="000000" w:sz="4" w:space="0"/>
              <w:right w:val="single" w:color="000000" w:sz="4" w:space="0"/>
            </w:tcBorders>
          </w:tcPr>
          <w:p w14:paraId="255C76BB">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b/>
                <w:lang w:bidi="en-US"/>
              </w:rPr>
              <w:t xml:space="preserve">Rating </w:t>
            </w:r>
          </w:p>
        </w:tc>
      </w:tr>
      <w:tr w14:paraId="734EAA07">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2BC8D2A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65" w:type="dxa"/>
            <w:tcBorders>
              <w:top w:val="single" w:color="000000" w:sz="4" w:space="0"/>
              <w:left w:val="single" w:color="000000" w:sz="4" w:space="0"/>
              <w:bottom w:val="single" w:color="000000" w:sz="4" w:space="0"/>
              <w:right w:val="single" w:color="000000" w:sz="4" w:space="0"/>
            </w:tcBorders>
          </w:tcPr>
          <w:p w14:paraId="5245438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91" w:type="dxa"/>
            <w:tcBorders>
              <w:top w:val="single" w:color="000000" w:sz="4" w:space="0"/>
              <w:left w:val="single" w:color="000000" w:sz="4" w:space="0"/>
              <w:bottom w:val="single" w:color="000000" w:sz="4" w:space="0"/>
              <w:right w:val="single" w:color="000000" w:sz="4" w:space="0"/>
            </w:tcBorders>
          </w:tcPr>
          <w:p w14:paraId="463B7D9C">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 xml:space="preserve">2 </w:t>
            </w:r>
          </w:p>
        </w:tc>
      </w:tr>
      <w:tr w14:paraId="10211CA5">
        <w:tblPrEx>
          <w:tblCellMar>
            <w:top w:w="8" w:type="dxa"/>
            <w:left w:w="108" w:type="dxa"/>
            <w:bottom w:w="0" w:type="dxa"/>
            <w:right w:w="115" w:type="dxa"/>
          </w:tblCellMar>
        </w:tblPrEx>
        <w:trPr>
          <w:trHeight w:val="265" w:hRule="atLeast"/>
        </w:trPr>
        <w:tc>
          <w:tcPr>
            <w:tcW w:w="4253" w:type="dxa"/>
            <w:vMerge w:val="continue"/>
            <w:tcBorders>
              <w:top w:val="nil"/>
              <w:left w:val="single" w:color="000000" w:sz="4" w:space="0"/>
              <w:bottom w:val="nil"/>
              <w:right w:val="single" w:color="000000" w:sz="4" w:space="0"/>
            </w:tcBorders>
          </w:tcPr>
          <w:p w14:paraId="2BDDBF03">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65" w:type="dxa"/>
            <w:tcBorders>
              <w:top w:val="single" w:color="000000" w:sz="4" w:space="0"/>
              <w:left w:val="single" w:color="000000" w:sz="4" w:space="0"/>
              <w:bottom w:val="single" w:color="000000" w:sz="4" w:space="0"/>
              <w:right w:val="single" w:color="000000" w:sz="4" w:space="0"/>
            </w:tcBorders>
          </w:tcPr>
          <w:p w14:paraId="74F5A24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91" w:type="dxa"/>
            <w:tcBorders>
              <w:top w:val="single" w:color="000000" w:sz="4" w:space="0"/>
              <w:left w:val="single" w:color="000000" w:sz="4" w:space="0"/>
              <w:bottom w:val="single" w:color="000000" w:sz="4" w:space="0"/>
              <w:right w:val="single" w:color="000000" w:sz="4" w:space="0"/>
            </w:tcBorders>
          </w:tcPr>
          <w:p w14:paraId="0E5FE6AC">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 xml:space="preserve">2 </w:t>
            </w:r>
          </w:p>
        </w:tc>
      </w:tr>
      <w:tr w14:paraId="44A7FA60">
        <w:tblPrEx>
          <w:tblCellMar>
            <w:top w:w="8" w:type="dxa"/>
            <w:left w:w="108" w:type="dxa"/>
            <w:bottom w:w="0" w:type="dxa"/>
            <w:right w:w="115" w:type="dxa"/>
          </w:tblCellMar>
        </w:tblPrEx>
        <w:trPr>
          <w:trHeight w:val="240" w:hRule="atLeast"/>
        </w:trPr>
        <w:tc>
          <w:tcPr>
            <w:tcW w:w="4253" w:type="dxa"/>
            <w:vMerge w:val="continue"/>
            <w:tcBorders>
              <w:top w:val="nil"/>
              <w:left w:val="single" w:color="000000" w:sz="4" w:space="0"/>
              <w:bottom w:val="single" w:color="000000" w:sz="4" w:space="0"/>
              <w:right w:val="single" w:color="000000" w:sz="4" w:space="0"/>
            </w:tcBorders>
          </w:tcPr>
          <w:p w14:paraId="61549658">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65" w:type="dxa"/>
            <w:tcBorders>
              <w:top w:val="single" w:color="000000" w:sz="4" w:space="0"/>
              <w:left w:val="single" w:color="000000" w:sz="4" w:space="0"/>
              <w:bottom w:val="single" w:color="000000" w:sz="4" w:space="0"/>
              <w:right w:val="single" w:color="000000" w:sz="4" w:space="0"/>
            </w:tcBorders>
          </w:tcPr>
          <w:p w14:paraId="051894D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91" w:type="dxa"/>
            <w:tcBorders>
              <w:top w:val="single" w:color="000000" w:sz="4" w:space="0"/>
              <w:left w:val="single" w:color="000000" w:sz="4" w:space="0"/>
              <w:bottom w:val="single" w:color="000000" w:sz="4" w:space="0"/>
              <w:right w:val="single" w:color="000000" w:sz="4" w:space="0"/>
            </w:tcBorders>
          </w:tcPr>
          <w:p w14:paraId="1B130B5F">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 xml:space="preserve">1 </w:t>
            </w:r>
          </w:p>
        </w:tc>
      </w:tr>
      <w:tr w14:paraId="4438F648">
        <w:tblPrEx>
          <w:tblCellMar>
            <w:top w:w="8" w:type="dxa"/>
            <w:left w:w="108" w:type="dxa"/>
            <w:bottom w:w="0" w:type="dxa"/>
            <w:right w:w="11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7B3D1DE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65" w:type="dxa"/>
            <w:tcBorders>
              <w:top w:val="single" w:color="000000" w:sz="4" w:space="0"/>
              <w:left w:val="single" w:color="000000" w:sz="4" w:space="0"/>
              <w:bottom w:val="single" w:color="000000" w:sz="4" w:space="0"/>
              <w:right w:val="single" w:color="000000" w:sz="4" w:space="0"/>
            </w:tcBorders>
          </w:tcPr>
          <w:p w14:paraId="72B1D9E5">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91" w:type="dxa"/>
            <w:tcBorders>
              <w:top w:val="single" w:color="000000" w:sz="4" w:space="0"/>
              <w:left w:val="single" w:color="000000" w:sz="4" w:space="0"/>
              <w:bottom w:val="single" w:color="000000" w:sz="4" w:space="0"/>
              <w:right w:val="single" w:color="000000" w:sz="4" w:space="0"/>
            </w:tcBorders>
          </w:tcPr>
          <w:p w14:paraId="2C012D70">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1</w:t>
            </w:r>
          </w:p>
        </w:tc>
      </w:tr>
      <w:tr w14:paraId="4C721515">
        <w:tblPrEx>
          <w:tblCellMar>
            <w:top w:w="8" w:type="dxa"/>
            <w:left w:w="108" w:type="dxa"/>
            <w:bottom w:w="0" w:type="dxa"/>
            <w:right w:w="115" w:type="dxa"/>
          </w:tblCellMar>
        </w:tblPrEx>
        <w:trPr>
          <w:trHeight w:val="241" w:hRule="atLeast"/>
        </w:trPr>
        <w:tc>
          <w:tcPr>
            <w:tcW w:w="4253" w:type="dxa"/>
            <w:vMerge w:val="continue"/>
            <w:tcBorders>
              <w:top w:val="nil"/>
              <w:left w:val="single" w:color="000000" w:sz="4" w:space="0"/>
              <w:bottom w:val="single" w:color="000000" w:sz="4" w:space="0"/>
              <w:right w:val="single" w:color="000000" w:sz="4" w:space="0"/>
            </w:tcBorders>
          </w:tcPr>
          <w:p w14:paraId="584D04C4">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65" w:type="dxa"/>
            <w:tcBorders>
              <w:top w:val="single" w:color="000000" w:sz="4" w:space="0"/>
              <w:left w:val="single" w:color="000000" w:sz="4" w:space="0"/>
              <w:bottom w:val="single" w:color="000000" w:sz="4" w:space="0"/>
              <w:right w:val="single" w:color="000000" w:sz="4" w:space="0"/>
            </w:tcBorders>
          </w:tcPr>
          <w:p w14:paraId="1DBCC087">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91" w:type="dxa"/>
            <w:tcBorders>
              <w:top w:val="single" w:color="000000" w:sz="4" w:space="0"/>
              <w:left w:val="single" w:color="000000" w:sz="4" w:space="0"/>
              <w:bottom w:val="single" w:color="000000" w:sz="4" w:space="0"/>
              <w:right w:val="single" w:color="000000" w:sz="4" w:space="0"/>
            </w:tcBorders>
          </w:tcPr>
          <w:p w14:paraId="6D32AF0A">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2</w:t>
            </w:r>
          </w:p>
        </w:tc>
      </w:tr>
      <w:tr w14:paraId="0EEF56AF">
        <w:tblPrEx>
          <w:tblCellMar>
            <w:top w:w="8" w:type="dxa"/>
            <w:left w:w="108" w:type="dxa"/>
            <w:bottom w:w="0" w:type="dxa"/>
            <w:right w:w="115" w:type="dxa"/>
          </w:tblCellMar>
        </w:tblPrEx>
        <w:trPr>
          <w:trHeight w:val="467" w:hRule="atLeast"/>
        </w:trPr>
        <w:tc>
          <w:tcPr>
            <w:tcW w:w="4253" w:type="dxa"/>
            <w:tcBorders>
              <w:top w:val="single" w:color="000000" w:sz="4" w:space="0"/>
              <w:left w:val="single" w:color="000000" w:sz="4" w:space="0"/>
              <w:bottom w:val="single" w:color="000000" w:sz="4" w:space="0"/>
              <w:right w:val="single" w:color="000000" w:sz="4" w:space="0"/>
            </w:tcBorders>
          </w:tcPr>
          <w:p w14:paraId="4F9FA99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65" w:type="dxa"/>
            <w:tcBorders>
              <w:top w:val="single" w:color="000000" w:sz="4" w:space="0"/>
              <w:left w:val="single" w:color="000000" w:sz="4" w:space="0"/>
              <w:bottom w:val="single" w:color="000000" w:sz="4" w:space="0"/>
              <w:right w:val="single" w:color="000000" w:sz="4" w:space="0"/>
            </w:tcBorders>
          </w:tcPr>
          <w:p w14:paraId="3B3A9D7D">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Low Medium </w:t>
            </w:r>
          </w:p>
        </w:tc>
        <w:tc>
          <w:tcPr>
            <w:tcW w:w="791" w:type="dxa"/>
            <w:tcBorders>
              <w:top w:val="single" w:color="000000" w:sz="4" w:space="0"/>
              <w:left w:val="single" w:color="000000" w:sz="4" w:space="0"/>
              <w:bottom w:val="single" w:color="000000" w:sz="4" w:space="0"/>
              <w:right w:val="single" w:color="000000" w:sz="4" w:space="0"/>
            </w:tcBorders>
            <w:shd w:val="clear" w:color="auto" w:fill="92D050"/>
          </w:tcPr>
          <w:p w14:paraId="52B899C1">
            <w:pPr>
              <w:widowControl w:val="0"/>
              <w:tabs>
                <w:tab w:val="left" w:pos="709"/>
              </w:tabs>
              <w:autoSpaceDE w:val="0"/>
              <w:autoSpaceDN w:val="0"/>
              <w:spacing w:before="100" w:beforeAutospacing="1" w:after="100" w:afterAutospacing="1" w:line="240" w:lineRule="auto"/>
              <w:ind w:left="6"/>
              <w:jc w:val="both"/>
              <w:rPr>
                <w:rFonts w:eastAsia="Calibri" w:cs="Calibri"/>
                <w:lang w:bidi="en-US"/>
              </w:rPr>
            </w:pPr>
            <w:r>
              <w:rPr>
                <w:rFonts w:eastAsia="Arial" w:cs="Arial"/>
                <w:lang w:bidi="en-US"/>
              </w:rPr>
              <w:t xml:space="preserve">15 </w:t>
            </w:r>
          </w:p>
        </w:tc>
      </w:tr>
    </w:tbl>
    <w:p w14:paraId="0EDD3BB0">
      <w:pPr>
        <w:widowControl w:val="0"/>
        <w:tabs>
          <w:tab w:val="left" w:pos="709"/>
        </w:tabs>
        <w:autoSpaceDE w:val="0"/>
        <w:autoSpaceDN w:val="0"/>
        <w:spacing w:before="100" w:beforeAutospacing="1" w:after="100" w:afterAutospacing="1" w:line="240" w:lineRule="auto"/>
        <w:ind w:left="709"/>
        <w:jc w:val="both"/>
        <w:rPr>
          <w:rFonts w:eastAsia="Times New Roman" w:cs="Times New Roman"/>
          <w:b/>
          <w:lang w:bidi="en-US"/>
        </w:rPr>
      </w:pPr>
      <w:r>
        <w:rPr>
          <w:rFonts w:eastAsia="Calibri" w:cs="Times New Roman"/>
          <w:b/>
          <w:bCs/>
          <w:i/>
          <w:lang w:bidi="en-US"/>
        </w:rPr>
        <w:t>Mitigation measures</w:t>
      </w:r>
    </w:p>
    <w:p w14:paraId="2CB9FB34">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Provide PPE, enforce hygiene practices, and ensure workers are vaccinated against common diseases.</w:t>
      </w:r>
    </w:p>
    <w:p w14:paraId="75E6D7B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Train workers on chemical safety, use gas detection systems, and ensure proper ventilation.</w:t>
      </w:r>
    </w:p>
    <w:p w14:paraId="33EDD7C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mechanical aids, provide ergonomic training, and rotate tasks to prevent repetitive strain injuries.</w:t>
      </w:r>
    </w:p>
    <w:p w14:paraId="467AC5FA">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Install slip-resistant flooring, ensure proper drainage, and maintain clear signage and lighting.</w:t>
      </w:r>
    </w:p>
    <w:p w14:paraId="6F09F0D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Provide specialized training, monitor and ventilate confined spaces, and have rescue plans in place.</w:t>
      </w:r>
    </w:p>
    <w:p w14:paraId="6B6A67D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Provide hearing protection, control noise levels, and conduct regular hearing checks.</w:t>
      </w:r>
    </w:p>
    <w:p w14:paraId="6C1D777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Regularly inspect equipment, use GFCIs, and train workers in electrical safety.</w:t>
      </w:r>
    </w:p>
    <w:p w14:paraId="417C250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Ensure access to hydration, rest breaks, and shaded areas, and schedule demanding tasks during cooler times.</w:t>
      </w:r>
    </w:p>
    <w:p w14:paraId="52A49A69">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pest control, manage waste properly, and provide insect repellent.</w:t>
      </w:r>
    </w:p>
    <w:p w14:paraId="0FC4A27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machine guards, enforce lockout/tag out procedures, and provide safe operating procedures.</w:t>
      </w:r>
    </w:p>
    <w:p w14:paraId="612E242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secondary containment, install emergency showers, and train workers in spill response.</w:t>
      </w:r>
    </w:p>
    <w:p w14:paraId="0C8FB58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Upgrade ventilation systems and regularly monitor air quality.</w:t>
      </w:r>
    </w:p>
    <w:p w14:paraId="1C2D7183">
      <w:pPr>
        <w:tabs>
          <w:tab w:val="left" w:pos="709"/>
        </w:tabs>
        <w:spacing w:before="100" w:beforeAutospacing="1" w:after="100" w:afterAutospacing="1"/>
        <w:ind w:left="709"/>
        <w:rPr>
          <w:b/>
        </w:rPr>
      </w:pPr>
    </w:p>
    <w:p w14:paraId="70AB8567">
      <w:pPr>
        <w:tabs>
          <w:tab w:val="left" w:pos="709"/>
        </w:tabs>
        <w:spacing w:before="100" w:beforeAutospacing="1" w:after="100" w:afterAutospacing="1"/>
        <w:ind w:left="709"/>
        <w:rPr>
          <w:b/>
        </w:rPr>
      </w:pPr>
      <w:r>
        <w:rPr>
          <w:b/>
        </w:rPr>
        <w:t>Attraction of Scavengers fauna (birds and small rodents)</w:t>
      </w:r>
    </w:p>
    <w:p w14:paraId="506D8395">
      <w:pPr>
        <w:tabs>
          <w:tab w:val="left" w:pos="709"/>
        </w:tabs>
        <w:spacing w:before="100" w:beforeAutospacing="1" w:after="100" w:afterAutospacing="1"/>
        <w:ind w:left="709"/>
        <w:rPr>
          <w:b/>
        </w:rPr>
      </w:pPr>
      <w:r>
        <w:rPr>
          <w:rFonts w:eastAsia="Times New Roman" w:cs="Times New Roman"/>
        </w:rPr>
        <w:t>Scavenger fauna such as birds and small rodents may be attracted to a proposed Faecal Sludge Treatment Plant (FSTP) due to:</w:t>
      </w:r>
    </w:p>
    <w:p w14:paraId="145DC51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Organic waste and residual sludge can provide food.</w:t>
      </w:r>
    </w:p>
    <w:p w14:paraId="6C5FEF8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Pools of stagnant water and moist environments can attract birds and rodents.</w:t>
      </w:r>
    </w:p>
    <w:p w14:paraId="37741F60">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Structures, equipment, and waste piles offer shelter and nesting sites.</w:t>
      </w:r>
    </w:p>
    <w:p w14:paraId="7CE474EC">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Improper disposal and overflowing bins can be attractive to scavengers.</w:t>
      </w:r>
    </w:p>
    <w:p w14:paraId="636673C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Strong odors from sludge and fermentation can draw scavengers.</w:t>
      </w:r>
    </w:p>
    <w:p w14:paraId="6C745E7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Nearby dense vegetation or poorly maintained landscaping can provide additional habitat.</w:t>
      </w:r>
    </w:p>
    <w:p w14:paraId="79AE78CF">
      <w:pPr>
        <w:tabs>
          <w:tab w:val="left" w:pos="709"/>
        </w:tabs>
        <w:spacing w:before="100" w:beforeAutospacing="1" w:after="100" w:afterAutospacing="1"/>
        <w:ind w:left="709"/>
        <w:rPr>
          <w:b/>
        </w:rPr>
      </w:pPr>
    </w:p>
    <w:p w14:paraId="12CD1517">
      <w:pPr>
        <w:keepNext/>
        <w:keepLines/>
        <w:tabs>
          <w:tab w:val="left" w:pos="709"/>
        </w:tabs>
        <w:spacing w:before="100" w:beforeAutospacing="1" w:after="100" w:afterAutospacing="1"/>
        <w:ind w:left="709"/>
        <w:rPr>
          <w:b/>
        </w:rPr>
      </w:pPr>
      <w:r>
        <w:rPr>
          <w:b/>
        </w:rPr>
        <w:t>Mitigation measures</w:t>
      </w:r>
    </w:p>
    <w:p w14:paraId="3F90EA3F">
      <w:pPr>
        <w:keepNext/>
        <w:keepLines/>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Maintain proper drainage to prevent stagnant water and reduce moist environments.</w:t>
      </w:r>
    </w:p>
    <w:p w14:paraId="35774EAD">
      <w:pPr>
        <w:keepNext/>
        <w:keepLines/>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Seal gaps in structures, maintain equipment, and avoid creating shelters or nesting sites.</w:t>
      </w:r>
    </w:p>
    <w:p w14:paraId="607A47FC">
      <w:pPr>
        <w:keepNext/>
        <w:keepLines/>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odor control measures such as covering sludge and using odor-neutralizing agents.</w:t>
      </w:r>
    </w:p>
    <w:p w14:paraId="28D8C0A3">
      <w:pPr>
        <w:keepNext/>
        <w:keepLines/>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Maintain landscaping to reduce potential shelter for animals and birds.</w:t>
      </w:r>
    </w:p>
    <w:p w14:paraId="54F96C17">
      <w:pPr>
        <w:tabs>
          <w:tab w:val="left" w:pos="709"/>
        </w:tabs>
        <w:spacing w:before="100" w:beforeAutospacing="1" w:after="100" w:afterAutospacing="1"/>
        <w:ind w:left="709"/>
        <w:rPr>
          <w:b/>
        </w:rPr>
      </w:pPr>
    </w:p>
    <w:p w14:paraId="2B56683B">
      <w:pPr>
        <w:tabs>
          <w:tab w:val="left" w:pos="709"/>
        </w:tabs>
        <w:spacing w:before="100" w:beforeAutospacing="1" w:after="100" w:afterAutospacing="1"/>
        <w:ind w:left="709"/>
        <w:rPr>
          <w:b/>
        </w:rPr>
      </w:pPr>
      <w:r>
        <w:rPr>
          <w:b/>
        </w:rPr>
        <w:t>Emission of Greenhouse gases e.g. Methane</w:t>
      </w:r>
    </w:p>
    <w:p w14:paraId="52A43923">
      <w:pPr>
        <w:tabs>
          <w:tab w:val="left" w:pos="709"/>
        </w:tabs>
        <w:spacing w:before="100" w:beforeAutospacing="1" w:after="100" w:afterAutospacing="1"/>
        <w:ind w:left="709"/>
      </w:pPr>
      <w:r>
        <w:t>Methane emissions at an FSTP primarily result from anaerobic decomposition processes, both during treatment and storage of sludge, as well as from leaks and infrastructure failures. Effective management and mitigation measures are crucial to reducing these emissions.</w:t>
      </w:r>
    </w:p>
    <w:p w14:paraId="60826ECB">
      <w:pPr>
        <w:tabs>
          <w:tab w:val="left" w:pos="709"/>
        </w:tabs>
        <w:spacing w:before="100" w:beforeAutospacing="1" w:after="100" w:afterAutospacing="1"/>
        <w:ind w:left="709"/>
        <w:rPr>
          <w:b/>
        </w:rPr>
      </w:pPr>
      <w:r>
        <w:rPr>
          <w:b/>
        </w:rPr>
        <w:t>Mitigation measures</w:t>
      </w:r>
    </w:p>
    <w:p w14:paraId="002B2A1C">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Install systems to capture and utilize methane for energy or flare it safely.</w:t>
      </w:r>
    </w:p>
    <w:p w14:paraId="12FB2999">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Improve anaerobic digestion processes and maintain equipment to enhance efficiency and prevent leaks.</w:t>
      </w:r>
    </w:p>
    <w:p w14:paraId="4877999E">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Use covered storage and advanced treatment technologies to reduce methane production.</w:t>
      </w:r>
    </w:p>
    <w:p w14:paraId="2F4D0BBC">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Regularly inspect and maintain infrastructure to detect and repair leaks.</w:t>
      </w:r>
    </w:p>
    <w:p w14:paraId="39C8065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Optimize processes and monitor emissions to minimize methane generation.</w:t>
      </w:r>
    </w:p>
    <w:p w14:paraId="23B29D6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vegetative cover and biofilters to absorb and treat methane.</w:t>
      </w:r>
    </w:p>
    <w:p w14:paraId="7CE33E93">
      <w:pPr>
        <w:widowControl w:val="0"/>
        <w:tabs>
          <w:tab w:val="left" w:pos="709"/>
        </w:tabs>
        <w:autoSpaceDE w:val="0"/>
        <w:autoSpaceDN w:val="0"/>
        <w:spacing w:before="100" w:beforeAutospacing="1" w:after="100" w:afterAutospacing="1" w:line="240" w:lineRule="auto"/>
        <w:contextualSpacing/>
        <w:jc w:val="both"/>
        <w:rPr>
          <w:rFonts w:eastAsia="Calibri" w:cs="Calibri"/>
          <w:lang w:bidi="en-US"/>
        </w:rPr>
      </w:pPr>
    </w:p>
    <w:p w14:paraId="46361B10">
      <w:pPr>
        <w:keepNext/>
        <w:keepLines/>
        <w:tabs>
          <w:tab w:val="left" w:pos="709"/>
        </w:tabs>
        <w:spacing w:before="100" w:beforeAutospacing="1" w:after="100" w:afterAutospacing="1" w:line="240" w:lineRule="auto"/>
        <w:jc w:val="both"/>
        <w:outlineLvl w:val="1"/>
        <w:rPr>
          <w:rFonts w:eastAsia="Times New Roman Bold" w:cstheme="minorHAnsi"/>
          <w:b/>
          <w:bCs/>
          <w:iCs/>
          <w:lang w:eastAsia="ja-JP"/>
        </w:rPr>
      </w:pPr>
      <w:bookmarkStart w:id="487" w:name="_Toc165555085"/>
      <w:bookmarkStart w:id="488" w:name="_Toc165612426"/>
      <w:bookmarkStart w:id="489" w:name="_Toc165648431"/>
      <w:bookmarkStart w:id="490" w:name="_Toc165641108"/>
      <w:bookmarkStart w:id="491" w:name="_Toc165906835"/>
      <w:bookmarkStart w:id="492" w:name="_Toc168582323"/>
      <w:bookmarkStart w:id="493" w:name="_Toc165890397"/>
      <w:bookmarkStart w:id="494" w:name="_Toc171919803"/>
      <w:bookmarkStart w:id="495" w:name="_Toc179904098"/>
      <w:bookmarkStart w:id="496" w:name="_Toc173301471"/>
      <w:r>
        <w:rPr>
          <w:rFonts w:eastAsia="Times New Roman Bold" w:cstheme="minorHAnsi"/>
          <w:b/>
          <w:bCs/>
          <w:iCs/>
          <w:lang w:eastAsia="ja-JP"/>
        </w:rPr>
        <w:t>8.9</w:t>
      </w:r>
      <w:r>
        <w:rPr>
          <w:rFonts w:eastAsia="Times New Roman Bold" w:cstheme="minorHAnsi"/>
          <w:b/>
          <w:bCs/>
          <w:iCs/>
          <w:lang w:eastAsia="ja-JP"/>
        </w:rPr>
        <w:tab/>
      </w:r>
      <w:r>
        <w:rPr>
          <w:rFonts w:eastAsia="Times New Roman Bold" w:cstheme="minorHAnsi"/>
          <w:b/>
          <w:bCs/>
          <w:iCs/>
          <w:lang w:eastAsia="ja-JP"/>
        </w:rPr>
        <w:t>Anticipated Negative Impacts</w:t>
      </w:r>
      <w:bookmarkEnd w:id="487"/>
      <w:bookmarkEnd w:id="488"/>
      <w:bookmarkEnd w:id="489"/>
      <w:bookmarkEnd w:id="490"/>
      <w:bookmarkEnd w:id="491"/>
      <w:bookmarkEnd w:id="492"/>
      <w:bookmarkEnd w:id="493"/>
      <w:r>
        <w:rPr>
          <w:rFonts w:eastAsia="Times New Roman Bold" w:cstheme="minorHAnsi"/>
          <w:b/>
          <w:bCs/>
          <w:iCs/>
          <w:lang w:eastAsia="ja-JP"/>
        </w:rPr>
        <w:t xml:space="preserve"> During Decommisioning Phase</w:t>
      </w:r>
      <w:bookmarkEnd w:id="494"/>
      <w:bookmarkEnd w:id="495"/>
      <w:bookmarkEnd w:id="496"/>
    </w:p>
    <w:p w14:paraId="24B9177F">
      <w:pPr>
        <w:widowControl w:val="0"/>
        <w:tabs>
          <w:tab w:val="left" w:pos="709"/>
        </w:tabs>
        <w:autoSpaceDE w:val="0"/>
        <w:autoSpaceDN w:val="0"/>
        <w:spacing w:before="100" w:beforeAutospacing="1" w:after="100" w:afterAutospacing="1" w:line="240" w:lineRule="auto"/>
        <w:ind w:left="709"/>
        <w:jc w:val="both"/>
        <w:rPr>
          <w:rFonts w:eastAsia="Calibri" w:cs="Times New Roman"/>
          <w:b/>
          <w:bCs/>
          <w:lang w:eastAsia="en-GB" w:bidi="en-US"/>
        </w:rPr>
      </w:pPr>
      <w:r>
        <w:rPr>
          <w:rFonts w:eastAsia="Calibri" w:cs="Times New Roman"/>
          <w:b/>
          <w:bCs/>
          <w:lang w:eastAsia="en-GB" w:bidi="en-US"/>
        </w:rPr>
        <w:t xml:space="preserve">Disruption of Services </w:t>
      </w:r>
      <w:r>
        <w:rPr>
          <w:rFonts w:eastAsia="Calibri" w:cs="Times New Roman"/>
          <w:b/>
          <w:bCs/>
          <w:i/>
          <w:lang w:eastAsia="en-GB" w:bidi="en-US"/>
        </w:rPr>
        <w:t>(Low Medium)</w:t>
      </w:r>
    </w:p>
    <w:p w14:paraId="6BC71F14">
      <w:pPr>
        <w:widowControl w:val="0"/>
        <w:tabs>
          <w:tab w:val="left" w:pos="709"/>
        </w:tabs>
        <w:autoSpaceDE w:val="0"/>
        <w:autoSpaceDN w:val="0"/>
        <w:spacing w:before="100" w:beforeAutospacing="1" w:after="100" w:afterAutospacing="1" w:line="240" w:lineRule="auto"/>
        <w:ind w:left="709"/>
        <w:jc w:val="both"/>
        <w:rPr>
          <w:rFonts w:eastAsia="Calibri" w:cs="Times New Roman"/>
          <w:bCs/>
          <w:lang w:eastAsia="en-GB" w:bidi="en-US"/>
        </w:rPr>
      </w:pPr>
      <w:r>
        <w:rPr>
          <w:rFonts w:eastAsia="Calibri" w:cs="Times New Roman"/>
          <w:bCs/>
          <w:lang w:eastAsia="en-GB" w:bidi="en-US"/>
        </w:rPr>
        <w:t>Decommissioning may disrupt regular services like water supply, and sanitation, causing inconvenience to residents and commuters.</w:t>
      </w:r>
    </w:p>
    <w:tbl>
      <w:tblPr>
        <w:tblStyle w:val="258"/>
        <w:tblW w:w="8709" w:type="dxa"/>
        <w:tblInd w:w="704" w:type="dxa"/>
        <w:tblLayout w:type="autofit"/>
        <w:tblCellMar>
          <w:top w:w="8" w:type="dxa"/>
          <w:left w:w="108" w:type="dxa"/>
          <w:bottom w:w="0" w:type="dxa"/>
          <w:right w:w="105" w:type="dxa"/>
        </w:tblCellMar>
      </w:tblPr>
      <w:tblGrid>
        <w:gridCol w:w="4253"/>
        <w:gridCol w:w="3678"/>
        <w:gridCol w:w="778"/>
      </w:tblGrid>
      <w:tr w14:paraId="6D5C6A75">
        <w:tblPrEx>
          <w:tblCellMar>
            <w:top w:w="8" w:type="dxa"/>
            <w:left w:w="108" w:type="dxa"/>
            <w:bottom w:w="0" w:type="dxa"/>
            <w:right w:w="105" w:type="dxa"/>
          </w:tblCellMar>
        </w:tblPrEx>
        <w:trPr>
          <w:trHeight w:val="240" w:hRule="atLeast"/>
        </w:trPr>
        <w:tc>
          <w:tcPr>
            <w:tcW w:w="4253" w:type="dxa"/>
            <w:tcBorders>
              <w:top w:val="single" w:color="000000" w:sz="4" w:space="0"/>
              <w:left w:val="single" w:color="000000" w:sz="4" w:space="0"/>
              <w:bottom w:val="single" w:color="000000" w:sz="4" w:space="0"/>
              <w:right w:val="nil"/>
            </w:tcBorders>
          </w:tcPr>
          <w:p w14:paraId="5100281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78" w:type="dxa"/>
            <w:tcBorders>
              <w:top w:val="single" w:color="000000" w:sz="4" w:space="0"/>
              <w:left w:val="nil"/>
              <w:bottom w:val="single" w:color="000000" w:sz="4" w:space="0"/>
              <w:right w:val="single" w:color="000000" w:sz="4" w:space="0"/>
            </w:tcBorders>
          </w:tcPr>
          <w:p w14:paraId="0E0EF4DE">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778" w:type="dxa"/>
            <w:tcBorders>
              <w:top w:val="single" w:color="000000" w:sz="4" w:space="0"/>
              <w:left w:val="single" w:color="000000" w:sz="4" w:space="0"/>
              <w:bottom w:val="single" w:color="000000" w:sz="4" w:space="0"/>
              <w:right w:val="single" w:color="000000" w:sz="4" w:space="0"/>
            </w:tcBorders>
          </w:tcPr>
          <w:p w14:paraId="6ED49B73">
            <w:pPr>
              <w:widowControl w:val="0"/>
              <w:tabs>
                <w:tab w:val="left" w:pos="709"/>
              </w:tabs>
              <w:autoSpaceDE w:val="0"/>
              <w:autoSpaceDN w:val="0"/>
              <w:spacing w:before="100" w:beforeAutospacing="1" w:after="100" w:afterAutospacing="1" w:line="240" w:lineRule="auto"/>
              <w:ind w:right="3"/>
              <w:jc w:val="both"/>
              <w:rPr>
                <w:rFonts w:eastAsia="Calibri" w:cs="Calibri"/>
                <w:lang w:bidi="en-US"/>
              </w:rPr>
            </w:pPr>
            <w:r>
              <w:rPr>
                <w:rFonts w:eastAsia="Arial" w:cs="Arial"/>
                <w:b/>
                <w:lang w:bidi="en-US"/>
              </w:rPr>
              <w:t xml:space="preserve">Rating </w:t>
            </w:r>
          </w:p>
        </w:tc>
      </w:tr>
      <w:tr w14:paraId="3E925E91">
        <w:tblPrEx>
          <w:tblCellMar>
            <w:top w:w="8" w:type="dxa"/>
            <w:left w:w="108" w:type="dxa"/>
            <w:bottom w:w="0" w:type="dxa"/>
            <w:right w:w="10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0D6D091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78" w:type="dxa"/>
            <w:tcBorders>
              <w:top w:val="single" w:color="000000" w:sz="4" w:space="0"/>
              <w:left w:val="single" w:color="000000" w:sz="4" w:space="0"/>
              <w:bottom w:val="single" w:color="000000" w:sz="4" w:space="0"/>
              <w:right w:val="single" w:color="000000" w:sz="4" w:space="0"/>
            </w:tcBorders>
          </w:tcPr>
          <w:p w14:paraId="2B015659">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78" w:type="dxa"/>
            <w:tcBorders>
              <w:top w:val="single" w:color="000000" w:sz="4" w:space="0"/>
              <w:left w:val="single" w:color="000000" w:sz="4" w:space="0"/>
              <w:bottom w:val="single" w:color="000000" w:sz="4" w:space="0"/>
              <w:right w:val="single" w:color="000000" w:sz="4" w:space="0"/>
            </w:tcBorders>
          </w:tcPr>
          <w:p w14:paraId="6D5A5C43">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Calibri" w:cs="Calibri"/>
                <w:lang w:bidi="en-US"/>
              </w:rPr>
              <w:t>2</w:t>
            </w:r>
          </w:p>
        </w:tc>
      </w:tr>
      <w:tr w14:paraId="7CB81D4D">
        <w:tblPrEx>
          <w:tblCellMar>
            <w:top w:w="8" w:type="dxa"/>
            <w:left w:w="108" w:type="dxa"/>
            <w:bottom w:w="0" w:type="dxa"/>
            <w:right w:w="105" w:type="dxa"/>
          </w:tblCellMar>
        </w:tblPrEx>
        <w:trPr>
          <w:trHeight w:val="240" w:hRule="atLeast"/>
        </w:trPr>
        <w:tc>
          <w:tcPr>
            <w:tcW w:w="4253" w:type="dxa"/>
            <w:vMerge w:val="continue"/>
            <w:tcBorders>
              <w:top w:val="nil"/>
              <w:left w:val="single" w:color="000000" w:sz="4" w:space="0"/>
              <w:bottom w:val="nil"/>
              <w:right w:val="single" w:color="000000" w:sz="4" w:space="0"/>
            </w:tcBorders>
          </w:tcPr>
          <w:p w14:paraId="1042ADA1">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690BC1D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78" w:type="dxa"/>
            <w:tcBorders>
              <w:top w:val="single" w:color="000000" w:sz="4" w:space="0"/>
              <w:left w:val="single" w:color="000000" w:sz="4" w:space="0"/>
              <w:bottom w:val="single" w:color="000000" w:sz="4" w:space="0"/>
              <w:right w:val="single" w:color="000000" w:sz="4" w:space="0"/>
            </w:tcBorders>
          </w:tcPr>
          <w:p w14:paraId="03194D53">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7CE103E4">
        <w:tblPrEx>
          <w:tblCellMar>
            <w:top w:w="8" w:type="dxa"/>
            <w:left w:w="108" w:type="dxa"/>
            <w:bottom w:w="0" w:type="dxa"/>
            <w:right w:w="105" w:type="dxa"/>
          </w:tblCellMar>
        </w:tblPrEx>
        <w:trPr>
          <w:trHeight w:val="240" w:hRule="atLeast"/>
        </w:trPr>
        <w:tc>
          <w:tcPr>
            <w:tcW w:w="4253" w:type="dxa"/>
            <w:vMerge w:val="continue"/>
            <w:tcBorders>
              <w:top w:val="nil"/>
              <w:left w:val="single" w:color="000000" w:sz="4" w:space="0"/>
              <w:bottom w:val="single" w:color="000000" w:sz="4" w:space="0"/>
              <w:right w:val="single" w:color="000000" w:sz="4" w:space="0"/>
            </w:tcBorders>
          </w:tcPr>
          <w:p w14:paraId="3E48FD00">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111EB44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78" w:type="dxa"/>
            <w:tcBorders>
              <w:top w:val="single" w:color="000000" w:sz="4" w:space="0"/>
              <w:left w:val="single" w:color="000000" w:sz="4" w:space="0"/>
              <w:bottom w:val="single" w:color="000000" w:sz="4" w:space="0"/>
              <w:right w:val="single" w:color="000000" w:sz="4" w:space="0"/>
            </w:tcBorders>
          </w:tcPr>
          <w:p w14:paraId="61F7DCDD">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4</w:t>
            </w:r>
          </w:p>
        </w:tc>
      </w:tr>
      <w:tr w14:paraId="7AA8F50E">
        <w:tblPrEx>
          <w:tblCellMar>
            <w:top w:w="8" w:type="dxa"/>
            <w:left w:w="108" w:type="dxa"/>
            <w:bottom w:w="0" w:type="dxa"/>
            <w:right w:w="10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5F5F3A7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78" w:type="dxa"/>
            <w:tcBorders>
              <w:top w:val="single" w:color="000000" w:sz="4" w:space="0"/>
              <w:left w:val="single" w:color="000000" w:sz="4" w:space="0"/>
              <w:bottom w:val="single" w:color="000000" w:sz="4" w:space="0"/>
              <w:right w:val="single" w:color="000000" w:sz="4" w:space="0"/>
            </w:tcBorders>
          </w:tcPr>
          <w:p w14:paraId="6352ABCA">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78" w:type="dxa"/>
            <w:tcBorders>
              <w:top w:val="single" w:color="000000" w:sz="4" w:space="0"/>
              <w:left w:val="single" w:color="000000" w:sz="4" w:space="0"/>
              <w:bottom w:val="single" w:color="000000" w:sz="4" w:space="0"/>
              <w:right w:val="single" w:color="000000" w:sz="4" w:space="0"/>
            </w:tcBorders>
          </w:tcPr>
          <w:p w14:paraId="759545F0">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28AE113C">
        <w:tblPrEx>
          <w:tblCellMar>
            <w:top w:w="8" w:type="dxa"/>
            <w:left w:w="108" w:type="dxa"/>
            <w:bottom w:w="0" w:type="dxa"/>
            <w:right w:w="105" w:type="dxa"/>
          </w:tblCellMar>
        </w:tblPrEx>
        <w:trPr>
          <w:trHeight w:val="241" w:hRule="atLeast"/>
        </w:trPr>
        <w:tc>
          <w:tcPr>
            <w:tcW w:w="4253" w:type="dxa"/>
            <w:vMerge w:val="continue"/>
            <w:tcBorders>
              <w:top w:val="nil"/>
              <w:left w:val="single" w:color="000000" w:sz="4" w:space="0"/>
              <w:bottom w:val="single" w:color="000000" w:sz="4" w:space="0"/>
              <w:right w:val="single" w:color="000000" w:sz="4" w:space="0"/>
            </w:tcBorders>
          </w:tcPr>
          <w:p w14:paraId="3ECE1771">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03661F8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78" w:type="dxa"/>
            <w:tcBorders>
              <w:top w:val="single" w:color="000000" w:sz="4" w:space="0"/>
              <w:left w:val="single" w:color="000000" w:sz="4" w:space="0"/>
              <w:bottom w:val="single" w:color="000000" w:sz="4" w:space="0"/>
              <w:right w:val="single" w:color="000000" w:sz="4" w:space="0"/>
            </w:tcBorders>
          </w:tcPr>
          <w:p w14:paraId="7FD4FAFF">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740290C1">
        <w:tblPrEx>
          <w:tblCellMar>
            <w:top w:w="8" w:type="dxa"/>
            <w:left w:w="108" w:type="dxa"/>
            <w:bottom w:w="0" w:type="dxa"/>
            <w:right w:w="105" w:type="dxa"/>
          </w:tblCellMar>
        </w:tblPrEx>
        <w:trPr>
          <w:trHeight w:val="468" w:hRule="atLeast"/>
        </w:trPr>
        <w:tc>
          <w:tcPr>
            <w:tcW w:w="4253" w:type="dxa"/>
            <w:tcBorders>
              <w:top w:val="single" w:color="000000" w:sz="4" w:space="0"/>
              <w:left w:val="single" w:color="000000" w:sz="4" w:space="0"/>
              <w:bottom w:val="single" w:color="000000" w:sz="4" w:space="0"/>
              <w:right w:val="single" w:color="000000" w:sz="4" w:space="0"/>
            </w:tcBorders>
          </w:tcPr>
          <w:p w14:paraId="38D7E35E">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78" w:type="dxa"/>
            <w:tcBorders>
              <w:top w:val="single" w:color="000000" w:sz="4" w:space="0"/>
              <w:left w:val="single" w:color="000000" w:sz="4" w:space="0"/>
              <w:bottom w:val="single" w:color="000000" w:sz="4" w:space="0"/>
              <w:right w:val="single" w:color="000000" w:sz="4" w:space="0"/>
            </w:tcBorders>
          </w:tcPr>
          <w:p w14:paraId="4D3A6C4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Low Medium</w:t>
            </w:r>
          </w:p>
        </w:tc>
        <w:tc>
          <w:tcPr>
            <w:tcW w:w="778" w:type="dxa"/>
            <w:tcBorders>
              <w:top w:val="single" w:color="000000" w:sz="4" w:space="0"/>
              <w:left w:val="single" w:color="000000" w:sz="4" w:space="0"/>
              <w:bottom w:val="single" w:color="000000" w:sz="4" w:space="0"/>
              <w:right w:val="single" w:color="000000" w:sz="4" w:space="0"/>
            </w:tcBorders>
            <w:shd w:val="clear" w:color="auto" w:fill="92D050"/>
          </w:tcPr>
          <w:p w14:paraId="5559E066">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16</w:t>
            </w:r>
          </w:p>
        </w:tc>
      </w:tr>
    </w:tbl>
    <w:p w14:paraId="217824F1">
      <w:pPr>
        <w:widowControl w:val="0"/>
        <w:tabs>
          <w:tab w:val="left" w:pos="709"/>
        </w:tabs>
        <w:autoSpaceDE w:val="0"/>
        <w:autoSpaceDN w:val="0"/>
        <w:spacing w:before="100" w:beforeAutospacing="1" w:after="100" w:afterAutospacing="1" w:line="240" w:lineRule="auto"/>
        <w:ind w:left="709"/>
        <w:jc w:val="both"/>
        <w:rPr>
          <w:rFonts w:eastAsia="Calibri" w:cs="Times New Roman"/>
          <w:bCs/>
          <w:lang w:eastAsia="en-GB" w:bidi="en-US"/>
        </w:rPr>
      </w:pPr>
      <w:r>
        <w:rPr>
          <w:rFonts w:eastAsia="Calibri" w:cs="Times New Roman"/>
          <w:bCs/>
          <w:i/>
          <w:lang w:eastAsia="en-GB" w:bidi="en-US"/>
        </w:rPr>
        <w:t>Mitigation measures</w:t>
      </w:r>
    </w:p>
    <w:p w14:paraId="192DE98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phased decommissioning to minimize disruption to services.</w:t>
      </w:r>
    </w:p>
    <w:p w14:paraId="11648775">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Provide alternative routes water sources and sanitation options for affected people.</w:t>
      </w:r>
    </w:p>
    <w:p w14:paraId="58AD5BCF">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Schedule decommissioning activities during off-peak hours to reduce impact on service provision.</w:t>
      </w:r>
    </w:p>
    <w:p w14:paraId="2F44AFBE">
      <w:pPr>
        <w:widowControl w:val="0"/>
        <w:tabs>
          <w:tab w:val="left" w:pos="709"/>
        </w:tabs>
        <w:autoSpaceDE w:val="0"/>
        <w:autoSpaceDN w:val="0"/>
        <w:spacing w:before="100" w:beforeAutospacing="1" w:after="100" w:afterAutospacing="1" w:line="240" w:lineRule="auto"/>
        <w:ind w:left="709"/>
        <w:jc w:val="both"/>
        <w:rPr>
          <w:rFonts w:eastAsia="Calibri" w:cs="Times New Roman"/>
          <w:b/>
          <w:bCs/>
          <w:lang w:eastAsia="en-GB" w:bidi="en-US"/>
        </w:rPr>
      </w:pPr>
    </w:p>
    <w:p w14:paraId="0DA7F8E8">
      <w:pPr>
        <w:widowControl w:val="0"/>
        <w:tabs>
          <w:tab w:val="left" w:pos="709"/>
        </w:tabs>
        <w:autoSpaceDE w:val="0"/>
        <w:autoSpaceDN w:val="0"/>
        <w:spacing w:before="100" w:beforeAutospacing="1" w:after="100" w:afterAutospacing="1" w:line="240" w:lineRule="auto"/>
        <w:ind w:left="709"/>
        <w:jc w:val="both"/>
        <w:rPr>
          <w:rFonts w:eastAsia="Calibri" w:cs="Times New Roman"/>
          <w:b/>
          <w:bCs/>
          <w:lang w:eastAsia="en-GB" w:bidi="en-US"/>
        </w:rPr>
      </w:pPr>
      <w:r>
        <w:rPr>
          <w:rFonts w:eastAsia="Calibri" w:cs="Times New Roman"/>
          <w:b/>
          <w:bCs/>
          <w:lang w:eastAsia="en-GB" w:bidi="en-US"/>
        </w:rPr>
        <w:t xml:space="preserve">Environmental Disturbance </w:t>
      </w:r>
      <w:r>
        <w:rPr>
          <w:rFonts w:eastAsia="Calibri" w:cs="Times New Roman"/>
          <w:b/>
          <w:bCs/>
          <w:i/>
          <w:lang w:eastAsia="en-GB" w:bidi="en-US"/>
        </w:rPr>
        <w:t>(Low Medium)</w:t>
      </w:r>
    </w:p>
    <w:p w14:paraId="0004948E">
      <w:pPr>
        <w:widowControl w:val="0"/>
        <w:tabs>
          <w:tab w:val="left" w:pos="709"/>
        </w:tabs>
        <w:autoSpaceDE w:val="0"/>
        <w:autoSpaceDN w:val="0"/>
        <w:spacing w:before="100" w:beforeAutospacing="1" w:after="100" w:afterAutospacing="1" w:line="240" w:lineRule="auto"/>
        <w:ind w:left="709"/>
        <w:jc w:val="both"/>
        <w:rPr>
          <w:rFonts w:eastAsia="Calibri" w:cs="Times New Roman"/>
          <w:bCs/>
          <w:lang w:eastAsia="en-GB" w:bidi="en-US"/>
        </w:rPr>
      </w:pPr>
      <w:r>
        <w:rPr>
          <w:rFonts w:eastAsia="Calibri" w:cs="Times New Roman"/>
          <w:bCs/>
          <w:lang w:eastAsia="en-GB" w:bidi="en-US"/>
        </w:rPr>
        <w:t>Decommissioning activities can disturb natural habitats, soil, and underground water. The removal of infrastructure might also disrupt ecosystems that have adapted to their presence.</w:t>
      </w:r>
    </w:p>
    <w:tbl>
      <w:tblPr>
        <w:tblStyle w:val="258"/>
        <w:tblW w:w="8709" w:type="dxa"/>
        <w:tblInd w:w="704" w:type="dxa"/>
        <w:tblLayout w:type="autofit"/>
        <w:tblCellMar>
          <w:top w:w="8" w:type="dxa"/>
          <w:left w:w="108" w:type="dxa"/>
          <w:bottom w:w="0" w:type="dxa"/>
          <w:right w:w="105" w:type="dxa"/>
        </w:tblCellMar>
      </w:tblPr>
      <w:tblGrid>
        <w:gridCol w:w="4253"/>
        <w:gridCol w:w="3678"/>
        <w:gridCol w:w="778"/>
      </w:tblGrid>
      <w:tr w14:paraId="2D6E59C6">
        <w:tblPrEx>
          <w:tblCellMar>
            <w:top w:w="8" w:type="dxa"/>
            <w:left w:w="108" w:type="dxa"/>
            <w:bottom w:w="0" w:type="dxa"/>
            <w:right w:w="105" w:type="dxa"/>
          </w:tblCellMar>
        </w:tblPrEx>
        <w:trPr>
          <w:trHeight w:val="240" w:hRule="atLeast"/>
        </w:trPr>
        <w:tc>
          <w:tcPr>
            <w:tcW w:w="4253" w:type="dxa"/>
            <w:tcBorders>
              <w:top w:val="single" w:color="000000" w:sz="4" w:space="0"/>
              <w:left w:val="single" w:color="000000" w:sz="4" w:space="0"/>
              <w:bottom w:val="single" w:color="000000" w:sz="4" w:space="0"/>
              <w:right w:val="nil"/>
            </w:tcBorders>
          </w:tcPr>
          <w:p w14:paraId="4AC3CEDF">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Criteria </w:t>
            </w:r>
          </w:p>
        </w:tc>
        <w:tc>
          <w:tcPr>
            <w:tcW w:w="3678" w:type="dxa"/>
            <w:tcBorders>
              <w:top w:val="single" w:color="000000" w:sz="4" w:space="0"/>
              <w:left w:val="nil"/>
              <w:bottom w:val="single" w:color="000000" w:sz="4" w:space="0"/>
              <w:right w:val="single" w:color="000000" w:sz="4" w:space="0"/>
            </w:tcBorders>
          </w:tcPr>
          <w:p w14:paraId="54E41F32">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778" w:type="dxa"/>
            <w:tcBorders>
              <w:top w:val="single" w:color="000000" w:sz="4" w:space="0"/>
              <w:left w:val="single" w:color="000000" w:sz="4" w:space="0"/>
              <w:bottom w:val="single" w:color="000000" w:sz="4" w:space="0"/>
              <w:right w:val="single" w:color="000000" w:sz="4" w:space="0"/>
            </w:tcBorders>
          </w:tcPr>
          <w:p w14:paraId="4E8DB53A">
            <w:pPr>
              <w:widowControl w:val="0"/>
              <w:tabs>
                <w:tab w:val="left" w:pos="709"/>
              </w:tabs>
              <w:autoSpaceDE w:val="0"/>
              <w:autoSpaceDN w:val="0"/>
              <w:spacing w:before="100" w:beforeAutospacing="1" w:after="100" w:afterAutospacing="1" w:line="240" w:lineRule="auto"/>
              <w:ind w:right="3"/>
              <w:jc w:val="both"/>
              <w:rPr>
                <w:rFonts w:eastAsia="Calibri" w:cs="Calibri"/>
                <w:lang w:bidi="en-US"/>
              </w:rPr>
            </w:pPr>
            <w:r>
              <w:rPr>
                <w:rFonts w:eastAsia="Arial" w:cs="Arial"/>
                <w:b/>
                <w:lang w:bidi="en-US"/>
              </w:rPr>
              <w:t xml:space="preserve">Rating </w:t>
            </w:r>
          </w:p>
        </w:tc>
      </w:tr>
      <w:tr w14:paraId="2BCC69ED">
        <w:tblPrEx>
          <w:tblCellMar>
            <w:top w:w="8" w:type="dxa"/>
            <w:left w:w="108" w:type="dxa"/>
            <w:bottom w:w="0" w:type="dxa"/>
            <w:right w:w="10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7D76C36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Consequences </w:t>
            </w:r>
          </w:p>
        </w:tc>
        <w:tc>
          <w:tcPr>
            <w:tcW w:w="3678" w:type="dxa"/>
            <w:tcBorders>
              <w:top w:val="single" w:color="000000" w:sz="4" w:space="0"/>
              <w:left w:val="single" w:color="000000" w:sz="4" w:space="0"/>
              <w:bottom w:val="single" w:color="000000" w:sz="4" w:space="0"/>
              <w:right w:val="single" w:color="000000" w:sz="4" w:space="0"/>
            </w:tcBorders>
          </w:tcPr>
          <w:p w14:paraId="5032B19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778" w:type="dxa"/>
            <w:tcBorders>
              <w:top w:val="single" w:color="000000" w:sz="4" w:space="0"/>
              <w:left w:val="single" w:color="000000" w:sz="4" w:space="0"/>
              <w:bottom w:val="single" w:color="000000" w:sz="4" w:space="0"/>
              <w:right w:val="single" w:color="000000" w:sz="4" w:space="0"/>
            </w:tcBorders>
          </w:tcPr>
          <w:p w14:paraId="43D3B4D0">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Calibri" w:cs="Calibri"/>
                <w:lang w:bidi="en-US"/>
              </w:rPr>
              <w:t>3</w:t>
            </w:r>
          </w:p>
        </w:tc>
      </w:tr>
      <w:tr w14:paraId="5764B05F">
        <w:tblPrEx>
          <w:tblCellMar>
            <w:top w:w="8" w:type="dxa"/>
            <w:left w:w="108" w:type="dxa"/>
            <w:bottom w:w="0" w:type="dxa"/>
            <w:right w:w="105" w:type="dxa"/>
          </w:tblCellMar>
        </w:tblPrEx>
        <w:trPr>
          <w:trHeight w:val="240" w:hRule="atLeast"/>
        </w:trPr>
        <w:tc>
          <w:tcPr>
            <w:tcW w:w="4253" w:type="dxa"/>
            <w:vMerge w:val="continue"/>
            <w:tcBorders>
              <w:top w:val="nil"/>
              <w:left w:val="single" w:color="000000" w:sz="4" w:space="0"/>
              <w:bottom w:val="nil"/>
              <w:right w:val="single" w:color="000000" w:sz="4" w:space="0"/>
            </w:tcBorders>
          </w:tcPr>
          <w:p w14:paraId="5C08852F">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4DEA3EF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778" w:type="dxa"/>
            <w:tcBorders>
              <w:top w:val="single" w:color="000000" w:sz="4" w:space="0"/>
              <w:left w:val="single" w:color="000000" w:sz="4" w:space="0"/>
              <w:bottom w:val="single" w:color="000000" w:sz="4" w:space="0"/>
              <w:right w:val="single" w:color="000000" w:sz="4" w:space="0"/>
            </w:tcBorders>
          </w:tcPr>
          <w:p w14:paraId="2E7EF408">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 xml:space="preserve">2 </w:t>
            </w:r>
          </w:p>
        </w:tc>
      </w:tr>
      <w:tr w14:paraId="3AE13EC9">
        <w:tblPrEx>
          <w:tblCellMar>
            <w:top w:w="8" w:type="dxa"/>
            <w:left w:w="108" w:type="dxa"/>
            <w:bottom w:w="0" w:type="dxa"/>
            <w:right w:w="105" w:type="dxa"/>
          </w:tblCellMar>
        </w:tblPrEx>
        <w:trPr>
          <w:trHeight w:val="240" w:hRule="atLeast"/>
        </w:trPr>
        <w:tc>
          <w:tcPr>
            <w:tcW w:w="4253" w:type="dxa"/>
            <w:vMerge w:val="continue"/>
            <w:tcBorders>
              <w:top w:val="nil"/>
              <w:left w:val="single" w:color="000000" w:sz="4" w:space="0"/>
              <w:bottom w:val="single" w:color="000000" w:sz="4" w:space="0"/>
              <w:right w:val="single" w:color="000000" w:sz="4" w:space="0"/>
            </w:tcBorders>
          </w:tcPr>
          <w:p w14:paraId="4CCF01B4">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3C81446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778" w:type="dxa"/>
            <w:tcBorders>
              <w:top w:val="single" w:color="000000" w:sz="4" w:space="0"/>
              <w:left w:val="single" w:color="000000" w:sz="4" w:space="0"/>
              <w:bottom w:val="single" w:color="000000" w:sz="4" w:space="0"/>
              <w:right w:val="single" w:color="000000" w:sz="4" w:space="0"/>
            </w:tcBorders>
          </w:tcPr>
          <w:p w14:paraId="46295651">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2</w:t>
            </w:r>
          </w:p>
        </w:tc>
      </w:tr>
      <w:tr w14:paraId="7315978E">
        <w:tblPrEx>
          <w:tblCellMar>
            <w:top w:w="8" w:type="dxa"/>
            <w:left w:w="108" w:type="dxa"/>
            <w:bottom w:w="0" w:type="dxa"/>
            <w:right w:w="105" w:type="dxa"/>
          </w:tblCellMar>
        </w:tblPrEx>
        <w:trPr>
          <w:trHeight w:val="240" w:hRule="atLeast"/>
        </w:trPr>
        <w:tc>
          <w:tcPr>
            <w:tcW w:w="4253" w:type="dxa"/>
            <w:vMerge w:val="restart"/>
            <w:tcBorders>
              <w:top w:val="single" w:color="000000" w:sz="4" w:space="0"/>
              <w:left w:val="single" w:color="000000" w:sz="4" w:space="0"/>
              <w:bottom w:val="single" w:color="000000" w:sz="4" w:space="0"/>
              <w:right w:val="single" w:color="000000" w:sz="4" w:space="0"/>
            </w:tcBorders>
          </w:tcPr>
          <w:p w14:paraId="6E328B4B">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Likelihood </w:t>
            </w:r>
          </w:p>
        </w:tc>
        <w:tc>
          <w:tcPr>
            <w:tcW w:w="3678" w:type="dxa"/>
            <w:tcBorders>
              <w:top w:val="single" w:color="000000" w:sz="4" w:space="0"/>
              <w:left w:val="single" w:color="000000" w:sz="4" w:space="0"/>
              <w:bottom w:val="single" w:color="000000" w:sz="4" w:space="0"/>
              <w:right w:val="single" w:color="000000" w:sz="4" w:space="0"/>
            </w:tcBorders>
          </w:tcPr>
          <w:p w14:paraId="2416BA2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778" w:type="dxa"/>
            <w:tcBorders>
              <w:top w:val="single" w:color="000000" w:sz="4" w:space="0"/>
              <w:left w:val="single" w:color="000000" w:sz="4" w:space="0"/>
              <w:bottom w:val="single" w:color="000000" w:sz="4" w:space="0"/>
              <w:right w:val="single" w:color="000000" w:sz="4" w:space="0"/>
            </w:tcBorders>
          </w:tcPr>
          <w:p w14:paraId="16EF3D76">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3DAB0494">
        <w:tblPrEx>
          <w:tblCellMar>
            <w:top w:w="8" w:type="dxa"/>
            <w:left w:w="108" w:type="dxa"/>
            <w:bottom w:w="0" w:type="dxa"/>
            <w:right w:w="105" w:type="dxa"/>
          </w:tblCellMar>
        </w:tblPrEx>
        <w:trPr>
          <w:trHeight w:val="241" w:hRule="atLeast"/>
        </w:trPr>
        <w:tc>
          <w:tcPr>
            <w:tcW w:w="4253" w:type="dxa"/>
            <w:vMerge w:val="continue"/>
            <w:tcBorders>
              <w:top w:val="nil"/>
              <w:left w:val="single" w:color="000000" w:sz="4" w:space="0"/>
              <w:bottom w:val="single" w:color="000000" w:sz="4" w:space="0"/>
              <w:right w:val="single" w:color="000000" w:sz="4" w:space="0"/>
            </w:tcBorders>
          </w:tcPr>
          <w:p w14:paraId="1E640B90">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3678" w:type="dxa"/>
            <w:tcBorders>
              <w:top w:val="single" w:color="000000" w:sz="4" w:space="0"/>
              <w:left w:val="single" w:color="000000" w:sz="4" w:space="0"/>
              <w:bottom w:val="single" w:color="000000" w:sz="4" w:space="0"/>
              <w:right w:val="single" w:color="000000" w:sz="4" w:space="0"/>
            </w:tcBorders>
          </w:tcPr>
          <w:p w14:paraId="7F1C593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778" w:type="dxa"/>
            <w:tcBorders>
              <w:top w:val="single" w:color="000000" w:sz="4" w:space="0"/>
              <w:left w:val="single" w:color="000000" w:sz="4" w:space="0"/>
              <w:bottom w:val="single" w:color="000000" w:sz="4" w:space="0"/>
              <w:right w:val="single" w:color="000000" w:sz="4" w:space="0"/>
            </w:tcBorders>
          </w:tcPr>
          <w:p w14:paraId="7D97A53D">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w:t>
            </w:r>
          </w:p>
        </w:tc>
      </w:tr>
      <w:tr w14:paraId="1749082D">
        <w:tblPrEx>
          <w:tblCellMar>
            <w:top w:w="8" w:type="dxa"/>
            <w:left w:w="108" w:type="dxa"/>
            <w:bottom w:w="0" w:type="dxa"/>
            <w:right w:w="105" w:type="dxa"/>
          </w:tblCellMar>
        </w:tblPrEx>
        <w:trPr>
          <w:trHeight w:val="468" w:hRule="atLeast"/>
        </w:trPr>
        <w:tc>
          <w:tcPr>
            <w:tcW w:w="4253" w:type="dxa"/>
            <w:tcBorders>
              <w:top w:val="single" w:color="000000" w:sz="4" w:space="0"/>
              <w:left w:val="single" w:color="000000" w:sz="4" w:space="0"/>
              <w:bottom w:val="single" w:color="000000" w:sz="4" w:space="0"/>
              <w:right w:val="single" w:color="000000" w:sz="4" w:space="0"/>
            </w:tcBorders>
          </w:tcPr>
          <w:p w14:paraId="64DB7F80">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Impact Significance Rating (Consequence × likelihood) </w:t>
            </w:r>
          </w:p>
        </w:tc>
        <w:tc>
          <w:tcPr>
            <w:tcW w:w="3678" w:type="dxa"/>
            <w:tcBorders>
              <w:top w:val="single" w:color="000000" w:sz="4" w:space="0"/>
              <w:left w:val="single" w:color="000000" w:sz="4" w:space="0"/>
              <w:bottom w:val="single" w:color="000000" w:sz="4" w:space="0"/>
              <w:right w:val="single" w:color="000000" w:sz="4" w:space="0"/>
            </w:tcBorders>
          </w:tcPr>
          <w:p w14:paraId="53B7344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Low Medium</w:t>
            </w:r>
          </w:p>
        </w:tc>
        <w:tc>
          <w:tcPr>
            <w:tcW w:w="778" w:type="dxa"/>
            <w:tcBorders>
              <w:top w:val="single" w:color="000000" w:sz="4" w:space="0"/>
              <w:left w:val="single" w:color="000000" w:sz="4" w:space="0"/>
              <w:bottom w:val="single" w:color="000000" w:sz="4" w:space="0"/>
              <w:right w:val="single" w:color="000000" w:sz="4" w:space="0"/>
            </w:tcBorders>
            <w:shd w:val="clear" w:color="auto" w:fill="92D050"/>
          </w:tcPr>
          <w:p w14:paraId="365C8AE3">
            <w:pPr>
              <w:widowControl w:val="0"/>
              <w:tabs>
                <w:tab w:val="left" w:pos="709"/>
              </w:tabs>
              <w:autoSpaceDE w:val="0"/>
              <w:autoSpaceDN w:val="0"/>
              <w:spacing w:before="100" w:beforeAutospacing="1" w:after="100" w:afterAutospacing="1" w:line="240" w:lineRule="auto"/>
              <w:ind w:right="4"/>
              <w:jc w:val="both"/>
              <w:rPr>
                <w:rFonts w:eastAsia="Calibri" w:cs="Calibri"/>
                <w:lang w:bidi="en-US"/>
              </w:rPr>
            </w:pPr>
            <w:r>
              <w:rPr>
                <w:rFonts w:eastAsia="Arial" w:cs="Arial"/>
                <w:lang w:bidi="en-US"/>
              </w:rPr>
              <w:t>14</w:t>
            </w:r>
          </w:p>
        </w:tc>
      </w:tr>
    </w:tbl>
    <w:p w14:paraId="67CB546D">
      <w:pPr>
        <w:widowControl w:val="0"/>
        <w:tabs>
          <w:tab w:val="left" w:pos="709"/>
        </w:tabs>
        <w:autoSpaceDE w:val="0"/>
        <w:autoSpaceDN w:val="0"/>
        <w:spacing w:before="100" w:beforeAutospacing="1" w:after="100" w:afterAutospacing="1" w:line="240" w:lineRule="auto"/>
        <w:ind w:left="709"/>
        <w:jc w:val="both"/>
        <w:rPr>
          <w:rFonts w:eastAsia="Calibri" w:cs="Times New Roman"/>
          <w:bCs/>
          <w:lang w:eastAsia="en-GB" w:bidi="en-US"/>
        </w:rPr>
      </w:pPr>
      <w:r>
        <w:rPr>
          <w:rFonts w:eastAsia="Calibri" w:cs="Times New Roman"/>
          <w:bCs/>
          <w:i/>
          <w:lang w:eastAsia="en-GB" w:bidi="en-US"/>
        </w:rPr>
        <w:t>Mitigation measures</w:t>
      </w:r>
    </w:p>
    <w:p w14:paraId="7E72CEA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Conduct thorough environmental impact assessments prior to decommissioning.</w:t>
      </w:r>
    </w:p>
    <w:p w14:paraId="156E126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erosion and sediment control measures to prevent soil erosion and water pollution.</w:t>
      </w:r>
    </w:p>
    <w:p w14:paraId="3AC5463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Replant native vegetation and restore habitats affected by decommissioning activities.</w:t>
      </w:r>
    </w:p>
    <w:p w14:paraId="24AED9D8">
      <w:pPr>
        <w:widowControl w:val="0"/>
        <w:tabs>
          <w:tab w:val="left" w:pos="709"/>
        </w:tabs>
        <w:autoSpaceDE w:val="0"/>
        <w:autoSpaceDN w:val="0"/>
        <w:spacing w:before="100" w:beforeAutospacing="1" w:after="100" w:afterAutospacing="1" w:line="240" w:lineRule="auto"/>
        <w:ind w:left="709"/>
        <w:jc w:val="both"/>
        <w:rPr>
          <w:rFonts w:eastAsia="Calibri" w:cs="Times New Roman"/>
          <w:b/>
          <w:bCs/>
          <w:lang w:eastAsia="en-GB" w:bidi="en-US"/>
        </w:rPr>
      </w:pPr>
    </w:p>
    <w:p w14:paraId="3D22D643">
      <w:pPr>
        <w:widowControl w:val="0"/>
        <w:tabs>
          <w:tab w:val="left" w:pos="709"/>
        </w:tabs>
        <w:autoSpaceDE w:val="0"/>
        <w:autoSpaceDN w:val="0"/>
        <w:spacing w:before="100" w:beforeAutospacing="1" w:after="100" w:afterAutospacing="1" w:line="240" w:lineRule="auto"/>
        <w:ind w:left="709"/>
        <w:jc w:val="both"/>
        <w:rPr>
          <w:rFonts w:eastAsia="Calibri" w:cs="Times New Roman"/>
          <w:b/>
          <w:bCs/>
          <w:lang w:eastAsia="en-GB" w:bidi="en-US"/>
        </w:rPr>
      </w:pPr>
      <w:r>
        <w:rPr>
          <w:rFonts w:eastAsia="Calibri" w:cs="Times New Roman"/>
          <w:b/>
          <w:bCs/>
          <w:lang w:eastAsia="en-GB" w:bidi="en-US"/>
        </w:rPr>
        <w:t xml:space="preserve">Health and Safety Concerns </w:t>
      </w:r>
      <w:r>
        <w:rPr>
          <w:rFonts w:eastAsia="Calibri" w:cs="Times New Roman"/>
          <w:b/>
          <w:bCs/>
          <w:i/>
          <w:lang w:eastAsia="en-GB" w:bidi="en-US"/>
        </w:rPr>
        <w:t>(Medium)</w:t>
      </w:r>
    </w:p>
    <w:p w14:paraId="7C82A9F8">
      <w:pPr>
        <w:widowControl w:val="0"/>
        <w:tabs>
          <w:tab w:val="left" w:pos="709"/>
        </w:tabs>
        <w:autoSpaceDE w:val="0"/>
        <w:autoSpaceDN w:val="0"/>
        <w:spacing w:before="100" w:beforeAutospacing="1" w:after="100" w:afterAutospacing="1" w:line="240" w:lineRule="auto"/>
        <w:ind w:left="709"/>
        <w:jc w:val="both"/>
        <w:rPr>
          <w:rFonts w:eastAsia="Calibri" w:cs="Times New Roman"/>
          <w:bCs/>
          <w:lang w:eastAsia="en-GB" w:bidi="en-US"/>
        </w:rPr>
      </w:pPr>
      <w:r>
        <w:rPr>
          <w:rFonts w:eastAsia="Calibri" w:cs="Times New Roman"/>
          <w:bCs/>
          <w:lang w:eastAsia="en-GB" w:bidi="en-US"/>
        </w:rPr>
        <w:t>Decommissioning activities can pose health and safety risks to workers and nearby residents due to noise pollution, air pollution from construction vehicles, and potential accidents.</w:t>
      </w:r>
    </w:p>
    <w:tbl>
      <w:tblPr>
        <w:tblStyle w:val="258"/>
        <w:tblW w:w="8709" w:type="dxa"/>
        <w:tblInd w:w="704" w:type="dxa"/>
        <w:tblLayout w:type="autofit"/>
        <w:tblCellMar>
          <w:top w:w="8" w:type="dxa"/>
          <w:left w:w="106" w:type="dxa"/>
          <w:bottom w:w="0" w:type="dxa"/>
          <w:right w:w="115" w:type="dxa"/>
        </w:tblCellMar>
      </w:tblPr>
      <w:tblGrid>
        <w:gridCol w:w="2325"/>
        <w:gridCol w:w="5330"/>
        <w:gridCol w:w="1054"/>
      </w:tblGrid>
      <w:tr w14:paraId="10DF8A6A">
        <w:tblPrEx>
          <w:tblCellMar>
            <w:top w:w="8" w:type="dxa"/>
            <w:left w:w="106" w:type="dxa"/>
            <w:bottom w:w="0" w:type="dxa"/>
            <w:right w:w="115" w:type="dxa"/>
          </w:tblCellMar>
        </w:tblPrEx>
        <w:trPr>
          <w:trHeight w:val="240" w:hRule="atLeast"/>
        </w:trPr>
        <w:tc>
          <w:tcPr>
            <w:tcW w:w="2325" w:type="dxa"/>
            <w:tcBorders>
              <w:top w:val="single" w:color="000000" w:sz="4" w:space="0"/>
              <w:left w:val="single" w:color="000000" w:sz="4" w:space="0"/>
              <w:bottom w:val="single" w:color="000000" w:sz="4" w:space="0"/>
              <w:right w:val="nil"/>
            </w:tcBorders>
          </w:tcPr>
          <w:p w14:paraId="3BBF82EF">
            <w:pPr>
              <w:widowControl w:val="0"/>
              <w:tabs>
                <w:tab w:val="left" w:pos="709"/>
              </w:tabs>
              <w:autoSpaceDE w:val="0"/>
              <w:autoSpaceDN w:val="0"/>
              <w:spacing w:before="100" w:beforeAutospacing="1" w:after="100" w:afterAutospacing="1" w:line="240" w:lineRule="auto"/>
              <w:ind w:left="2"/>
              <w:jc w:val="both"/>
              <w:rPr>
                <w:rFonts w:eastAsia="Calibri" w:cs="Calibri"/>
                <w:lang w:bidi="en-US"/>
              </w:rPr>
            </w:pPr>
            <w:r>
              <w:rPr>
                <w:rFonts w:eastAsia="Arial" w:cs="Arial"/>
                <w:b/>
                <w:lang w:bidi="en-US"/>
              </w:rPr>
              <w:t xml:space="preserve">Criteria </w:t>
            </w:r>
          </w:p>
        </w:tc>
        <w:tc>
          <w:tcPr>
            <w:tcW w:w="5330" w:type="dxa"/>
            <w:tcBorders>
              <w:top w:val="single" w:color="000000" w:sz="4" w:space="0"/>
              <w:left w:val="nil"/>
              <w:bottom w:val="single" w:color="000000" w:sz="4" w:space="0"/>
              <w:right w:val="single" w:color="000000" w:sz="4" w:space="0"/>
            </w:tcBorders>
          </w:tcPr>
          <w:p w14:paraId="3D0EDDC5">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1054" w:type="dxa"/>
            <w:tcBorders>
              <w:top w:val="single" w:color="000000" w:sz="4" w:space="0"/>
              <w:left w:val="single" w:color="000000" w:sz="4" w:space="0"/>
              <w:bottom w:val="single" w:color="000000" w:sz="4" w:space="0"/>
              <w:right w:val="single" w:color="000000" w:sz="4" w:space="0"/>
            </w:tcBorders>
          </w:tcPr>
          <w:p w14:paraId="7E5EAB53">
            <w:pPr>
              <w:widowControl w:val="0"/>
              <w:tabs>
                <w:tab w:val="left" w:pos="709"/>
              </w:tabs>
              <w:autoSpaceDE w:val="0"/>
              <w:autoSpaceDN w:val="0"/>
              <w:spacing w:before="100" w:beforeAutospacing="1" w:after="100" w:afterAutospacing="1" w:line="240" w:lineRule="auto"/>
              <w:ind w:left="9"/>
              <w:jc w:val="both"/>
              <w:rPr>
                <w:rFonts w:eastAsia="Calibri" w:cs="Calibri"/>
                <w:lang w:bidi="en-US"/>
              </w:rPr>
            </w:pPr>
            <w:r>
              <w:rPr>
                <w:rFonts w:eastAsia="Arial" w:cs="Arial"/>
                <w:b/>
                <w:lang w:bidi="en-US"/>
              </w:rPr>
              <w:t xml:space="preserve">Rating </w:t>
            </w:r>
          </w:p>
        </w:tc>
      </w:tr>
      <w:tr w14:paraId="483ABEEA">
        <w:tblPrEx>
          <w:tblCellMar>
            <w:top w:w="8" w:type="dxa"/>
            <w:left w:w="106" w:type="dxa"/>
            <w:bottom w:w="0" w:type="dxa"/>
            <w:right w:w="115" w:type="dxa"/>
          </w:tblCellMar>
        </w:tblPrEx>
        <w:trPr>
          <w:trHeight w:val="240" w:hRule="atLeast"/>
        </w:trPr>
        <w:tc>
          <w:tcPr>
            <w:tcW w:w="2325" w:type="dxa"/>
            <w:vMerge w:val="restart"/>
            <w:tcBorders>
              <w:top w:val="single" w:color="000000" w:sz="4" w:space="0"/>
              <w:left w:val="single" w:color="000000" w:sz="4" w:space="0"/>
              <w:bottom w:val="single" w:color="000000" w:sz="4" w:space="0"/>
              <w:right w:val="single" w:color="000000" w:sz="4" w:space="0"/>
            </w:tcBorders>
          </w:tcPr>
          <w:p w14:paraId="6ACDB057">
            <w:pPr>
              <w:widowControl w:val="0"/>
              <w:tabs>
                <w:tab w:val="left" w:pos="709"/>
              </w:tabs>
              <w:autoSpaceDE w:val="0"/>
              <w:autoSpaceDN w:val="0"/>
              <w:spacing w:before="100" w:beforeAutospacing="1" w:after="100" w:afterAutospacing="1" w:line="240" w:lineRule="auto"/>
              <w:ind w:left="2"/>
              <w:jc w:val="both"/>
              <w:rPr>
                <w:rFonts w:eastAsia="Calibri" w:cs="Calibri"/>
                <w:lang w:bidi="en-US"/>
              </w:rPr>
            </w:pPr>
            <w:r>
              <w:rPr>
                <w:rFonts w:eastAsia="Arial" w:cs="Arial"/>
                <w:b/>
                <w:lang w:bidi="en-US"/>
              </w:rPr>
              <w:t xml:space="preserve">Consequences </w:t>
            </w:r>
          </w:p>
        </w:tc>
        <w:tc>
          <w:tcPr>
            <w:tcW w:w="5330" w:type="dxa"/>
            <w:tcBorders>
              <w:top w:val="single" w:color="000000" w:sz="4" w:space="0"/>
              <w:left w:val="single" w:color="000000" w:sz="4" w:space="0"/>
              <w:bottom w:val="single" w:color="000000" w:sz="4" w:space="0"/>
              <w:right w:val="single" w:color="000000" w:sz="4" w:space="0"/>
            </w:tcBorders>
          </w:tcPr>
          <w:p w14:paraId="6FF2DD68">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Severity/Magnitude of Impact </w:t>
            </w:r>
          </w:p>
        </w:tc>
        <w:tc>
          <w:tcPr>
            <w:tcW w:w="1054" w:type="dxa"/>
            <w:tcBorders>
              <w:top w:val="single" w:color="000000" w:sz="4" w:space="0"/>
              <w:left w:val="single" w:color="000000" w:sz="4" w:space="0"/>
              <w:bottom w:val="single" w:color="000000" w:sz="4" w:space="0"/>
              <w:right w:val="single" w:color="000000" w:sz="4" w:space="0"/>
            </w:tcBorders>
          </w:tcPr>
          <w:p w14:paraId="5324DCE2">
            <w:pPr>
              <w:widowControl w:val="0"/>
              <w:tabs>
                <w:tab w:val="left" w:pos="709"/>
              </w:tabs>
              <w:autoSpaceDE w:val="0"/>
              <w:autoSpaceDN w:val="0"/>
              <w:spacing w:before="100" w:beforeAutospacing="1" w:after="100" w:afterAutospacing="1" w:line="240" w:lineRule="auto"/>
              <w:ind w:left="8"/>
              <w:jc w:val="both"/>
              <w:rPr>
                <w:rFonts w:eastAsia="Calibri" w:cs="Calibri"/>
                <w:lang w:bidi="en-US"/>
              </w:rPr>
            </w:pPr>
            <w:r>
              <w:rPr>
                <w:rFonts w:eastAsia="Arial" w:cs="Arial"/>
                <w:lang w:bidi="en-US"/>
              </w:rPr>
              <w:t xml:space="preserve">2 </w:t>
            </w:r>
          </w:p>
        </w:tc>
      </w:tr>
      <w:tr w14:paraId="10F8FA4B">
        <w:tblPrEx>
          <w:tblCellMar>
            <w:top w:w="8" w:type="dxa"/>
            <w:left w:w="106" w:type="dxa"/>
            <w:bottom w:w="0" w:type="dxa"/>
            <w:right w:w="115" w:type="dxa"/>
          </w:tblCellMar>
        </w:tblPrEx>
        <w:trPr>
          <w:trHeight w:val="240" w:hRule="atLeast"/>
        </w:trPr>
        <w:tc>
          <w:tcPr>
            <w:tcW w:w="2325" w:type="dxa"/>
            <w:vMerge w:val="continue"/>
            <w:tcBorders>
              <w:top w:val="nil"/>
              <w:left w:val="single" w:color="000000" w:sz="4" w:space="0"/>
              <w:bottom w:val="nil"/>
              <w:right w:val="single" w:color="000000" w:sz="4" w:space="0"/>
            </w:tcBorders>
          </w:tcPr>
          <w:p w14:paraId="10BAF7AB">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5330" w:type="dxa"/>
            <w:tcBorders>
              <w:top w:val="single" w:color="000000" w:sz="4" w:space="0"/>
              <w:left w:val="single" w:color="000000" w:sz="4" w:space="0"/>
              <w:bottom w:val="single" w:color="000000" w:sz="4" w:space="0"/>
              <w:right w:val="single" w:color="000000" w:sz="4" w:space="0"/>
            </w:tcBorders>
          </w:tcPr>
          <w:p w14:paraId="6FBC1ABC">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Spatial Scope/Geographic Extent of Impact </w:t>
            </w:r>
          </w:p>
        </w:tc>
        <w:tc>
          <w:tcPr>
            <w:tcW w:w="1054" w:type="dxa"/>
            <w:tcBorders>
              <w:top w:val="single" w:color="000000" w:sz="4" w:space="0"/>
              <w:left w:val="single" w:color="000000" w:sz="4" w:space="0"/>
              <w:bottom w:val="single" w:color="000000" w:sz="4" w:space="0"/>
              <w:right w:val="single" w:color="000000" w:sz="4" w:space="0"/>
            </w:tcBorders>
          </w:tcPr>
          <w:p w14:paraId="1E5A804E">
            <w:pPr>
              <w:widowControl w:val="0"/>
              <w:tabs>
                <w:tab w:val="left" w:pos="709"/>
              </w:tabs>
              <w:autoSpaceDE w:val="0"/>
              <w:autoSpaceDN w:val="0"/>
              <w:spacing w:before="100" w:beforeAutospacing="1" w:after="100" w:afterAutospacing="1" w:line="240" w:lineRule="auto"/>
              <w:ind w:left="8"/>
              <w:jc w:val="both"/>
              <w:rPr>
                <w:rFonts w:eastAsia="Calibri" w:cs="Calibri"/>
                <w:lang w:bidi="en-US"/>
              </w:rPr>
            </w:pPr>
            <w:r>
              <w:rPr>
                <w:rFonts w:eastAsia="Arial" w:cs="Arial"/>
                <w:lang w:bidi="en-US"/>
              </w:rPr>
              <w:t xml:space="preserve">2 </w:t>
            </w:r>
          </w:p>
        </w:tc>
      </w:tr>
      <w:tr w14:paraId="45AB5E36">
        <w:tblPrEx>
          <w:tblCellMar>
            <w:top w:w="8" w:type="dxa"/>
            <w:left w:w="106" w:type="dxa"/>
            <w:bottom w:w="0" w:type="dxa"/>
            <w:right w:w="115" w:type="dxa"/>
          </w:tblCellMar>
        </w:tblPrEx>
        <w:trPr>
          <w:trHeight w:val="240" w:hRule="atLeast"/>
        </w:trPr>
        <w:tc>
          <w:tcPr>
            <w:tcW w:w="2325" w:type="dxa"/>
            <w:vMerge w:val="continue"/>
            <w:tcBorders>
              <w:top w:val="nil"/>
              <w:left w:val="single" w:color="000000" w:sz="4" w:space="0"/>
              <w:bottom w:val="single" w:color="000000" w:sz="4" w:space="0"/>
              <w:right w:val="single" w:color="000000" w:sz="4" w:space="0"/>
            </w:tcBorders>
          </w:tcPr>
          <w:p w14:paraId="3AA6CD70">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5330" w:type="dxa"/>
            <w:tcBorders>
              <w:top w:val="single" w:color="000000" w:sz="4" w:space="0"/>
              <w:left w:val="single" w:color="000000" w:sz="4" w:space="0"/>
              <w:bottom w:val="single" w:color="000000" w:sz="4" w:space="0"/>
              <w:right w:val="single" w:color="000000" w:sz="4" w:space="0"/>
            </w:tcBorders>
          </w:tcPr>
          <w:p w14:paraId="2C241263">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Duration of Impact </w:t>
            </w:r>
          </w:p>
        </w:tc>
        <w:tc>
          <w:tcPr>
            <w:tcW w:w="1054" w:type="dxa"/>
            <w:tcBorders>
              <w:top w:val="single" w:color="000000" w:sz="4" w:space="0"/>
              <w:left w:val="single" w:color="000000" w:sz="4" w:space="0"/>
              <w:bottom w:val="single" w:color="000000" w:sz="4" w:space="0"/>
              <w:right w:val="single" w:color="000000" w:sz="4" w:space="0"/>
            </w:tcBorders>
          </w:tcPr>
          <w:p w14:paraId="7EE22B7D">
            <w:pPr>
              <w:widowControl w:val="0"/>
              <w:tabs>
                <w:tab w:val="left" w:pos="709"/>
              </w:tabs>
              <w:autoSpaceDE w:val="0"/>
              <w:autoSpaceDN w:val="0"/>
              <w:spacing w:before="100" w:beforeAutospacing="1" w:after="100" w:afterAutospacing="1" w:line="240" w:lineRule="auto"/>
              <w:ind w:left="8"/>
              <w:jc w:val="both"/>
              <w:rPr>
                <w:rFonts w:eastAsia="Calibri" w:cs="Calibri"/>
                <w:lang w:bidi="en-US"/>
              </w:rPr>
            </w:pPr>
            <w:r>
              <w:rPr>
                <w:rFonts w:eastAsia="Arial" w:cs="Arial"/>
                <w:lang w:bidi="en-US"/>
              </w:rPr>
              <w:t xml:space="preserve">1 </w:t>
            </w:r>
          </w:p>
        </w:tc>
      </w:tr>
      <w:tr w14:paraId="0E4325CB">
        <w:tblPrEx>
          <w:tblCellMar>
            <w:top w:w="8" w:type="dxa"/>
            <w:left w:w="106" w:type="dxa"/>
            <w:bottom w:w="0" w:type="dxa"/>
            <w:right w:w="115" w:type="dxa"/>
          </w:tblCellMar>
        </w:tblPrEx>
        <w:trPr>
          <w:trHeight w:val="240" w:hRule="atLeast"/>
        </w:trPr>
        <w:tc>
          <w:tcPr>
            <w:tcW w:w="2325" w:type="dxa"/>
            <w:vMerge w:val="restart"/>
            <w:tcBorders>
              <w:top w:val="single" w:color="000000" w:sz="4" w:space="0"/>
              <w:left w:val="single" w:color="000000" w:sz="4" w:space="0"/>
              <w:bottom w:val="single" w:color="000000" w:sz="4" w:space="0"/>
              <w:right w:val="single" w:color="000000" w:sz="4" w:space="0"/>
            </w:tcBorders>
          </w:tcPr>
          <w:p w14:paraId="5A4A0493">
            <w:pPr>
              <w:widowControl w:val="0"/>
              <w:tabs>
                <w:tab w:val="left" w:pos="709"/>
              </w:tabs>
              <w:autoSpaceDE w:val="0"/>
              <w:autoSpaceDN w:val="0"/>
              <w:spacing w:before="100" w:beforeAutospacing="1" w:after="100" w:afterAutospacing="1" w:line="240" w:lineRule="auto"/>
              <w:ind w:left="2"/>
              <w:jc w:val="both"/>
              <w:rPr>
                <w:rFonts w:eastAsia="Calibri" w:cs="Calibri"/>
                <w:lang w:bidi="en-US"/>
              </w:rPr>
            </w:pPr>
            <w:r>
              <w:rPr>
                <w:rFonts w:eastAsia="Arial" w:cs="Arial"/>
                <w:b/>
                <w:lang w:bidi="en-US"/>
              </w:rPr>
              <w:t xml:space="preserve">Likelihood </w:t>
            </w:r>
          </w:p>
        </w:tc>
        <w:tc>
          <w:tcPr>
            <w:tcW w:w="5330" w:type="dxa"/>
            <w:tcBorders>
              <w:top w:val="single" w:color="000000" w:sz="4" w:space="0"/>
              <w:left w:val="single" w:color="000000" w:sz="4" w:space="0"/>
              <w:bottom w:val="single" w:color="000000" w:sz="4" w:space="0"/>
              <w:right w:val="single" w:color="000000" w:sz="4" w:space="0"/>
            </w:tcBorders>
          </w:tcPr>
          <w:p w14:paraId="649E55C4">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Frequency/duration of activity </w:t>
            </w:r>
          </w:p>
        </w:tc>
        <w:tc>
          <w:tcPr>
            <w:tcW w:w="1054" w:type="dxa"/>
            <w:tcBorders>
              <w:top w:val="single" w:color="000000" w:sz="4" w:space="0"/>
              <w:left w:val="single" w:color="000000" w:sz="4" w:space="0"/>
              <w:bottom w:val="single" w:color="000000" w:sz="4" w:space="0"/>
              <w:right w:val="single" w:color="000000" w:sz="4" w:space="0"/>
            </w:tcBorders>
          </w:tcPr>
          <w:p w14:paraId="294D1C4B">
            <w:pPr>
              <w:widowControl w:val="0"/>
              <w:tabs>
                <w:tab w:val="left" w:pos="709"/>
              </w:tabs>
              <w:autoSpaceDE w:val="0"/>
              <w:autoSpaceDN w:val="0"/>
              <w:spacing w:before="100" w:beforeAutospacing="1" w:after="100" w:afterAutospacing="1" w:line="240" w:lineRule="auto"/>
              <w:ind w:left="8"/>
              <w:jc w:val="both"/>
              <w:rPr>
                <w:rFonts w:eastAsia="Calibri" w:cs="Calibri"/>
                <w:lang w:bidi="en-US"/>
              </w:rPr>
            </w:pPr>
            <w:r>
              <w:rPr>
                <w:rFonts w:eastAsia="Arial" w:cs="Arial"/>
                <w:lang w:bidi="en-US"/>
              </w:rPr>
              <w:t>2</w:t>
            </w:r>
          </w:p>
        </w:tc>
      </w:tr>
      <w:tr w14:paraId="3352FC62">
        <w:tblPrEx>
          <w:tblCellMar>
            <w:top w:w="8" w:type="dxa"/>
            <w:left w:w="106" w:type="dxa"/>
            <w:bottom w:w="0" w:type="dxa"/>
            <w:right w:w="115" w:type="dxa"/>
          </w:tblCellMar>
        </w:tblPrEx>
        <w:trPr>
          <w:trHeight w:val="241" w:hRule="atLeast"/>
        </w:trPr>
        <w:tc>
          <w:tcPr>
            <w:tcW w:w="2325" w:type="dxa"/>
            <w:vMerge w:val="continue"/>
            <w:tcBorders>
              <w:top w:val="nil"/>
              <w:left w:val="single" w:color="000000" w:sz="4" w:space="0"/>
              <w:bottom w:val="single" w:color="000000" w:sz="4" w:space="0"/>
              <w:right w:val="single" w:color="000000" w:sz="4" w:space="0"/>
            </w:tcBorders>
          </w:tcPr>
          <w:p w14:paraId="410D873B">
            <w:pPr>
              <w:widowControl w:val="0"/>
              <w:tabs>
                <w:tab w:val="left" w:pos="709"/>
              </w:tabs>
              <w:autoSpaceDE w:val="0"/>
              <w:autoSpaceDN w:val="0"/>
              <w:spacing w:before="100" w:beforeAutospacing="1" w:after="100" w:afterAutospacing="1" w:line="240" w:lineRule="auto"/>
              <w:jc w:val="both"/>
              <w:rPr>
                <w:rFonts w:eastAsia="Calibri" w:cs="Calibri"/>
                <w:lang w:bidi="en-US"/>
              </w:rPr>
            </w:pPr>
          </w:p>
        </w:tc>
        <w:tc>
          <w:tcPr>
            <w:tcW w:w="5330" w:type="dxa"/>
            <w:tcBorders>
              <w:top w:val="single" w:color="000000" w:sz="4" w:space="0"/>
              <w:left w:val="single" w:color="000000" w:sz="4" w:space="0"/>
              <w:bottom w:val="single" w:color="000000" w:sz="4" w:space="0"/>
              <w:right w:val="single" w:color="000000" w:sz="4" w:space="0"/>
            </w:tcBorders>
          </w:tcPr>
          <w:p w14:paraId="3F09BBE6">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lang w:bidi="en-US"/>
              </w:rPr>
              <w:t xml:space="preserve">Frequency of impact </w:t>
            </w:r>
          </w:p>
        </w:tc>
        <w:tc>
          <w:tcPr>
            <w:tcW w:w="1054" w:type="dxa"/>
            <w:tcBorders>
              <w:top w:val="single" w:color="000000" w:sz="4" w:space="0"/>
              <w:left w:val="single" w:color="000000" w:sz="4" w:space="0"/>
              <w:bottom w:val="single" w:color="000000" w:sz="4" w:space="0"/>
              <w:right w:val="single" w:color="000000" w:sz="4" w:space="0"/>
            </w:tcBorders>
          </w:tcPr>
          <w:p w14:paraId="737A3BBF">
            <w:pPr>
              <w:widowControl w:val="0"/>
              <w:tabs>
                <w:tab w:val="left" w:pos="709"/>
              </w:tabs>
              <w:autoSpaceDE w:val="0"/>
              <w:autoSpaceDN w:val="0"/>
              <w:spacing w:before="100" w:beforeAutospacing="1" w:after="100" w:afterAutospacing="1" w:line="240" w:lineRule="auto"/>
              <w:ind w:left="8"/>
              <w:jc w:val="both"/>
              <w:rPr>
                <w:rFonts w:eastAsia="Calibri" w:cs="Calibri"/>
                <w:lang w:bidi="en-US"/>
              </w:rPr>
            </w:pPr>
            <w:r>
              <w:rPr>
                <w:rFonts w:eastAsia="Arial" w:cs="Arial"/>
                <w:lang w:bidi="en-US"/>
              </w:rPr>
              <w:t>2</w:t>
            </w:r>
          </w:p>
        </w:tc>
      </w:tr>
      <w:tr w14:paraId="6DB58A4F">
        <w:tblPrEx>
          <w:tblCellMar>
            <w:top w:w="8" w:type="dxa"/>
            <w:left w:w="106" w:type="dxa"/>
            <w:bottom w:w="0" w:type="dxa"/>
            <w:right w:w="115" w:type="dxa"/>
          </w:tblCellMar>
        </w:tblPrEx>
        <w:trPr>
          <w:trHeight w:val="238" w:hRule="atLeast"/>
        </w:trPr>
        <w:tc>
          <w:tcPr>
            <w:tcW w:w="2325" w:type="dxa"/>
            <w:tcBorders>
              <w:top w:val="single" w:color="000000" w:sz="4" w:space="0"/>
              <w:left w:val="single" w:color="000000" w:sz="4" w:space="0"/>
              <w:bottom w:val="single" w:color="000000" w:sz="4" w:space="0"/>
              <w:right w:val="single" w:color="000000" w:sz="4" w:space="0"/>
            </w:tcBorders>
          </w:tcPr>
          <w:p w14:paraId="11A907F5">
            <w:pPr>
              <w:widowControl w:val="0"/>
              <w:tabs>
                <w:tab w:val="left" w:pos="709"/>
              </w:tabs>
              <w:autoSpaceDE w:val="0"/>
              <w:autoSpaceDN w:val="0"/>
              <w:spacing w:before="100" w:beforeAutospacing="1" w:after="100" w:afterAutospacing="1" w:line="240" w:lineRule="auto"/>
              <w:ind w:left="2"/>
              <w:jc w:val="both"/>
              <w:rPr>
                <w:rFonts w:eastAsia="Calibri" w:cs="Calibri"/>
                <w:lang w:bidi="en-US"/>
              </w:rPr>
            </w:pPr>
            <w:r>
              <w:rPr>
                <w:rFonts w:eastAsia="Arial" w:cs="Arial"/>
                <w:b/>
                <w:lang w:bidi="en-US"/>
              </w:rPr>
              <w:t xml:space="preserve">Impact Significance Rating </w:t>
            </w:r>
          </w:p>
        </w:tc>
        <w:tc>
          <w:tcPr>
            <w:tcW w:w="5330" w:type="dxa"/>
            <w:tcBorders>
              <w:top w:val="single" w:color="000000" w:sz="4" w:space="0"/>
              <w:left w:val="single" w:color="000000" w:sz="4" w:space="0"/>
              <w:bottom w:val="single" w:color="000000" w:sz="4" w:space="0"/>
              <w:right w:val="single" w:color="000000" w:sz="4" w:space="0"/>
            </w:tcBorders>
          </w:tcPr>
          <w:p w14:paraId="1CA2F901">
            <w:pPr>
              <w:widowControl w:val="0"/>
              <w:tabs>
                <w:tab w:val="left" w:pos="709"/>
              </w:tabs>
              <w:autoSpaceDE w:val="0"/>
              <w:autoSpaceDN w:val="0"/>
              <w:spacing w:before="100" w:beforeAutospacing="1" w:after="100" w:afterAutospacing="1" w:line="240" w:lineRule="auto"/>
              <w:jc w:val="both"/>
              <w:rPr>
                <w:rFonts w:eastAsia="Calibri" w:cs="Calibri"/>
                <w:lang w:bidi="en-US"/>
              </w:rPr>
            </w:pPr>
            <w:r>
              <w:rPr>
                <w:rFonts w:eastAsia="Arial" w:cs="Arial"/>
                <w:b/>
                <w:lang w:bidi="en-US"/>
              </w:rPr>
              <w:t xml:space="preserve">Medium High </w:t>
            </w:r>
          </w:p>
        </w:tc>
        <w:tc>
          <w:tcPr>
            <w:tcW w:w="1054" w:type="dxa"/>
            <w:tcBorders>
              <w:top w:val="single" w:color="000000" w:sz="4" w:space="0"/>
              <w:left w:val="single" w:color="000000" w:sz="4" w:space="0"/>
              <w:bottom w:val="single" w:color="000000" w:sz="4" w:space="0"/>
              <w:right w:val="single" w:color="000000" w:sz="4" w:space="0"/>
            </w:tcBorders>
            <w:shd w:val="clear" w:color="auto" w:fill="FFE599" w:themeFill="accent4" w:themeFillTint="66"/>
          </w:tcPr>
          <w:p w14:paraId="33375B47">
            <w:pPr>
              <w:widowControl w:val="0"/>
              <w:tabs>
                <w:tab w:val="left" w:pos="709"/>
              </w:tabs>
              <w:autoSpaceDE w:val="0"/>
              <w:autoSpaceDN w:val="0"/>
              <w:spacing w:before="100" w:beforeAutospacing="1" w:after="100" w:afterAutospacing="1" w:line="240" w:lineRule="auto"/>
              <w:ind w:left="8"/>
              <w:jc w:val="both"/>
              <w:rPr>
                <w:rFonts w:eastAsia="Calibri" w:cs="Calibri"/>
                <w:lang w:bidi="en-US"/>
              </w:rPr>
            </w:pPr>
            <w:r>
              <w:rPr>
                <w:rFonts w:eastAsia="Arial" w:cs="Arial"/>
                <w:lang w:bidi="en-US"/>
              </w:rPr>
              <w:t xml:space="preserve">24 </w:t>
            </w:r>
          </w:p>
        </w:tc>
      </w:tr>
    </w:tbl>
    <w:p w14:paraId="1F194189">
      <w:pPr>
        <w:widowControl w:val="0"/>
        <w:tabs>
          <w:tab w:val="left" w:pos="709"/>
        </w:tabs>
        <w:autoSpaceDE w:val="0"/>
        <w:autoSpaceDN w:val="0"/>
        <w:spacing w:before="100" w:beforeAutospacing="1" w:after="100" w:afterAutospacing="1" w:line="240" w:lineRule="auto"/>
        <w:ind w:left="709"/>
        <w:jc w:val="both"/>
        <w:rPr>
          <w:rFonts w:eastAsia="Calibri" w:cs="Times New Roman"/>
          <w:bCs/>
          <w:lang w:eastAsia="en-GB" w:bidi="en-US"/>
        </w:rPr>
      </w:pPr>
      <w:r>
        <w:rPr>
          <w:rFonts w:eastAsia="Calibri" w:cs="Times New Roman"/>
          <w:bCs/>
          <w:i/>
          <w:lang w:eastAsia="en-GB" w:bidi="en-US"/>
        </w:rPr>
        <w:t>Mitigation measures</w:t>
      </w:r>
    </w:p>
    <w:p w14:paraId="26F3F82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Enforce strict safety regulations and provide adequate training for workers.</w:t>
      </w:r>
    </w:p>
    <w:p w14:paraId="78844376">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Implement dust and noise control measures to minimize pollution and disturbance to nearby residents.</w:t>
      </w:r>
    </w:p>
    <w:p w14:paraId="4AA6B1F3">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sectPr>
          <w:headerReference r:id="rId29" w:type="default"/>
          <w:pgSz w:w="11906" w:h="16838"/>
          <w:pgMar w:top="1440" w:right="1440" w:bottom="1440" w:left="1440" w:header="720" w:footer="720" w:gutter="0"/>
          <w:cols w:space="720" w:num="1"/>
          <w:docGrid w:linePitch="360" w:charSpace="0"/>
        </w:sectPr>
      </w:pPr>
      <w:r>
        <w:rPr>
          <w:rFonts w:eastAsia="Calibri" w:cs="Calibri"/>
          <w:lang w:bidi="en-US"/>
        </w:rPr>
        <w:t>Communicate potential risks to the public and provide guidance on safety precautions</w:t>
      </w:r>
    </w:p>
    <w:p w14:paraId="46CC2349">
      <w:pPr>
        <w:pStyle w:val="2"/>
      </w:pPr>
      <w:bookmarkStart w:id="497" w:name="_Toc179904099"/>
      <w:r>
        <w:t xml:space="preserve">9. </w:t>
      </w:r>
      <w:r>
        <w:tab/>
      </w:r>
      <w:r>
        <w:t>ENVIRONMENTAL &amp; SOCIAL MONITORING &amp; MANAGEMENT PLAN(ESMMP)</w:t>
      </w:r>
      <w:bookmarkEnd w:id="369"/>
      <w:bookmarkEnd w:id="370"/>
      <w:bookmarkEnd w:id="371"/>
      <w:bookmarkEnd w:id="497"/>
    </w:p>
    <w:p w14:paraId="20727632">
      <w:pPr>
        <w:widowControl w:val="0"/>
        <w:tabs>
          <w:tab w:val="left" w:pos="709"/>
        </w:tabs>
        <w:spacing w:before="100" w:beforeAutospacing="1" w:after="100" w:afterAutospacing="1" w:line="240" w:lineRule="auto"/>
        <w:ind w:left="709"/>
        <w:jc w:val="both"/>
        <w:rPr>
          <w:color w:val="000000"/>
        </w:rPr>
      </w:pPr>
      <w:bookmarkStart w:id="498" w:name="_Toc160029167"/>
      <w:bookmarkStart w:id="499" w:name="_Toc160348553"/>
      <w:bookmarkStart w:id="500" w:name="_Toc159931141"/>
      <w:bookmarkStart w:id="501" w:name="_Toc78376022"/>
      <w:bookmarkStart w:id="502" w:name="_Toc153177577"/>
      <w:bookmarkStart w:id="503" w:name="_Toc165561352"/>
      <w:bookmarkStart w:id="504" w:name="_Toc159939386"/>
      <w:bookmarkStart w:id="505" w:name="_Toc163820073"/>
      <w:bookmarkStart w:id="506" w:name="_Toc156294770"/>
      <w:r>
        <w:rPr>
          <w:color w:val="000000"/>
        </w:rPr>
        <w:t xml:space="preserve">Environmental management is an important aspect of project management and in protecting the environment. The objectives of environmental management plan are to ensure smooth implementation of environmental protection measures, mitigate adverse environmental impacts of project implementation, and ensure environmental and social protection activities are carried out smoothly in the project areas. The Wajir Faecal Sludge Treatment Plant Project components have been subjected to comprehensive environmental and social impacts assessment in accordance with prevailing environmental laws and guidelines. Various potential adverse environmental and social impacts associated with the project have been identified and an EMP formulated to guide in mitigating the negative impacts. </w:t>
      </w:r>
    </w:p>
    <w:p w14:paraId="622D2B5D">
      <w:pPr>
        <w:widowControl w:val="0"/>
        <w:tabs>
          <w:tab w:val="left" w:pos="709"/>
        </w:tabs>
        <w:spacing w:before="100" w:beforeAutospacing="1" w:after="100" w:afterAutospacing="1" w:line="240" w:lineRule="auto"/>
        <w:ind w:left="709"/>
        <w:jc w:val="both"/>
        <w:rPr>
          <w:color w:val="000000"/>
        </w:rPr>
      </w:pPr>
      <w:r>
        <w:rPr>
          <w:color w:val="000000"/>
        </w:rPr>
        <w:t>However, the implementation of some of the ESMMP actions will require a response beyond the project level. There is need therefore to have a multi-sectoral approach that will require unified management structures for such proposed measures. The project proponent is required to identify the actions and respond appropriately. Where the expert team could not determine the realistic costs of some of the proposed environmental management activities due to the associated hidden costs, further actions will be proposed to come up with more accurate costs. It is upon the project proponent and the environmental enforcement agencies to ensure that the proposals are adhered to during the project implementation.</w:t>
      </w:r>
    </w:p>
    <w:p w14:paraId="79E56865">
      <w:pPr>
        <w:tabs>
          <w:tab w:val="left" w:pos="709"/>
        </w:tabs>
        <w:spacing w:before="100" w:beforeAutospacing="1" w:after="100" w:afterAutospacing="1" w:line="240" w:lineRule="auto"/>
        <w:ind w:left="709"/>
        <w:jc w:val="both"/>
        <w:rPr>
          <w:color w:val="000000"/>
        </w:rPr>
      </w:pPr>
      <w:r>
        <w:rPr>
          <w:color w:val="000000"/>
        </w:rPr>
        <w:t>The ESMMP prepared below brings out the potential impact, mitigation measures, responsibility during the time of its implementation, time frame which the impact will occur (Implementation/construction, operation and decommissioning) and the cost of the mitigation measure.</w:t>
      </w:r>
    </w:p>
    <w:p w14:paraId="70E2F42F">
      <w:pPr>
        <w:pStyle w:val="117"/>
      </w:pPr>
      <w:bookmarkStart w:id="507" w:name="_Toc179904100"/>
      <w:bookmarkStart w:id="508" w:name="_Toc170723034"/>
      <w:r>
        <w:t>9.1</w:t>
      </w:r>
      <w:r>
        <w:tab/>
      </w:r>
      <w:r>
        <w:t>Objectives of the ESMMP</w:t>
      </w:r>
      <w:bookmarkEnd w:id="498"/>
      <w:bookmarkEnd w:id="499"/>
      <w:bookmarkEnd w:id="500"/>
      <w:bookmarkEnd w:id="501"/>
      <w:bookmarkEnd w:id="502"/>
      <w:bookmarkEnd w:id="503"/>
      <w:bookmarkEnd w:id="504"/>
      <w:bookmarkEnd w:id="505"/>
      <w:bookmarkEnd w:id="506"/>
      <w:bookmarkEnd w:id="507"/>
      <w:bookmarkEnd w:id="508"/>
    </w:p>
    <w:p w14:paraId="4DBE94E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To serve as a commitment and reference for the project planners and implementers including conditions of approval from NEMA;</w:t>
      </w:r>
    </w:p>
    <w:p w14:paraId="2363361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To serve as a guiding document for the environmental and social monitoring activities for future studies, on requisite progress reports;</w:t>
      </w:r>
    </w:p>
    <w:p w14:paraId="301DDCFA">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To provide detailed specifications for the management and mitigation of activities that have the potential to impact negatively on the environment;</w:t>
      </w:r>
    </w:p>
    <w:p w14:paraId="04B3428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To provide instructions to relevant project personnel regarding procedures for protecting the environment and minimizing environmental and social effects, thereby supporting the project goal of minimal or zero incidents;</w:t>
      </w:r>
    </w:p>
    <w:p w14:paraId="6C0B26FA">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To document environmental and social concerns and appropriate protection measures; while ensuring that corrective actions are completed in a timely manner; and</w:t>
      </w:r>
    </w:p>
    <w:p w14:paraId="02E3360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To address capacity building requirements within the project team, if necessary.</w:t>
      </w:r>
      <w:bookmarkStart w:id="509" w:name="_Toc156294780"/>
      <w:bookmarkStart w:id="510" w:name="_Toc165561362"/>
      <w:bookmarkStart w:id="511" w:name="_Toc153177587"/>
      <w:bookmarkStart w:id="512" w:name="_Toc163820083"/>
    </w:p>
    <w:p w14:paraId="619CE2CA">
      <w:pPr>
        <w:pStyle w:val="117"/>
      </w:pPr>
      <w:bookmarkStart w:id="513" w:name="_Toc179904101"/>
      <w:bookmarkStart w:id="514" w:name="_Toc170723035"/>
      <w:r>
        <w:t>9.2</w:t>
      </w:r>
      <w:r>
        <w:tab/>
      </w:r>
      <w:r>
        <w:t>Impacts Classification Criteria</w:t>
      </w:r>
      <w:bookmarkEnd w:id="509"/>
      <w:bookmarkEnd w:id="510"/>
      <w:bookmarkEnd w:id="511"/>
      <w:bookmarkEnd w:id="512"/>
      <w:bookmarkEnd w:id="513"/>
      <w:bookmarkEnd w:id="514"/>
      <w:bookmarkStart w:id="515" w:name="_Toc159939145"/>
      <w:bookmarkStart w:id="516" w:name="_Toc159931715"/>
      <w:bookmarkStart w:id="517" w:name="_Toc156294800"/>
      <w:bookmarkStart w:id="518" w:name="_Toc160029043"/>
    </w:p>
    <w:p w14:paraId="5AB55253">
      <w:pPr>
        <w:pStyle w:val="23"/>
      </w:pPr>
      <w:bookmarkStart w:id="519" w:name="_Toc179556833"/>
      <w:bookmarkStart w:id="520" w:name="_Toc163820131"/>
      <w:bookmarkStart w:id="521" w:name="_Toc168922658"/>
      <w:bookmarkStart w:id="522" w:name="_Toc165643053"/>
      <w:r>
        <w:t xml:space="preserve">Table </w:t>
      </w:r>
      <w:r>
        <w:fldChar w:fldCharType="begin"/>
      </w:r>
      <w:r>
        <w:instrText xml:space="preserve"> SEQ Table \* ARABIC </w:instrText>
      </w:r>
      <w:r>
        <w:fldChar w:fldCharType="separate"/>
      </w:r>
      <w:r>
        <w:t>22</w:t>
      </w:r>
      <w:r>
        <w:fldChar w:fldCharType="end"/>
      </w:r>
      <w:r>
        <w:t>: The potential impacts classification formula</w:t>
      </w:r>
      <w:bookmarkEnd w:id="515"/>
      <w:bookmarkEnd w:id="516"/>
      <w:bookmarkEnd w:id="517"/>
      <w:bookmarkEnd w:id="518"/>
      <w:bookmarkEnd w:id="519"/>
      <w:bookmarkEnd w:id="520"/>
      <w:bookmarkEnd w:id="521"/>
      <w:bookmarkEnd w:id="522"/>
    </w:p>
    <w:tbl>
      <w:tblPr>
        <w:tblStyle w:val="12"/>
        <w:tblW w:w="8921" w:type="dxa"/>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8"/>
        <w:gridCol w:w="8063"/>
      </w:tblGrid>
      <w:tr w14:paraId="15B4D2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77" w:hRule="atLeast"/>
        </w:trPr>
        <w:tc>
          <w:tcPr>
            <w:tcW w:w="858" w:type="dxa"/>
            <w:shd w:val="clear" w:color="auto" w:fill="4472C4" w:themeFill="accent5"/>
            <w:vAlign w:val="center"/>
          </w:tcPr>
          <w:p w14:paraId="79241D0E">
            <w:pPr>
              <w:tabs>
                <w:tab w:val="left" w:pos="709"/>
              </w:tabs>
              <w:spacing w:before="100" w:beforeAutospacing="1" w:after="100" w:afterAutospacing="1" w:line="240" w:lineRule="auto"/>
              <w:jc w:val="both"/>
              <w:rPr>
                <w:rFonts w:cs="Times New Roman"/>
                <w:b/>
                <w:bCs/>
              </w:rPr>
            </w:pPr>
            <w:r>
              <w:rPr>
                <w:rFonts w:cs="Times New Roman"/>
                <w:b/>
                <w:bCs/>
              </w:rPr>
              <w:t>Impact Level</w:t>
            </w:r>
          </w:p>
        </w:tc>
        <w:tc>
          <w:tcPr>
            <w:tcW w:w="8063" w:type="dxa"/>
            <w:shd w:val="clear" w:color="auto" w:fill="4472C4" w:themeFill="accent5"/>
            <w:vAlign w:val="center"/>
          </w:tcPr>
          <w:p w14:paraId="797B994B">
            <w:pPr>
              <w:tabs>
                <w:tab w:val="left" w:pos="709"/>
              </w:tabs>
              <w:spacing w:before="100" w:beforeAutospacing="1" w:after="100" w:afterAutospacing="1" w:line="240" w:lineRule="auto"/>
              <w:jc w:val="both"/>
              <w:rPr>
                <w:rFonts w:cs="Times New Roman"/>
                <w:b/>
                <w:bCs/>
              </w:rPr>
            </w:pPr>
            <w:r>
              <w:rPr>
                <w:rFonts w:cs="Times New Roman"/>
                <w:b/>
                <w:bCs/>
              </w:rPr>
              <w:t>Definition</w:t>
            </w:r>
          </w:p>
        </w:tc>
      </w:tr>
      <w:tr w14:paraId="40FD58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58" w:type="dxa"/>
            <w:vMerge w:val="restart"/>
            <w:vAlign w:val="center"/>
          </w:tcPr>
          <w:p w14:paraId="54EED80A">
            <w:pPr>
              <w:tabs>
                <w:tab w:val="left" w:pos="709"/>
              </w:tabs>
              <w:spacing w:before="100" w:beforeAutospacing="1" w:after="100" w:afterAutospacing="1" w:line="240" w:lineRule="auto"/>
              <w:jc w:val="both"/>
              <w:rPr>
                <w:rFonts w:cs="Times New Roman"/>
              </w:rPr>
            </w:pPr>
            <w:r>
              <w:rPr>
                <w:rFonts w:cs="Times New Roman"/>
              </w:rPr>
              <w:t>Low</w:t>
            </w:r>
          </w:p>
        </w:tc>
        <w:tc>
          <w:tcPr>
            <w:tcW w:w="8063" w:type="dxa"/>
            <w:vAlign w:val="center"/>
          </w:tcPr>
          <w:p w14:paraId="69E2E879">
            <w:pPr>
              <w:tabs>
                <w:tab w:val="left" w:pos="709"/>
              </w:tabs>
              <w:spacing w:before="100" w:beforeAutospacing="1" w:after="100" w:afterAutospacing="1" w:line="240" w:lineRule="auto"/>
              <w:jc w:val="both"/>
              <w:rPr>
                <w:rFonts w:cs="Times New Roman"/>
              </w:rPr>
            </w:pPr>
            <w:r>
              <w:rPr>
                <w:rFonts w:cs="Times New Roman"/>
              </w:rPr>
              <w:t>Negligible Impact: The activity or event is expected to have minimal or insignificant consequences on the environment, social well-being, or project objectives.</w:t>
            </w:r>
          </w:p>
        </w:tc>
      </w:tr>
      <w:tr w14:paraId="0B4B4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58" w:type="dxa"/>
            <w:vMerge w:val="continue"/>
            <w:vAlign w:val="center"/>
          </w:tcPr>
          <w:p w14:paraId="5249564F">
            <w:pPr>
              <w:tabs>
                <w:tab w:val="left" w:pos="709"/>
              </w:tabs>
              <w:spacing w:before="100" w:beforeAutospacing="1" w:after="100" w:afterAutospacing="1" w:line="240" w:lineRule="auto"/>
              <w:jc w:val="both"/>
              <w:rPr>
                <w:rFonts w:cs="Times New Roman"/>
              </w:rPr>
            </w:pPr>
          </w:p>
        </w:tc>
        <w:tc>
          <w:tcPr>
            <w:tcW w:w="8063" w:type="dxa"/>
            <w:vAlign w:val="center"/>
          </w:tcPr>
          <w:p w14:paraId="62810936">
            <w:pPr>
              <w:tabs>
                <w:tab w:val="left" w:pos="709"/>
              </w:tabs>
              <w:spacing w:before="100" w:beforeAutospacing="1" w:after="100" w:afterAutospacing="1" w:line="240" w:lineRule="auto"/>
              <w:jc w:val="both"/>
              <w:rPr>
                <w:rFonts w:cs="Times New Roman"/>
              </w:rPr>
            </w:pPr>
            <w:r>
              <w:rPr>
                <w:rFonts w:cs="Times New Roman"/>
              </w:rPr>
              <w:t>Localized Impact: The effects are confined to a small area or a limited number of individuals or resources, and are easily manageable with routine measures.</w:t>
            </w:r>
          </w:p>
        </w:tc>
      </w:tr>
      <w:tr w14:paraId="297C12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58" w:type="dxa"/>
            <w:vMerge w:val="continue"/>
            <w:vAlign w:val="center"/>
          </w:tcPr>
          <w:p w14:paraId="620CFA4D">
            <w:pPr>
              <w:tabs>
                <w:tab w:val="left" w:pos="709"/>
              </w:tabs>
              <w:spacing w:before="100" w:beforeAutospacing="1" w:after="100" w:afterAutospacing="1" w:line="240" w:lineRule="auto"/>
              <w:jc w:val="both"/>
              <w:rPr>
                <w:rFonts w:cs="Times New Roman"/>
              </w:rPr>
            </w:pPr>
          </w:p>
        </w:tc>
        <w:tc>
          <w:tcPr>
            <w:tcW w:w="8063" w:type="dxa"/>
            <w:vAlign w:val="center"/>
          </w:tcPr>
          <w:p w14:paraId="26EB3C7B">
            <w:pPr>
              <w:tabs>
                <w:tab w:val="left" w:pos="709"/>
              </w:tabs>
              <w:spacing w:before="100" w:beforeAutospacing="1" w:after="100" w:afterAutospacing="1" w:line="240" w:lineRule="auto"/>
              <w:jc w:val="both"/>
              <w:rPr>
                <w:rFonts w:cs="Times New Roman"/>
              </w:rPr>
            </w:pPr>
            <w:r>
              <w:rPr>
                <w:rFonts w:cs="Times New Roman"/>
              </w:rPr>
              <w:t>Temporary Impact: The effect is short-lived and reversible, with no long-term or permanent alterations to the environment or social conditions.</w:t>
            </w:r>
          </w:p>
        </w:tc>
      </w:tr>
      <w:tr w14:paraId="78ECCD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858" w:type="dxa"/>
            <w:vMerge w:val="restart"/>
            <w:vAlign w:val="center"/>
          </w:tcPr>
          <w:p w14:paraId="17E72D75">
            <w:pPr>
              <w:tabs>
                <w:tab w:val="left" w:pos="709"/>
              </w:tabs>
              <w:spacing w:before="100" w:beforeAutospacing="1" w:after="100" w:afterAutospacing="1" w:line="240" w:lineRule="auto"/>
              <w:jc w:val="both"/>
              <w:rPr>
                <w:rFonts w:cs="Times New Roman"/>
              </w:rPr>
            </w:pPr>
            <w:r>
              <w:rPr>
                <w:rFonts w:cs="Times New Roman"/>
              </w:rPr>
              <w:t>Medium</w:t>
            </w:r>
          </w:p>
        </w:tc>
        <w:tc>
          <w:tcPr>
            <w:tcW w:w="8063" w:type="dxa"/>
            <w:vAlign w:val="center"/>
          </w:tcPr>
          <w:p w14:paraId="1AC7AAB6">
            <w:pPr>
              <w:tabs>
                <w:tab w:val="left" w:pos="709"/>
              </w:tabs>
              <w:spacing w:before="100" w:beforeAutospacing="1" w:after="100" w:afterAutospacing="1" w:line="240" w:lineRule="auto"/>
              <w:jc w:val="both"/>
              <w:rPr>
                <w:rFonts w:cs="Times New Roman"/>
              </w:rPr>
            </w:pPr>
            <w:r>
              <w:rPr>
                <w:rFonts w:cs="Times New Roman"/>
              </w:rPr>
              <w:t>Moderate Impact: The activity or event may result in noticeable changes to the environment, social well-being, or project objectives, but these are generally manageable with appropriate measures.</w:t>
            </w:r>
          </w:p>
        </w:tc>
      </w:tr>
      <w:tr w14:paraId="714CC5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858" w:type="dxa"/>
            <w:vMerge w:val="continue"/>
            <w:vAlign w:val="center"/>
          </w:tcPr>
          <w:p w14:paraId="2F8EC93E">
            <w:pPr>
              <w:tabs>
                <w:tab w:val="left" w:pos="709"/>
              </w:tabs>
              <w:spacing w:before="100" w:beforeAutospacing="1" w:after="100" w:afterAutospacing="1" w:line="240" w:lineRule="auto"/>
              <w:jc w:val="both"/>
              <w:rPr>
                <w:rFonts w:cs="Times New Roman"/>
              </w:rPr>
            </w:pPr>
          </w:p>
        </w:tc>
        <w:tc>
          <w:tcPr>
            <w:tcW w:w="8063" w:type="dxa"/>
            <w:vAlign w:val="center"/>
          </w:tcPr>
          <w:p w14:paraId="13CB1762">
            <w:pPr>
              <w:tabs>
                <w:tab w:val="left" w:pos="709"/>
              </w:tabs>
              <w:spacing w:before="100" w:beforeAutospacing="1" w:after="100" w:afterAutospacing="1" w:line="240" w:lineRule="auto"/>
              <w:jc w:val="both"/>
              <w:rPr>
                <w:rFonts w:cs="Times New Roman"/>
              </w:rPr>
            </w:pPr>
            <w:r>
              <w:rPr>
                <w:rFonts w:cs="Times New Roman"/>
              </w:rPr>
              <w:t>Regional Impact: The effects extend beyond the immediate project area, potentially impacting a broader geographical area or a larger population, requiring specific management strategies.</w:t>
            </w:r>
          </w:p>
        </w:tc>
      </w:tr>
      <w:tr w14:paraId="622E75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 w:hRule="atLeast"/>
        </w:trPr>
        <w:tc>
          <w:tcPr>
            <w:tcW w:w="858" w:type="dxa"/>
            <w:vMerge w:val="continue"/>
            <w:vAlign w:val="center"/>
          </w:tcPr>
          <w:p w14:paraId="29416A23">
            <w:pPr>
              <w:tabs>
                <w:tab w:val="left" w:pos="709"/>
              </w:tabs>
              <w:spacing w:before="100" w:beforeAutospacing="1" w:after="100" w:afterAutospacing="1" w:line="240" w:lineRule="auto"/>
              <w:jc w:val="both"/>
              <w:rPr>
                <w:rFonts w:cs="Times New Roman"/>
              </w:rPr>
            </w:pPr>
          </w:p>
        </w:tc>
        <w:tc>
          <w:tcPr>
            <w:tcW w:w="8063" w:type="dxa"/>
            <w:vAlign w:val="center"/>
          </w:tcPr>
          <w:p w14:paraId="4D9181D4">
            <w:pPr>
              <w:tabs>
                <w:tab w:val="left" w:pos="709"/>
              </w:tabs>
              <w:spacing w:before="100" w:beforeAutospacing="1" w:after="100" w:afterAutospacing="1" w:line="240" w:lineRule="auto"/>
              <w:jc w:val="both"/>
              <w:rPr>
                <w:rFonts w:cs="Times New Roman"/>
              </w:rPr>
            </w:pPr>
            <w:r>
              <w:rPr>
                <w:rFonts w:cs="Times New Roman"/>
              </w:rPr>
              <w:t>Potential for Reversible Impact: While the impact may be significant, it has the potential to be mitigated, restored, or rectified over time with proper intervention.</w:t>
            </w:r>
          </w:p>
        </w:tc>
      </w:tr>
      <w:tr w14:paraId="66CCF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858" w:type="dxa"/>
            <w:vMerge w:val="restart"/>
            <w:vAlign w:val="center"/>
          </w:tcPr>
          <w:p w14:paraId="2B6F3C73">
            <w:pPr>
              <w:tabs>
                <w:tab w:val="left" w:pos="709"/>
              </w:tabs>
              <w:spacing w:before="100" w:beforeAutospacing="1" w:after="100" w:afterAutospacing="1" w:line="240" w:lineRule="auto"/>
              <w:jc w:val="both"/>
              <w:rPr>
                <w:rFonts w:cs="Times New Roman"/>
              </w:rPr>
            </w:pPr>
            <w:r>
              <w:rPr>
                <w:rFonts w:cs="Times New Roman"/>
              </w:rPr>
              <w:t>High</w:t>
            </w:r>
          </w:p>
        </w:tc>
        <w:tc>
          <w:tcPr>
            <w:tcW w:w="8063" w:type="dxa"/>
            <w:vAlign w:val="center"/>
          </w:tcPr>
          <w:p w14:paraId="656ECD75">
            <w:pPr>
              <w:tabs>
                <w:tab w:val="left" w:pos="709"/>
              </w:tabs>
              <w:spacing w:before="100" w:beforeAutospacing="1" w:after="100" w:afterAutospacing="1" w:line="240" w:lineRule="auto"/>
              <w:jc w:val="both"/>
              <w:rPr>
                <w:rFonts w:cs="Times New Roman"/>
              </w:rPr>
            </w:pPr>
            <w:r>
              <w:rPr>
                <w:rFonts w:cs="Times New Roman"/>
              </w:rPr>
              <w:t>Significant Impact: The activity or event is expected to lead to substantial and potentially irreversible changes to the environment, social well-being, or project objectives, necessitating intensive management efforts.</w:t>
            </w:r>
          </w:p>
        </w:tc>
      </w:tr>
      <w:tr w14:paraId="685EC4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858" w:type="dxa"/>
            <w:vMerge w:val="continue"/>
            <w:vAlign w:val="center"/>
          </w:tcPr>
          <w:p w14:paraId="615A1357">
            <w:pPr>
              <w:tabs>
                <w:tab w:val="left" w:pos="709"/>
              </w:tabs>
              <w:spacing w:before="100" w:beforeAutospacing="1" w:after="100" w:afterAutospacing="1" w:line="240" w:lineRule="auto"/>
              <w:jc w:val="both"/>
              <w:rPr>
                <w:rFonts w:cs="Times New Roman"/>
              </w:rPr>
            </w:pPr>
          </w:p>
        </w:tc>
        <w:tc>
          <w:tcPr>
            <w:tcW w:w="8063" w:type="dxa"/>
            <w:vAlign w:val="center"/>
          </w:tcPr>
          <w:p w14:paraId="57A4CD24">
            <w:pPr>
              <w:tabs>
                <w:tab w:val="left" w:pos="709"/>
              </w:tabs>
              <w:spacing w:before="100" w:beforeAutospacing="1" w:after="100" w:afterAutospacing="1" w:line="240" w:lineRule="auto"/>
              <w:jc w:val="both"/>
              <w:rPr>
                <w:rFonts w:cs="Times New Roman"/>
              </w:rPr>
            </w:pPr>
            <w:r>
              <w:rPr>
                <w:rFonts w:cs="Times New Roman"/>
              </w:rPr>
              <w:t>Widespread Impact: The effects are extensive, reaching a large area or a significant portion of the population, potentially affecting critical resources or services, requiring comprehensive management actions.</w:t>
            </w:r>
          </w:p>
        </w:tc>
      </w:tr>
      <w:tr w14:paraId="212FB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858" w:type="dxa"/>
            <w:vMerge w:val="continue"/>
            <w:vAlign w:val="center"/>
          </w:tcPr>
          <w:p w14:paraId="16A28E73">
            <w:pPr>
              <w:tabs>
                <w:tab w:val="left" w:pos="709"/>
              </w:tabs>
              <w:spacing w:before="100" w:beforeAutospacing="1" w:after="100" w:afterAutospacing="1" w:line="240" w:lineRule="auto"/>
              <w:jc w:val="both"/>
              <w:rPr>
                <w:rFonts w:cs="Times New Roman"/>
              </w:rPr>
            </w:pPr>
          </w:p>
        </w:tc>
        <w:tc>
          <w:tcPr>
            <w:tcW w:w="8063" w:type="dxa"/>
            <w:vAlign w:val="center"/>
          </w:tcPr>
          <w:p w14:paraId="753F8720">
            <w:pPr>
              <w:tabs>
                <w:tab w:val="left" w:pos="709"/>
              </w:tabs>
              <w:spacing w:before="100" w:beforeAutospacing="1" w:after="100" w:afterAutospacing="1" w:line="240" w:lineRule="auto"/>
              <w:jc w:val="both"/>
              <w:rPr>
                <w:rFonts w:cs="Times New Roman"/>
              </w:rPr>
            </w:pPr>
            <w:r>
              <w:rPr>
                <w:rFonts w:cs="Times New Roman"/>
              </w:rPr>
              <w:t>Long-term Impact: The consequences are enduring and may persist even after the project has concluded, potentially influencing future generations or the overall sustainability of the area.</w:t>
            </w:r>
          </w:p>
        </w:tc>
      </w:tr>
    </w:tbl>
    <w:p w14:paraId="6A3FB376">
      <w:pPr>
        <w:pStyle w:val="117"/>
      </w:pPr>
      <w:bookmarkStart w:id="523" w:name="_Toc179904102"/>
      <w:r>
        <w:t>9.3</w:t>
      </w:r>
      <w:r>
        <w:tab/>
      </w:r>
      <w:r>
        <w:t>Implementation Arrangements for the Environmental and Social Management Plan</w:t>
      </w:r>
      <w:bookmarkEnd w:id="523"/>
    </w:p>
    <w:p w14:paraId="533434B8">
      <w:pPr>
        <w:ind w:left="709"/>
        <w:jc w:val="both"/>
        <w:rPr>
          <w:lang w:eastAsia="ja-JP"/>
        </w:rPr>
      </w:pPr>
      <w:r>
        <w:rPr>
          <w:lang w:eastAsia="ja-JP"/>
        </w:rPr>
        <w:t>Implementing an Environmental and Social Management Plan (ESMP) for the Wajir Faecal Sludge Treatment Plant (FSTP) involves coordinated efforts from various stakeholders, including the project proponent, consultants, and contractors. Here’s a comprehensive overview of the implementation arrangements and capacity requirements for each party, as well as measures to ensure effective ESMP implementation;</w:t>
      </w:r>
    </w:p>
    <w:p w14:paraId="13652286">
      <w:pPr>
        <w:ind w:left="709"/>
        <w:jc w:val="both"/>
        <w:rPr>
          <w:b/>
          <w:lang w:eastAsia="ja-JP"/>
        </w:rPr>
      </w:pPr>
      <w:r>
        <w:rPr>
          <w:b/>
          <w:lang w:eastAsia="ja-JP"/>
        </w:rPr>
        <w:t>Roles and Responsibilities</w:t>
      </w:r>
    </w:p>
    <w:p w14:paraId="29EA3244">
      <w:pPr>
        <w:ind w:left="709"/>
        <w:jc w:val="both"/>
        <w:rPr>
          <w:b/>
          <w:i/>
          <w:u w:val="single"/>
          <w:lang w:eastAsia="ja-JP"/>
        </w:rPr>
      </w:pPr>
      <w:r>
        <w:rPr>
          <w:b/>
          <w:i/>
          <w:u w:val="single"/>
          <w:lang w:eastAsia="ja-JP"/>
        </w:rPr>
        <w:t>Project Proponent</w:t>
      </w:r>
    </w:p>
    <w:p w14:paraId="18972E67">
      <w:pPr>
        <w:numPr>
          <w:ilvl w:val="0"/>
          <w:numId w:val="36"/>
        </w:numPr>
        <w:tabs>
          <w:tab w:val="left" w:pos="1418"/>
          <w:tab w:val="clear" w:pos="907"/>
        </w:tabs>
        <w:ind w:left="1418" w:hanging="709"/>
        <w:jc w:val="both"/>
        <w:rPr>
          <w:rFonts w:cs="Times New Roman"/>
        </w:rPr>
      </w:pPr>
      <w:r>
        <w:rPr>
          <w:rFonts w:cs="Times New Roman"/>
        </w:rPr>
        <w:t>The proponent is responsible for ensuring compliance with the ESMP throughout the project lifecycle.</w:t>
      </w:r>
    </w:p>
    <w:p w14:paraId="7ADBD4C5">
      <w:pPr>
        <w:numPr>
          <w:ilvl w:val="0"/>
          <w:numId w:val="36"/>
        </w:numPr>
        <w:tabs>
          <w:tab w:val="left" w:pos="1418"/>
          <w:tab w:val="clear" w:pos="907"/>
        </w:tabs>
        <w:ind w:left="1418" w:hanging="709"/>
        <w:jc w:val="both"/>
        <w:rPr>
          <w:rFonts w:cs="Times New Roman"/>
        </w:rPr>
      </w:pPr>
      <w:r>
        <w:rPr>
          <w:rFonts w:cs="Times New Roman"/>
        </w:rPr>
        <w:t>Allocate necessary resources (financial, human, and technical) for the effective implementation of the ESMP.</w:t>
      </w:r>
    </w:p>
    <w:p w14:paraId="5E7E81FA">
      <w:pPr>
        <w:numPr>
          <w:ilvl w:val="0"/>
          <w:numId w:val="36"/>
        </w:numPr>
        <w:tabs>
          <w:tab w:val="left" w:pos="1418"/>
          <w:tab w:val="clear" w:pos="907"/>
        </w:tabs>
        <w:ind w:left="1418" w:hanging="709"/>
        <w:jc w:val="both"/>
        <w:rPr>
          <w:rFonts w:cs="Times New Roman"/>
        </w:rPr>
      </w:pPr>
      <w:r>
        <w:rPr>
          <w:rFonts w:cs="Times New Roman"/>
        </w:rPr>
        <w:t>Facilitate communication between all stakeholders, including regulatory bodies, local communities, and contractors.</w:t>
      </w:r>
    </w:p>
    <w:p w14:paraId="364D29C4">
      <w:pPr>
        <w:ind w:left="709"/>
        <w:jc w:val="both"/>
        <w:rPr>
          <w:b/>
          <w:i/>
          <w:u w:val="single"/>
          <w:lang w:eastAsia="ja-JP"/>
        </w:rPr>
      </w:pPr>
      <w:r>
        <w:rPr>
          <w:b/>
          <w:i/>
          <w:u w:val="single"/>
          <w:lang w:eastAsia="ja-JP"/>
        </w:rPr>
        <w:t>Consultant</w:t>
      </w:r>
    </w:p>
    <w:p w14:paraId="494804CB">
      <w:pPr>
        <w:numPr>
          <w:ilvl w:val="0"/>
          <w:numId w:val="36"/>
        </w:numPr>
        <w:tabs>
          <w:tab w:val="left" w:pos="1418"/>
          <w:tab w:val="clear" w:pos="907"/>
        </w:tabs>
        <w:ind w:left="1418" w:hanging="709"/>
        <w:jc w:val="both"/>
        <w:rPr>
          <w:rFonts w:cs="Times New Roman"/>
        </w:rPr>
      </w:pPr>
      <w:r>
        <w:rPr>
          <w:rFonts w:cs="Times New Roman"/>
        </w:rPr>
        <w:t>Provide expert guidance in the design and implementation of the ESMP, ensuring that environmental and social considerations are integrated.</w:t>
      </w:r>
    </w:p>
    <w:p w14:paraId="6AECA940">
      <w:pPr>
        <w:numPr>
          <w:ilvl w:val="0"/>
          <w:numId w:val="36"/>
        </w:numPr>
        <w:tabs>
          <w:tab w:val="left" w:pos="1418"/>
          <w:tab w:val="clear" w:pos="907"/>
        </w:tabs>
        <w:ind w:left="1418" w:hanging="709"/>
        <w:jc w:val="both"/>
        <w:rPr>
          <w:rFonts w:cs="Times New Roman"/>
        </w:rPr>
      </w:pPr>
      <w:r>
        <w:rPr>
          <w:rFonts w:cs="Times New Roman"/>
        </w:rPr>
        <w:t>Develop monitoring frameworks and tools to assess the effectiveness of the ESMP and prepare periodic reports for the proponent and regulatory authorities.</w:t>
      </w:r>
    </w:p>
    <w:p w14:paraId="1425DD5C">
      <w:pPr>
        <w:numPr>
          <w:ilvl w:val="0"/>
          <w:numId w:val="36"/>
        </w:numPr>
        <w:tabs>
          <w:tab w:val="left" w:pos="1418"/>
          <w:tab w:val="clear" w:pos="907"/>
        </w:tabs>
        <w:ind w:left="1418" w:hanging="709"/>
        <w:jc w:val="both"/>
        <w:rPr>
          <w:rFonts w:cs="Times New Roman"/>
        </w:rPr>
      </w:pPr>
      <w:r>
        <w:rPr>
          <w:rFonts w:cs="Times New Roman"/>
        </w:rPr>
        <w:t>Conduct training sessions for project staff and contractors on ESMP requirements and best practices.</w:t>
      </w:r>
    </w:p>
    <w:p w14:paraId="0BA9D57C">
      <w:pPr>
        <w:ind w:left="709"/>
        <w:jc w:val="both"/>
        <w:rPr>
          <w:b/>
          <w:i/>
          <w:u w:val="single"/>
          <w:lang w:eastAsia="ja-JP"/>
        </w:rPr>
      </w:pPr>
      <w:r>
        <w:rPr>
          <w:b/>
          <w:i/>
          <w:u w:val="single"/>
          <w:lang w:eastAsia="ja-JP"/>
        </w:rPr>
        <w:t>Contractor</w:t>
      </w:r>
    </w:p>
    <w:p w14:paraId="0D6FBF55">
      <w:pPr>
        <w:numPr>
          <w:ilvl w:val="0"/>
          <w:numId w:val="36"/>
        </w:numPr>
        <w:tabs>
          <w:tab w:val="left" w:pos="1418"/>
          <w:tab w:val="clear" w:pos="907"/>
        </w:tabs>
        <w:ind w:left="1418" w:hanging="709"/>
        <w:jc w:val="both"/>
        <w:rPr>
          <w:rFonts w:cs="Times New Roman"/>
        </w:rPr>
      </w:pPr>
      <w:r>
        <w:rPr>
          <w:rFonts w:cs="Times New Roman"/>
        </w:rPr>
        <w:t>Responsible for implementing specific mitigation measures outlined in the ESMP during construction and operational phases.</w:t>
      </w:r>
    </w:p>
    <w:p w14:paraId="130BC5B9">
      <w:pPr>
        <w:numPr>
          <w:ilvl w:val="0"/>
          <w:numId w:val="36"/>
        </w:numPr>
        <w:tabs>
          <w:tab w:val="left" w:pos="1418"/>
          <w:tab w:val="clear" w:pos="907"/>
        </w:tabs>
        <w:ind w:left="1418" w:hanging="709"/>
        <w:jc w:val="both"/>
        <w:rPr>
          <w:rFonts w:cs="Times New Roman"/>
        </w:rPr>
      </w:pPr>
      <w:r>
        <w:rPr>
          <w:rFonts w:cs="Times New Roman"/>
        </w:rPr>
        <w:t>Maintain documentation of compliance with the ESMP and report any non-compliance incidents to the proponent and consultant.</w:t>
      </w:r>
    </w:p>
    <w:p w14:paraId="45ACF345">
      <w:pPr>
        <w:numPr>
          <w:ilvl w:val="0"/>
          <w:numId w:val="36"/>
        </w:numPr>
        <w:tabs>
          <w:tab w:val="left" w:pos="1418"/>
          <w:tab w:val="clear" w:pos="907"/>
        </w:tabs>
        <w:ind w:left="1418" w:hanging="709"/>
        <w:jc w:val="both"/>
        <w:rPr>
          <w:rFonts w:cs="Times New Roman"/>
        </w:rPr>
      </w:pPr>
      <w:r>
        <w:rPr>
          <w:rFonts w:cs="Times New Roman"/>
        </w:rPr>
        <w:t>Engage with local communities to address concerns related to construction activities and ensure adherence to social safeguards.</w:t>
      </w:r>
    </w:p>
    <w:p w14:paraId="469BC7A2">
      <w:pPr>
        <w:numPr>
          <w:ilvl w:val="0"/>
          <w:numId w:val="36"/>
        </w:numPr>
        <w:tabs>
          <w:tab w:val="left" w:pos="1418"/>
          <w:tab w:val="clear" w:pos="907"/>
        </w:tabs>
        <w:ind w:left="1418" w:hanging="709"/>
        <w:jc w:val="both"/>
        <w:rPr>
          <w:rFonts w:cs="Times New Roman"/>
        </w:rPr>
      </w:pPr>
      <w:r>
        <w:rPr>
          <w:rFonts w:cs="Times New Roman"/>
        </w:rPr>
        <w:t>Capacity Requirements</w:t>
      </w:r>
    </w:p>
    <w:p w14:paraId="660A7465">
      <w:pPr>
        <w:ind w:left="709"/>
        <w:jc w:val="both"/>
        <w:rPr>
          <w:b/>
          <w:i/>
          <w:u w:val="single"/>
          <w:lang w:eastAsia="ja-JP"/>
        </w:rPr>
      </w:pPr>
      <w:r>
        <w:rPr>
          <w:b/>
          <w:i/>
          <w:u w:val="single"/>
          <w:lang w:eastAsia="ja-JP"/>
        </w:rPr>
        <w:t>Project Proponent</w:t>
      </w:r>
    </w:p>
    <w:p w14:paraId="3A203F40">
      <w:pPr>
        <w:numPr>
          <w:ilvl w:val="0"/>
          <w:numId w:val="36"/>
        </w:numPr>
        <w:tabs>
          <w:tab w:val="left" w:pos="1418"/>
          <w:tab w:val="clear" w:pos="907"/>
        </w:tabs>
        <w:ind w:left="1418" w:hanging="709"/>
        <w:jc w:val="both"/>
        <w:rPr>
          <w:rFonts w:cs="Times New Roman"/>
        </w:rPr>
      </w:pPr>
      <w:r>
        <w:rPr>
          <w:rFonts w:cs="Times New Roman"/>
        </w:rPr>
        <w:t>Personnel should possess knowledge of environmental regulations, social impact assessments, and sustainability practices.</w:t>
      </w:r>
    </w:p>
    <w:p w14:paraId="1CDF46E4">
      <w:pPr>
        <w:numPr>
          <w:ilvl w:val="0"/>
          <w:numId w:val="36"/>
        </w:numPr>
        <w:tabs>
          <w:tab w:val="left" w:pos="1418"/>
          <w:tab w:val="clear" w:pos="907"/>
        </w:tabs>
        <w:ind w:left="1418" w:hanging="709"/>
        <w:jc w:val="both"/>
        <w:rPr>
          <w:rFonts w:cs="Times New Roman"/>
        </w:rPr>
      </w:pPr>
      <w:r>
        <w:rPr>
          <w:rFonts w:cs="Times New Roman"/>
        </w:rPr>
        <w:t>Capacity-building programs may be necessary to equip staff with skills for effective ESMP oversight.</w:t>
      </w:r>
    </w:p>
    <w:p w14:paraId="3B5016D4">
      <w:pPr>
        <w:ind w:left="709"/>
        <w:jc w:val="both"/>
        <w:rPr>
          <w:b/>
          <w:i/>
          <w:u w:val="single"/>
          <w:lang w:eastAsia="ja-JP"/>
        </w:rPr>
      </w:pPr>
      <w:r>
        <w:rPr>
          <w:b/>
          <w:i/>
          <w:u w:val="single"/>
          <w:lang w:eastAsia="ja-JP"/>
        </w:rPr>
        <w:t xml:space="preserve"> Consultant</w:t>
      </w:r>
    </w:p>
    <w:p w14:paraId="0A889166">
      <w:pPr>
        <w:numPr>
          <w:ilvl w:val="0"/>
          <w:numId w:val="36"/>
        </w:numPr>
        <w:tabs>
          <w:tab w:val="left" w:pos="1418"/>
          <w:tab w:val="clear" w:pos="907"/>
        </w:tabs>
        <w:ind w:left="1418" w:hanging="709"/>
        <w:jc w:val="both"/>
        <w:rPr>
          <w:rFonts w:cs="Times New Roman"/>
        </w:rPr>
      </w:pPr>
      <w:r>
        <w:rPr>
          <w:rFonts w:cs="Times New Roman"/>
        </w:rPr>
        <w:t>The consultant should have expertise in environmental and social management, relevant laws, and community engagement strategies.</w:t>
      </w:r>
    </w:p>
    <w:p w14:paraId="343E9A05">
      <w:pPr>
        <w:numPr>
          <w:ilvl w:val="0"/>
          <w:numId w:val="36"/>
        </w:numPr>
        <w:tabs>
          <w:tab w:val="left" w:pos="1418"/>
          <w:tab w:val="clear" w:pos="907"/>
        </w:tabs>
        <w:ind w:left="1418" w:hanging="709"/>
        <w:jc w:val="both"/>
        <w:rPr>
          <w:rFonts w:cs="Times New Roman"/>
        </w:rPr>
      </w:pPr>
      <w:r>
        <w:rPr>
          <w:rFonts w:cs="Times New Roman"/>
        </w:rPr>
        <w:t>Availability of tools and methodologies for monitoring environmental and social impacts.</w:t>
      </w:r>
    </w:p>
    <w:p w14:paraId="60A792D9">
      <w:pPr>
        <w:ind w:left="709"/>
        <w:jc w:val="both"/>
        <w:rPr>
          <w:b/>
          <w:i/>
          <w:u w:val="single"/>
          <w:lang w:eastAsia="ja-JP"/>
        </w:rPr>
      </w:pPr>
      <w:r>
        <w:rPr>
          <w:b/>
          <w:i/>
          <w:u w:val="single"/>
          <w:lang w:eastAsia="ja-JP"/>
        </w:rPr>
        <w:t>Contractor</w:t>
      </w:r>
    </w:p>
    <w:p w14:paraId="17B9714A">
      <w:pPr>
        <w:numPr>
          <w:ilvl w:val="0"/>
          <w:numId w:val="36"/>
        </w:numPr>
        <w:tabs>
          <w:tab w:val="left" w:pos="1418"/>
          <w:tab w:val="clear" w:pos="907"/>
        </w:tabs>
        <w:ind w:left="1418" w:hanging="709"/>
        <w:jc w:val="both"/>
        <w:rPr>
          <w:rFonts w:cs="Times New Roman"/>
        </w:rPr>
      </w:pPr>
      <w:r>
        <w:rPr>
          <w:rFonts w:cs="Times New Roman"/>
        </w:rPr>
        <w:t>The contractor's workforce should be trained in environmental management practices, health and safety protocols, and community relations.</w:t>
      </w:r>
    </w:p>
    <w:p w14:paraId="403BF149">
      <w:pPr>
        <w:numPr>
          <w:ilvl w:val="0"/>
          <w:numId w:val="36"/>
        </w:numPr>
        <w:tabs>
          <w:tab w:val="left" w:pos="1418"/>
          <w:tab w:val="clear" w:pos="907"/>
        </w:tabs>
        <w:ind w:left="1418" w:hanging="709"/>
        <w:jc w:val="both"/>
        <w:rPr>
          <w:rFonts w:cs="Times New Roman"/>
        </w:rPr>
      </w:pPr>
      <w:r>
        <w:rPr>
          <w:rFonts w:cs="Times New Roman"/>
        </w:rPr>
        <w:t>Systems for regular monitoring and reporting on ESMP compliance should be established within the contractor’s organization.</w:t>
      </w:r>
    </w:p>
    <w:p w14:paraId="00CD42CB">
      <w:pPr>
        <w:numPr>
          <w:ilvl w:val="0"/>
          <w:numId w:val="36"/>
        </w:numPr>
        <w:tabs>
          <w:tab w:val="left" w:pos="1418"/>
          <w:tab w:val="clear" w:pos="907"/>
        </w:tabs>
        <w:ind w:left="1418" w:hanging="709"/>
        <w:jc w:val="both"/>
        <w:rPr>
          <w:rFonts w:cs="Times New Roman"/>
        </w:rPr>
      </w:pPr>
      <w:r>
        <w:rPr>
          <w:rFonts w:cs="Times New Roman"/>
        </w:rPr>
        <w:t>Measures for Ensuring ESMP Implementation</w:t>
      </w:r>
    </w:p>
    <w:p w14:paraId="5D880E65">
      <w:pPr>
        <w:ind w:left="709"/>
        <w:jc w:val="both"/>
        <w:rPr>
          <w:b/>
          <w:i/>
          <w:u w:val="single"/>
          <w:lang w:eastAsia="ja-JP"/>
        </w:rPr>
      </w:pPr>
      <w:r>
        <w:rPr>
          <w:b/>
          <w:i/>
          <w:u w:val="single"/>
          <w:lang w:eastAsia="ja-JP"/>
        </w:rPr>
        <w:t>Inclusion in Bill of Quantities (BoQs) and Contract Documents</w:t>
      </w:r>
    </w:p>
    <w:p w14:paraId="479D1411">
      <w:pPr>
        <w:numPr>
          <w:ilvl w:val="0"/>
          <w:numId w:val="36"/>
        </w:numPr>
        <w:tabs>
          <w:tab w:val="left" w:pos="1418"/>
          <w:tab w:val="clear" w:pos="907"/>
        </w:tabs>
        <w:ind w:left="1418" w:hanging="709"/>
        <w:jc w:val="both"/>
        <w:rPr>
          <w:rFonts w:cs="Times New Roman"/>
        </w:rPr>
      </w:pPr>
      <w:r>
        <w:rPr>
          <w:rFonts w:cs="Times New Roman"/>
        </w:rPr>
        <w:t>Ensure that the BoQs include specific line items for environmental and social mitigation measures, such as waste management and community engagement activities.</w:t>
      </w:r>
    </w:p>
    <w:p w14:paraId="7017B5ED">
      <w:pPr>
        <w:numPr>
          <w:ilvl w:val="0"/>
          <w:numId w:val="36"/>
        </w:numPr>
        <w:tabs>
          <w:tab w:val="left" w:pos="1418"/>
          <w:tab w:val="clear" w:pos="907"/>
        </w:tabs>
        <w:ind w:left="1418" w:hanging="709"/>
        <w:jc w:val="both"/>
        <w:rPr>
          <w:rFonts w:cs="Times New Roman"/>
        </w:rPr>
      </w:pPr>
      <w:r>
        <w:rPr>
          <w:rFonts w:cs="Times New Roman"/>
        </w:rPr>
        <w:t>Incorporate ESMP compliance clauses in contracts with consultants and contractors, detailing responsibilities and consequences for non-compliance.</w:t>
      </w:r>
    </w:p>
    <w:p w14:paraId="58AB3890">
      <w:pPr>
        <w:ind w:left="709"/>
        <w:jc w:val="both"/>
        <w:rPr>
          <w:b/>
          <w:i/>
          <w:u w:val="single"/>
          <w:lang w:eastAsia="ja-JP"/>
        </w:rPr>
      </w:pPr>
      <w:r>
        <w:rPr>
          <w:b/>
          <w:i/>
          <w:u w:val="single"/>
          <w:lang w:eastAsia="ja-JP"/>
        </w:rPr>
        <w:t>Monitoring and Reporting Framework</w:t>
      </w:r>
    </w:p>
    <w:p w14:paraId="3BA5C2B5">
      <w:pPr>
        <w:numPr>
          <w:ilvl w:val="0"/>
          <w:numId w:val="36"/>
        </w:numPr>
        <w:tabs>
          <w:tab w:val="left" w:pos="1418"/>
          <w:tab w:val="clear" w:pos="907"/>
        </w:tabs>
        <w:ind w:left="1418" w:hanging="709"/>
        <w:jc w:val="both"/>
        <w:rPr>
          <w:rFonts w:cs="Times New Roman"/>
        </w:rPr>
      </w:pPr>
      <w:r>
        <w:rPr>
          <w:rFonts w:cs="Times New Roman"/>
        </w:rPr>
        <w:t>Establish a schedule for regular site inspections and audits to assess compliance with the ESMP.</w:t>
      </w:r>
    </w:p>
    <w:p w14:paraId="612B5DC9">
      <w:pPr>
        <w:numPr>
          <w:ilvl w:val="0"/>
          <w:numId w:val="36"/>
        </w:numPr>
        <w:tabs>
          <w:tab w:val="left" w:pos="1418"/>
          <w:tab w:val="clear" w:pos="907"/>
        </w:tabs>
        <w:ind w:left="1418" w:hanging="709"/>
        <w:jc w:val="both"/>
        <w:rPr>
          <w:rFonts w:cs="Times New Roman"/>
        </w:rPr>
      </w:pPr>
      <w:r>
        <w:rPr>
          <w:rFonts w:cs="Times New Roman"/>
        </w:rPr>
        <w:t>Require contractors to maintain detailed records of environmental monitoring, community consultations, and any incidents related to non-compliance.</w:t>
      </w:r>
    </w:p>
    <w:p w14:paraId="57B9E586">
      <w:pPr>
        <w:ind w:left="709"/>
        <w:jc w:val="both"/>
        <w:rPr>
          <w:b/>
          <w:i/>
          <w:u w:val="single"/>
          <w:lang w:eastAsia="ja-JP"/>
        </w:rPr>
      </w:pPr>
      <w:r>
        <w:rPr>
          <w:b/>
          <w:i/>
          <w:u w:val="single"/>
          <w:lang w:eastAsia="ja-JP"/>
        </w:rPr>
        <w:t>Training and Capacity Building</w:t>
      </w:r>
    </w:p>
    <w:p w14:paraId="11A7290A">
      <w:pPr>
        <w:numPr>
          <w:ilvl w:val="0"/>
          <w:numId w:val="36"/>
        </w:numPr>
        <w:tabs>
          <w:tab w:val="left" w:pos="1418"/>
          <w:tab w:val="clear" w:pos="907"/>
        </w:tabs>
        <w:ind w:left="1418" w:hanging="709"/>
        <w:jc w:val="both"/>
        <w:rPr>
          <w:rFonts w:cs="Times New Roman"/>
        </w:rPr>
      </w:pPr>
      <w:r>
        <w:rPr>
          <w:rFonts w:cs="Times New Roman"/>
        </w:rPr>
        <w:t>Conduct regular training sessions for project staff, contractors, and relevant stakeholders to ensure everyone understands their roles and responsibilities related to the ESMP.</w:t>
      </w:r>
    </w:p>
    <w:p w14:paraId="54DE1290">
      <w:pPr>
        <w:numPr>
          <w:ilvl w:val="0"/>
          <w:numId w:val="36"/>
        </w:numPr>
        <w:tabs>
          <w:tab w:val="left" w:pos="1418"/>
          <w:tab w:val="clear" w:pos="907"/>
        </w:tabs>
        <w:ind w:left="1418" w:hanging="709"/>
        <w:jc w:val="both"/>
        <w:rPr>
          <w:rFonts w:cs="Times New Roman"/>
        </w:rPr>
      </w:pPr>
      <w:r>
        <w:rPr>
          <w:rFonts w:cs="Times New Roman"/>
        </w:rPr>
        <w:t>Engage the community and stakeholders through awareness campaigns to inform them about the ESMP, their rights, and avenues for reporting grievances.</w:t>
      </w:r>
    </w:p>
    <w:p w14:paraId="667B0569">
      <w:pPr>
        <w:ind w:left="709"/>
        <w:jc w:val="both"/>
        <w:rPr>
          <w:b/>
          <w:i/>
          <w:u w:val="single"/>
          <w:lang w:eastAsia="ja-JP"/>
        </w:rPr>
      </w:pPr>
      <w:r>
        <w:rPr>
          <w:b/>
          <w:i/>
          <w:u w:val="single"/>
          <w:lang w:eastAsia="ja-JP"/>
        </w:rPr>
        <w:t>Stakeholder Engagement</w:t>
      </w:r>
    </w:p>
    <w:p w14:paraId="188B8AF4">
      <w:pPr>
        <w:numPr>
          <w:ilvl w:val="0"/>
          <w:numId w:val="36"/>
        </w:numPr>
        <w:tabs>
          <w:tab w:val="left" w:pos="1418"/>
          <w:tab w:val="clear" w:pos="907"/>
        </w:tabs>
        <w:ind w:left="1418" w:hanging="709"/>
        <w:jc w:val="both"/>
        <w:rPr>
          <w:rFonts w:cs="Times New Roman"/>
        </w:rPr>
      </w:pPr>
      <w:r>
        <w:rPr>
          <w:rFonts w:cs="Times New Roman"/>
        </w:rPr>
        <w:t>Involve local communities in the ESMP implementation process through regular meetings and feedback mechanisms.</w:t>
      </w:r>
    </w:p>
    <w:p w14:paraId="3C5E6525">
      <w:pPr>
        <w:numPr>
          <w:ilvl w:val="0"/>
          <w:numId w:val="36"/>
        </w:numPr>
        <w:tabs>
          <w:tab w:val="left" w:pos="1418"/>
          <w:tab w:val="clear" w:pos="907"/>
        </w:tabs>
        <w:ind w:left="1418" w:hanging="709"/>
        <w:jc w:val="both"/>
        <w:rPr>
          <w:rFonts w:cs="Times New Roman"/>
        </w:rPr>
      </w:pPr>
      <w:r>
        <w:rPr>
          <w:rFonts w:cs="Times New Roman"/>
        </w:rPr>
        <w:t>Establish accessible grievance redress mechanisms for community members to report issues or concerns related to the project.</w:t>
      </w:r>
    </w:p>
    <w:p w14:paraId="2C9FAFB1">
      <w:pPr>
        <w:tabs>
          <w:tab w:val="left" w:pos="1080"/>
        </w:tabs>
        <w:rPr>
          <w:rFonts w:cs="Times New Roman"/>
        </w:rPr>
      </w:pPr>
    </w:p>
    <w:p w14:paraId="1C037084">
      <w:pPr>
        <w:tabs>
          <w:tab w:val="left" w:pos="1080"/>
        </w:tabs>
        <w:rPr>
          <w:rFonts w:cs="Times New Roman"/>
        </w:rPr>
        <w:sectPr>
          <w:headerReference r:id="rId30" w:type="default"/>
          <w:pgSz w:w="11906" w:h="16838"/>
          <w:pgMar w:top="1440" w:right="1440" w:bottom="1440" w:left="1440" w:header="708" w:footer="708" w:gutter="0"/>
          <w:cols w:space="708" w:num="1"/>
          <w:docGrid w:linePitch="360" w:charSpace="0"/>
        </w:sectPr>
      </w:pPr>
    </w:p>
    <w:p w14:paraId="377CE71F">
      <w:pPr>
        <w:pStyle w:val="117"/>
      </w:pPr>
      <w:bookmarkStart w:id="524" w:name="_Toc163820084"/>
      <w:bookmarkStart w:id="525" w:name="_Toc179904103"/>
      <w:bookmarkStart w:id="526" w:name="_Toc170723036"/>
      <w:bookmarkStart w:id="527" w:name="_Toc165561363"/>
      <w:r>
        <w:t>9.4</w:t>
      </w:r>
      <w:r>
        <w:tab/>
      </w:r>
      <w:r>
        <w:t>ESMMP</w:t>
      </w:r>
      <w:bookmarkEnd w:id="524"/>
      <w:bookmarkEnd w:id="525"/>
      <w:bookmarkEnd w:id="526"/>
      <w:bookmarkEnd w:id="527"/>
      <w:r>
        <w:t xml:space="preserve"> </w:t>
      </w:r>
    </w:p>
    <w:p w14:paraId="4DBB56B2">
      <w:pPr>
        <w:pStyle w:val="4"/>
        <w:spacing w:before="100" w:beforeAutospacing="1" w:after="100" w:afterAutospacing="1"/>
      </w:pPr>
      <w:bookmarkStart w:id="528" w:name="_Toc170723037"/>
      <w:bookmarkStart w:id="529" w:name="_Toc179904104"/>
      <w:r>
        <w:t>9.4.1</w:t>
      </w:r>
      <w:r>
        <w:tab/>
      </w:r>
      <w:r>
        <w:rPr>
          <w:i/>
        </w:rPr>
        <w:t xml:space="preserve"> </w:t>
      </w:r>
      <w:r>
        <w:t>ESMMP for Preconstruction Stage</w:t>
      </w:r>
      <w:bookmarkEnd w:id="528"/>
      <w:bookmarkEnd w:id="529"/>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0" w:type="dxa"/>
          <w:bottom w:w="0" w:type="dxa"/>
          <w:right w:w="0" w:type="dxa"/>
        </w:tblCellMar>
      </w:tblPr>
      <w:tblGrid>
        <w:gridCol w:w="1561"/>
        <w:gridCol w:w="1377"/>
        <w:gridCol w:w="3587"/>
        <w:gridCol w:w="1964"/>
        <w:gridCol w:w="1562"/>
        <w:gridCol w:w="1274"/>
        <w:gridCol w:w="1087"/>
        <w:gridCol w:w="1556"/>
      </w:tblGrid>
      <w:tr w14:paraId="6B6B8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87" w:hRule="atLeast"/>
          <w:tblHeader/>
        </w:trPr>
        <w:tc>
          <w:tcPr>
            <w:tcW w:w="559" w:type="pct"/>
            <w:shd w:val="clear" w:color="auto" w:fill="5B9BD5" w:themeFill="accent1"/>
          </w:tcPr>
          <w:p w14:paraId="26F9BA9D">
            <w:pPr>
              <w:tabs>
                <w:tab w:val="left" w:pos="709"/>
              </w:tabs>
              <w:spacing w:before="100" w:beforeAutospacing="1" w:after="100" w:afterAutospacing="1" w:line="240" w:lineRule="auto"/>
              <w:jc w:val="both"/>
              <w:rPr>
                <w:b/>
              </w:rPr>
            </w:pPr>
            <w:r>
              <w:rPr>
                <w:b/>
              </w:rPr>
              <w:t>Environmental impact</w:t>
            </w:r>
          </w:p>
        </w:tc>
        <w:tc>
          <w:tcPr>
            <w:tcW w:w="493" w:type="pct"/>
            <w:shd w:val="clear" w:color="auto" w:fill="5B9BD5" w:themeFill="accent1"/>
          </w:tcPr>
          <w:p w14:paraId="5578EB9B">
            <w:pPr>
              <w:tabs>
                <w:tab w:val="left" w:pos="709"/>
              </w:tabs>
              <w:spacing w:before="100" w:beforeAutospacing="1" w:after="100" w:afterAutospacing="1" w:line="240" w:lineRule="auto"/>
              <w:jc w:val="both"/>
              <w:rPr>
                <w:b/>
                <w:bCs/>
              </w:rPr>
            </w:pPr>
            <w:r>
              <w:rPr>
                <w:b/>
                <w:bCs/>
              </w:rPr>
              <w:t>Impact level</w:t>
            </w:r>
          </w:p>
        </w:tc>
        <w:tc>
          <w:tcPr>
            <w:tcW w:w="1284" w:type="pct"/>
            <w:shd w:val="clear" w:color="auto" w:fill="5B9BD5" w:themeFill="accent1"/>
          </w:tcPr>
          <w:p w14:paraId="1AF37998">
            <w:pPr>
              <w:tabs>
                <w:tab w:val="left" w:pos="709"/>
              </w:tabs>
              <w:spacing w:before="100" w:beforeAutospacing="1" w:after="100" w:afterAutospacing="1" w:line="240" w:lineRule="auto"/>
              <w:jc w:val="both"/>
              <w:rPr>
                <w:b/>
              </w:rPr>
            </w:pPr>
            <w:r>
              <w:rPr>
                <w:b/>
              </w:rPr>
              <w:t>Proposed</w:t>
            </w:r>
            <w:r>
              <w:rPr>
                <w:b/>
                <w:spacing w:val="-3"/>
              </w:rPr>
              <w:t xml:space="preserve"> </w:t>
            </w:r>
            <w:r>
              <w:rPr>
                <w:b/>
              </w:rPr>
              <w:t>Mitigation</w:t>
            </w:r>
            <w:r>
              <w:rPr>
                <w:b/>
                <w:spacing w:val="-1"/>
              </w:rPr>
              <w:t xml:space="preserve"> </w:t>
            </w:r>
            <w:r>
              <w:rPr>
                <w:b/>
                <w:spacing w:val="-2"/>
              </w:rPr>
              <w:t>Measures</w:t>
            </w:r>
          </w:p>
        </w:tc>
        <w:tc>
          <w:tcPr>
            <w:tcW w:w="703" w:type="pct"/>
            <w:shd w:val="clear" w:color="auto" w:fill="5B9BD5" w:themeFill="accent1"/>
          </w:tcPr>
          <w:p w14:paraId="098C7F5C">
            <w:pPr>
              <w:tabs>
                <w:tab w:val="left" w:pos="709"/>
              </w:tabs>
              <w:spacing w:before="100" w:beforeAutospacing="1" w:after="100" w:afterAutospacing="1" w:line="240" w:lineRule="auto"/>
              <w:jc w:val="both"/>
              <w:rPr>
                <w:b/>
                <w:bCs/>
              </w:rPr>
            </w:pPr>
            <w:r>
              <w:rPr>
                <w:b/>
                <w:bCs/>
              </w:rPr>
              <w:t>Monitoring Indicators</w:t>
            </w:r>
          </w:p>
        </w:tc>
        <w:tc>
          <w:tcPr>
            <w:tcW w:w="559" w:type="pct"/>
            <w:shd w:val="clear" w:color="auto" w:fill="5B9BD5" w:themeFill="accent1"/>
          </w:tcPr>
          <w:p w14:paraId="6DFE964E">
            <w:pPr>
              <w:tabs>
                <w:tab w:val="left" w:pos="709"/>
              </w:tabs>
              <w:spacing w:before="100" w:beforeAutospacing="1" w:after="100" w:afterAutospacing="1" w:line="240" w:lineRule="auto"/>
              <w:jc w:val="both"/>
              <w:rPr>
                <w:b/>
                <w:bCs/>
              </w:rPr>
            </w:pPr>
            <w:r>
              <w:rPr>
                <w:b/>
                <w:bCs/>
              </w:rPr>
              <w:t>Responsibility</w:t>
            </w:r>
          </w:p>
        </w:tc>
        <w:tc>
          <w:tcPr>
            <w:tcW w:w="456" w:type="pct"/>
            <w:shd w:val="clear" w:color="auto" w:fill="5B9BD5" w:themeFill="accent1"/>
          </w:tcPr>
          <w:p w14:paraId="5AD91CC7">
            <w:pPr>
              <w:tabs>
                <w:tab w:val="left" w:pos="709"/>
              </w:tabs>
              <w:spacing w:before="100" w:beforeAutospacing="1" w:after="100" w:afterAutospacing="1" w:line="240" w:lineRule="auto"/>
              <w:jc w:val="both"/>
              <w:rPr>
                <w:b/>
                <w:bCs/>
              </w:rPr>
            </w:pPr>
            <w:r>
              <w:rPr>
                <w:b/>
                <w:bCs/>
                <w:spacing w:val="-2"/>
              </w:rPr>
              <w:t>Performance</w:t>
            </w:r>
          </w:p>
        </w:tc>
        <w:tc>
          <w:tcPr>
            <w:tcW w:w="389" w:type="pct"/>
            <w:shd w:val="clear" w:color="auto" w:fill="5B9BD5" w:themeFill="accent1"/>
          </w:tcPr>
          <w:p w14:paraId="5631F49B">
            <w:pPr>
              <w:tabs>
                <w:tab w:val="left" w:pos="709"/>
              </w:tabs>
              <w:spacing w:before="100" w:beforeAutospacing="1" w:after="100" w:afterAutospacing="1" w:line="240" w:lineRule="auto"/>
              <w:jc w:val="both"/>
              <w:rPr>
                <w:b/>
                <w:bCs/>
              </w:rPr>
            </w:pPr>
            <w:r>
              <w:rPr>
                <w:b/>
                <w:bCs/>
                <w:spacing w:val="-2"/>
              </w:rPr>
              <w:t>Frequency</w:t>
            </w:r>
          </w:p>
        </w:tc>
        <w:tc>
          <w:tcPr>
            <w:tcW w:w="557" w:type="pct"/>
            <w:shd w:val="clear" w:color="auto" w:fill="5B9BD5" w:themeFill="accent1"/>
          </w:tcPr>
          <w:p w14:paraId="5581B0E1">
            <w:pPr>
              <w:tabs>
                <w:tab w:val="left" w:pos="709"/>
              </w:tabs>
              <w:spacing w:before="100" w:beforeAutospacing="1" w:after="100" w:afterAutospacing="1" w:line="240" w:lineRule="auto"/>
              <w:jc w:val="both"/>
              <w:rPr>
                <w:b/>
                <w:bCs/>
                <w:spacing w:val="-2"/>
              </w:rPr>
            </w:pPr>
            <w:r>
              <w:rPr>
                <w:b/>
                <w:bCs/>
                <w:spacing w:val="-2"/>
              </w:rPr>
              <w:t>Estimated Cost</w:t>
            </w:r>
          </w:p>
        </w:tc>
      </w:tr>
      <w:tr w14:paraId="28FB20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299" w:hRule="atLeast"/>
        </w:trPr>
        <w:tc>
          <w:tcPr>
            <w:tcW w:w="5000" w:type="pct"/>
            <w:gridSpan w:val="8"/>
            <w:shd w:val="clear" w:color="auto" w:fill="5B9BD5" w:themeFill="accent1"/>
          </w:tcPr>
          <w:p w14:paraId="174E1151">
            <w:pPr>
              <w:tabs>
                <w:tab w:val="left" w:pos="709"/>
              </w:tabs>
              <w:spacing w:before="100" w:beforeAutospacing="1" w:after="100" w:afterAutospacing="1" w:line="240" w:lineRule="auto"/>
              <w:jc w:val="both"/>
              <w:rPr>
                <w:b/>
                <w:bCs/>
                <w:spacing w:val="-2"/>
              </w:rPr>
            </w:pPr>
            <w:r>
              <w:rPr>
                <w:b/>
              </w:rPr>
              <w:t>Environmental</w:t>
            </w:r>
          </w:p>
        </w:tc>
      </w:tr>
      <w:tr w14:paraId="69C612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169" w:hRule="atLeast"/>
        </w:trPr>
        <w:tc>
          <w:tcPr>
            <w:tcW w:w="559" w:type="pct"/>
          </w:tcPr>
          <w:p w14:paraId="452154EE">
            <w:pPr>
              <w:tabs>
                <w:tab w:val="left" w:pos="709"/>
              </w:tabs>
              <w:spacing w:before="100" w:beforeAutospacing="1" w:after="100" w:afterAutospacing="1" w:line="240" w:lineRule="auto"/>
              <w:jc w:val="both"/>
            </w:pPr>
            <w:r>
              <w:t>Approval delays from NEMA and other Agencies</w:t>
            </w:r>
          </w:p>
        </w:tc>
        <w:tc>
          <w:tcPr>
            <w:tcW w:w="493" w:type="pct"/>
          </w:tcPr>
          <w:p w14:paraId="2AC3FE43">
            <w:pPr>
              <w:tabs>
                <w:tab w:val="left" w:pos="709"/>
              </w:tabs>
              <w:spacing w:before="100" w:beforeAutospacing="1" w:after="100" w:afterAutospacing="1" w:line="240" w:lineRule="auto"/>
              <w:jc w:val="both"/>
              <w:rPr>
                <w:bCs/>
              </w:rPr>
            </w:pPr>
            <w:r>
              <w:rPr>
                <w:bCs/>
              </w:rPr>
              <w:t>Medium</w:t>
            </w:r>
          </w:p>
        </w:tc>
        <w:tc>
          <w:tcPr>
            <w:tcW w:w="1284" w:type="pct"/>
          </w:tcPr>
          <w:p w14:paraId="3BFE14FA">
            <w:pPr>
              <w:tabs>
                <w:tab w:val="left" w:pos="709"/>
              </w:tabs>
              <w:spacing w:before="100" w:beforeAutospacing="1" w:after="100" w:afterAutospacing="1" w:line="240" w:lineRule="auto"/>
              <w:jc w:val="both"/>
            </w:pPr>
            <w:r>
              <w:t>The Proponent shall ensure that all pertinent permits, certificates,</w:t>
            </w:r>
            <w:r>
              <w:rPr>
                <w:spacing w:val="-15"/>
              </w:rPr>
              <w:t xml:space="preserve"> </w:t>
            </w:r>
            <w:r>
              <w:t>and</w:t>
            </w:r>
            <w:r>
              <w:rPr>
                <w:spacing w:val="-15"/>
              </w:rPr>
              <w:t xml:space="preserve"> </w:t>
            </w:r>
            <w:r>
              <w:t>licenses</w:t>
            </w:r>
            <w:r>
              <w:rPr>
                <w:spacing w:val="-15"/>
              </w:rPr>
              <w:t xml:space="preserve"> </w:t>
            </w:r>
            <w:r>
              <w:t>have been obtained prior to any activities commencing on- site</w:t>
            </w:r>
            <w:r>
              <w:rPr>
                <w:spacing w:val="37"/>
              </w:rPr>
              <w:t xml:space="preserve"> </w:t>
            </w:r>
            <w:r>
              <w:t>and</w:t>
            </w:r>
            <w:r>
              <w:rPr>
                <w:spacing w:val="40"/>
              </w:rPr>
              <w:t xml:space="preserve"> </w:t>
            </w:r>
            <w:r>
              <w:t>are</w:t>
            </w:r>
            <w:r>
              <w:rPr>
                <w:spacing w:val="38"/>
              </w:rPr>
              <w:t xml:space="preserve"> </w:t>
            </w:r>
            <w:r>
              <w:t>strictly</w:t>
            </w:r>
            <w:r>
              <w:rPr>
                <w:spacing w:val="35"/>
              </w:rPr>
              <w:t xml:space="preserve"> </w:t>
            </w:r>
            <w:r>
              <w:t xml:space="preserve">adhered </w:t>
            </w:r>
            <w:r>
              <w:rPr>
                <w:spacing w:val="-5"/>
              </w:rPr>
              <w:t>to.</w:t>
            </w:r>
          </w:p>
        </w:tc>
        <w:tc>
          <w:tcPr>
            <w:tcW w:w="703" w:type="pct"/>
          </w:tcPr>
          <w:p w14:paraId="1D777CFC">
            <w:pPr>
              <w:tabs>
                <w:tab w:val="left" w:pos="709"/>
              </w:tabs>
              <w:spacing w:before="100" w:beforeAutospacing="1" w:after="100" w:afterAutospacing="1" w:line="240" w:lineRule="auto"/>
              <w:ind w:left="120" w:hanging="120"/>
              <w:jc w:val="both"/>
              <w:rPr>
                <w:bCs/>
                <w:spacing w:val="-2"/>
              </w:rPr>
            </w:pPr>
            <w:r>
              <w:rPr>
                <w:bCs/>
                <w:spacing w:val="-2"/>
              </w:rPr>
              <w:t>Environment licenses</w:t>
            </w:r>
          </w:p>
          <w:p w14:paraId="0C0291F0">
            <w:pPr>
              <w:tabs>
                <w:tab w:val="left" w:pos="709"/>
              </w:tabs>
              <w:spacing w:before="100" w:beforeAutospacing="1" w:after="100" w:afterAutospacing="1" w:line="240" w:lineRule="auto"/>
              <w:ind w:left="120" w:hanging="120"/>
              <w:jc w:val="both"/>
              <w:rPr>
                <w:bCs/>
                <w:spacing w:val="-2"/>
              </w:rPr>
            </w:pPr>
            <w:r>
              <w:rPr>
                <w:bCs/>
                <w:spacing w:val="-2"/>
              </w:rPr>
              <w:t>Degree of completion of set of required approvals/ permits issued</w:t>
            </w:r>
          </w:p>
        </w:tc>
        <w:tc>
          <w:tcPr>
            <w:tcW w:w="559" w:type="pct"/>
            <w:shd w:val="clear" w:color="auto" w:fill="auto"/>
          </w:tcPr>
          <w:p w14:paraId="59A5551D">
            <w:pPr>
              <w:tabs>
                <w:tab w:val="left" w:pos="709"/>
              </w:tabs>
              <w:spacing w:before="100" w:beforeAutospacing="1" w:after="100" w:afterAutospacing="1" w:line="240" w:lineRule="auto"/>
              <w:ind w:left="120" w:hanging="120"/>
              <w:jc w:val="both"/>
              <w:rPr>
                <w:bCs/>
                <w:spacing w:val="-2"/>
              </w:rPr>
            </w:pPr>
            <w:r>
              <w:rPr>
                <w:bCs/>
                <w:spacing w:val="-2"/>
              </w:rPr>
              <w:t>WAJWASCO</w:t>
            </w:r>
          </w:p>
          <w:p w14:paraId="36BF2AD4">
            <w:pPr>
              <w:tabs>
                <w:tab w:val="left" w:pos="709"/>
              </w:tabs>
              <w:spacing w:before="100" w:beforeAutospacing="1" w:after="100" w:afterAutospacing="1" w:line="240" w:lineRule="auto"/>
              <w:ind w:left="120" w:hanging="120"/>
              <w:jc w:val="both"/>
              <w:rPr>
                <w:bCs/>
                <w:spacing w:val="-2"/>
                <w:highlight w:val="yellow"/>
              </w:rPr>
            </w:pPr>
            <w:r>
              <w:rPr>
                <w:bCs/>
                <w:spacing w:val="-2"/>
              </w:rPr>
              <w:t>Contractor</w:t>
            </w:r>
          </w:p>
        </w:tc>
        <w:tc>
          <w:tcPr>
            <w:tcW w:w="456" w:type="pct"/>
          </w:tcPr>
          <w:p w14:paraId="5EDAD311">
            <w:pPr>
              <w:tabs>
                <w:tab w:val="left" w:pos="709"/>
              </w:tabs>
              <w:spacing w:before="100" w:beforeAutospacing="1" w:after="100" w:afterAutospacing="1" w:line="240" w:lineRule="auto"/>
              <w:jc w:val="both"/>
              <w:rPr>
                <w:bCs/>
              </w:rPr>
            </w:pPr>
            <w:r>
              <w:rPr>
                <w:bCs/>
              </w:rPr>
              <w:t xml:space="preserve">EIA/ Number of EIA Permits </w:t>
            </w:r>
            <w:r>
              <w:rPr>
                <w:bCs/>
                <w:spacing w:val="-2"/>
              </w:rPr>
              <w:t>obtained</w:t>
            </w:r>
          </w:p>
        </w:tc>
        <w:tc>
          <w:tcPr>
            <w:tcW w:w="389" w:type="pct"/>
          </w:tcPr>
          <w:p w14:paraId="0BE01B08">
            <w:pPr>
              <w:tabs>
                <w:tab w:val="left" w:pos="709"/>
              </w:tabs>
              <w:spacing w:before="100" w:beforeAutospacing="1" w:after="100" w:afterAutospacing="1" w:line="240" w:lineRule="auto"/>
              <w:jc w:val="both"/>
              <w:rPr>
                <w:bCs/>
              </w:rPr>
            </w:pPr>
            <w:r>
              <w:rPr>
                <w:bCs/>
              </w:rPr>
              <w:t>Project</w:t>
            </w:r>
            <w:r>
              <w:rPr>
                <w:bCs/>
                <w:spacing w:val="-5"/>
              </w:rPr>
              <w:t xml:space="preserve"> </w:t>
            </w:r>
            <w:r>
              <w:rPr>
                <w:bCs/>
              </w:rPr>
              <w:t>Cycle</w:t>
            </w:r>
          </w:p>
        </w:tc>
        <w:tc>
          <w:tcPr>
            <w:tcW w:w="557" w:type="pct"/>
          </w:tcPr>
          <w:p w14:paraId="2F79ABF1">
            <w:pPr>
              <w:tabs>
                <w:tab w:val="left" w:pos="709"/>
              </w:tabs>
              <w:spacing w:before="100" w:beforeAutospacing="1" w:after="100" w:afterAutospacing="1" w:line="240" w:lineRule="auto"/>
              <w:jc w:val="both"/>
              <w:rPr>
                <w:bCs/>
              </w:rPr>
            </w:pPr>
            <w:r>
              <w:t>300,000.00</w:t>
            </w:r>
          </w:p>
        </w:tc>
      </w:tr>
      <w:tr w14:paraId="5178DC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17" w:hRule="atLeast"/>
        </w:trPr>
        <w:tc>
          <w:tcPr>
            <w:tcW w:w="5000" w:type="pct"/>
            <w:gridSpan w:val="8"/>
            <w:shd w:val="clear" w:color="auto" w:fill="5B9BD5" w:themeFill="accent1"/>
          </w:tcPr>
          <w:p w14:paraId="6EC33298">
            <w:pPr>
              <w:tabs>
                <w:tab w:val="left" w:pos="709"/>
              </w:tabs>
              <w:spacing w:before="100" w:beforeAutospacing="1" w:after="100" w:afterAutospacing="1" w:line="240" w:lineRule="auto"/>
              <w:jc w:val="both"/>
              <w:rPr>
                <w:rFonts w:cs="Times New Roman"/>
                <w:b/>
              </w:rPr>
            </w:pPr>
            <w:r>
              <w:rPr>
                <w:rFonts w:cs="Times New Roman"/>
                <w:b/>
              </w:rPr>
              <w:t>Social impacts</w:t>
            </w:r>
          </w:p>
        </w:tc>
      </w:tr>
      <w:tr w14:paraId="69426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76" w:hRule="atLeast"/>
        </w:trPr>
        <w:tc>
          <w:tcPr>
            <w:tcW w:w="559" w:type="pct"/>
          </w:tcPr>
          <w:p w14:paraId="24C1D15D">
            <w:pPr>
              <w:tabs>
                <w:tab w:val="left" w:pos="709"/>
              </w:tabs>
              <w:spacing w:before="100" w:beforeAutospacing="1" w:after="100" w:afterAutospacing="1" w:line="240" w:lineRule="auto"/>
              <w:jc w:val="both"/>
            </w:pPr>
            <w:r>
              <w:t>Divided opinion on project implementations</w:t>
            </w:r>
          </w:p>
        </w:tc>
        <w:tc>
          <w:tcPr>
            <w:tcW w:w="493" w:type="pct"/>
          </w:tcPr>
          <w:p w14:paraId="3A89AA43">
            <w:pPr>
              <w:tabs>
                <w:tab w:val="left" w:pos="709"/>
              </w:tabs>
              <w:spacing w:before="100" w:beforeAutospacing="1" w:after="100" w:afterAutospacing="1" w:line="240" w:lineRule="auto"/>
              <w:jc w:val="both"/>
              <w:rPr>
                <w:bCs/>
              </w:rPr>
            </w:pPr>
            <w:r>
              <w:rPr>
                <w:bCs/>
              </w:rPr>
              <w:t>Medium</w:t>
            </w:r>
          </w:p>
        </w:tc>
        <w:tc>
          <w:tcPr>
            <w:tcW w:w="1284" w:type="pct"/>
          </w:tcPr>
          <w:p w14:paraId="4E559F23">
            <w:pPr>
              <w:tabs>
                <w:tab w:val="left" w:pos="709"/>
              </w:tabs>
              <w:spacing w:before="100" w:beforeAutospacing="1" w:after="100" w:afterAutospacing="1" w:line="240" w:lineRule="auto"/>
              <w:jc w:val="both"/>
            </w:pPr>
            <w:r>
              <w:t>Conduct extensive public participation and consultation with key stakeholders</w:t>
            </w:r>
          </w:p>
        </w:tc>
        <w:tc>
          <w:tcPr>
            <w:tcW w:w="703" w:type="pct"/>
          </w:tcPr>
          <w:p w14:paraId="45C6D08A">
            <w:pPr>
              <w:tabs>
                <w:tab w:val="left" w:pos="709"/>
              </w:tabs>
              <w:spacing w:before="100" w:beforeAutospacing="1" w:after="100" w:afterAutospacing="1"/>
              <w:jc w:val="both"/>
            </w:pPr>
            <w:r>
              <w:t>Public opinion, Satisfaction to the relevant authority</w:t>
            </w:r>
          </w:p>
        </w:tc>
        <w:tc>
          <w:tcPr>
            <w:tcW w:w="559" w:type="pct"/>
          </w:tcPr>
          <w:p w14:paraId="773B1B44">
            <w:pPr>
              <w:tabs>
                <w:tab w:val="left" w:pos="709"/>
              </w:tabs>
              <w:spacing w:before="100" w:beforeAutospacing="1" w:after="100" w:afterAutospacing="1" w:line="240" w:lineRule="auto"/>
              <w:ind w:left="120" w:hanging="120"/>
              <w:jc w:val="both"/>
              <w:rPr>
                <w:bCs/>
              </w:rPr>
            </w:pPr>
            <w:r>
              <w:rPr>
                <w:bCs/>
              </w:rPr>
              <w:t>Consultant</w:t>
            </w:r>
          </w:p>
          <w:p w14:paraId="3191F771">
            <w:pPr>
              <w:tabs>
                <w:tab w:val="left" w:pos="709"/>
              </w:tabs>
              <w:spacing w:before="100" w:beforeAutospacing="1" w:after="100" w:afterAutospacing="1" w:line="240" w:lineRule="auto"/>
              <w:jc w:val="both"/>
              <w:rPr>
                <w:bCs/>
              </w:rPr>
            </w:pPr>
            <w:r>
              <w:rPr>
                <w:bCs/>
              </w:rPr>
              <w:t>Local administration</w:t>
            </w:r>
          </w:p>
          <w:p w14:paraId="47CE67B7">
            <w:pPr>
              <w:tabs>
                <w:tab w:val="left" w:pos="709"/>
              </w:tabs>
              <w:spacing w:before="100" w:beforeAutospacing="1" w:after="100" w:afterAutospacing="1" w:line="240" w:lineRule="auto"/>
              <w:ind w:left="120" w:hanging="120"/>
              <w:jc w:val="both"/>
              <w:rPr>
                <w:bCs/>
              </w:rPr>
            </w:pPr>
            <w:r>
              <w:rPr>
                <w:bCs/>
              </w:rPr>
              <w:t>WAJWASCO</w:t>
            </w:r>
          </w:p>
        </w:tc>
        <w:tc>
          <w:tcPr>
            <w:tcW w:w="456" w:type="pct"/>
          </w:tcPr>
          <w:p w14:paraId="546DC420">
            <w:pPr>
              <w:tabs>
                <w:tab w:val="left" w:pos="709"/>
              </w:tabs>
              <w:spacing w:before="100" w:beforeAutospacing="1" w:after="100" w:afterAutospacing="1" w:line="240" w:lineRule="auto"/>
              <w:jc w:val="both"/>
              <w:rPr>
                <w:bCs/>
                <w:spacing w:val="-2"/>
              </w:rPr>
            </w:pPr>
            <w:r>
              <w:rPr>
                <w:bCs/>
                <w:spacing w:val="-2"/>
              </w:rPr>
              <w:t>-Total project support by all</w:t>
            </w:r>
          </w:p>
        </w:tc>
        <w:tc>
          <w:tcPr>
            <w:tcW w:w="389" w:type="pct"/>
          </w:tcPr>
          <w:p w14:paraId="1209E801">
            <w:pPr>
              <w:tabs>
                <w:tab w:val="left" w:pos="709"/>
              </w:tabs>
              <w:spacing w:before="100" w:beforeAutospacing="1" w:after="100" w:afterAutospacing="1" w:line="240" w:lineRule="auto"/>
              <w:jc w:val="both"/>
              <w:rPr>
                <w:bCs/>
                <w:spacing w:val="-1"/>
              </w:rPr>
            </w:pPr>
            <w:r>
              <w:rPr>
                <w:bCs/>
                <w:spacing w:val="-1"/>
              </w:rPr>
              <w:t>Throughout all stages from onset</w:t>
            </w:r>
          </w:p>
        </w:tc>
        <w:tc>
          <w:tcPr>
            <w:tcW w:w="557" w:type="pct"/>
          </w:tcPr>
          <w:p w14:paraId="211622D1">
            <w:pPr>
              <w:tabs>
                <w:tab w:val="left" w:pos="709"/>
              </w:tabs>
              <w:spacing w:before="100" w:beforeAutospacing="1" w:after="100" w:afterAutospacing="1" w:line="240" w:lineRule="auto"/>
              <w:jc w:val="both"/>
              <w:rPr>
                <w:bCs/>
                <w:spacing w:val="-1"/>
              </w:rPr>
            </w:pPr>
            <w:r>
              <w:rPr>
                <w:bCs/>
                <w:spacing w:val="-1"/>
              </w:rPr>
              <w:t>300,000.00</w:t>
            </w:r>
          </w:p>
        </w:tc>
      </w:tr>
      <w:tr w14:paraId="186EFC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76" w:hRule="atLeast"/>
        </w:trPr>
        <w:tc>
          <w:tcPr>
            <w:tcW w:w="559" w:type="pct"/>
          </w:tcPr>
          <w:p w14:paraId="332D3A43">
            <w:pPr>
              <w:tabs>
                <w:tab w:val="left" w:pos="709"/>
              </w:tabs>
              <w:spacing w:before="100" w:beforeAutospacing="1" w:after="100" w:afterAutospacing="1" w:line="240" w:lineRule="auto"/>
              <w:jc w:val="both"/>
            </w:pPr>
            <w:r>
              <w:t>High Expectations of the Local Communities in relation to Jobs</w:t>
            </w:r>
          </w:p>
        </w:tc>
        <w:tc>
          <w:tcPr>
            <w:tcW w:w="493" w:type="pct"/>
          </w:tcPr>
          <w:p w14:paraId="6920EF6F">
            <w:pPr>
              <w:tabs>
                <w:tab w:val="left" w:pos="709"/>
              </w:tabs>
              <w:spacing w:before="100" w:beforeAutospacing="1" w:after="100" w:afterAutospacing="1" w:line="240" w:lineRule="auto"/>
              <w:jc w:val="both"/>
              <w:rPr>
                <w:bCs/>
              </w:rPr>
            </w:pPr>
            <w:r>
              <w:rPr>
                <w:rFonts w:eastAsia="Times New Roman" w:cs="Times New Roman"/>
                <w:bCs/>
                <w:lang w:val="en-GB" w:eastAsia="en-GB"/>
              </w:rPr>
              <w:t>Low</w:t>
            </w:r>
          </w:p>
        </w:tc>
        <w:tc>
          <w:tcPr>
            <w:tcW w:w="1284" w:type="pct"/>
          </w:tcPr>
          <w:p w14:paraId="2F8E6006">
            <w:pPr>
              <w:tabs>
                <w:tab w:val="left" w:pos="709"/>
              </w:tabs>
              <w:spacing w:before="100" w:beforeAutospacing="1" w:after="100" w:afterAutospacing="1" w:line="240" w:lineRule="auto"/>
              <w:jc w:val="both"/>
            </w:pPr>
            <w:r>
              <w:t>The hiring requirements must be clear, properly publicized before the start of the recruitment process and respected by the design team. For a better impact on the communities this process shall be conducted with the involvement of local leaders;</w:t>
            </w:r>
          </w:p>
          <w:p w14:paraId="040692D6">
            <w:pPr>
              <w:tabs>
                <w:tab w:val="left" w:pos="709"/>
              </w:tabs>
              <w:spacing w:before="100" w:beforeAutospacing="1" w:after="100" w:afterAutospacing="1" w:line="240" w:lineRule="auto"/>
              <w:jc w:val="both"/>
            </w:pPr>
            <w:r>
              <w:t>In the event there are local expectations for employment that cannot be met by the project, the limited availability of places shall be made known to the interested parties through local authorities; and</w:t>
            </w:r>
          </w:p>
          <w:p w14:paraId="0B3BC841">
            <w:pPr>
              <w:tabs>
                <w:tab w:val="left" w:pos="709"/>
              </w:tabs>
              <w:spacing w:before="100" w:beforeAutospacing="1" w:after="100" w:afterAutospacing="1" w:line="240" w:lineRule="auto"/>
              <w:jc w:val="both"/>
            </w:pPr>
            <w:r>
              <w:t>The principles and procedures for hiring shall, as far as possible, give priority to the hiring of skilled local workers.</w:t>
            </w:r>
          </w:p>
        </w:tc>
        <w:tc>
          <w:tcPr>
            <w:tcW w:w="703" w:type="pct"/>
          </w:tcPr>
          <w:p w14:paraId="0F7E150C">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val="en-GB" w:eastAsia="en-GB"/>
              </w:rPr>
              <w:t xml:space="preserve">Number of </w:t>
            </w:r>
            <w:r>
              <w:rPr>
                <w:rFonts w:eastAsia="Times New Roman" w:cs="Times New Roman"/>
                <w:bCs/>
                <w:lang w:eastAsia="en-GB"/>
              </w:rPr>
              <w:t>locals employed in the project.</w:t>
            </w:r>
          </w:p>
        </w:tc>
        <w:tc>
          <w:tcPr>
            <w:tcW w:w="559" w:type="pct"/>
          </w:tcPr>
          <w:p w14:paraId="72FA2002">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eastAsia="en-GB"/>
              </w:rPr>
              <w:t>WAJWASCO</w:t>
            </w:r>
          </w:p>
          <w:p w14:paraId="00AAE4D7">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Contactor</w:t>
            </w:r>
          </w:p>
          <w:p w14:paraId="3719C62D">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Consultant</w:t>
            </w:r>
          </w:p>
          <w:p w14:paraId="5CDC6BB4">
            <w:pPr>
              <w:tabs>
                <w:tab w:val="left" w:pos="709"/>
              </w:tabs>
              <w:spacing w:before="100" w:beforeAutospacing="1" w:after="100" w:afterAutospacing="1" w:line="240" w:lineRule="auto"/>
              <w:jc w:val="both"/>
              <w:rPr>
                <w:rFonts w:eastAsia="Times New Roman" w:cs="Times New Roman"/>
                <w:bCs/>
                <w:lang w:val="en-GB" w:eastAsia="en-GB"/>
              </w:rPr>
            </w:pPr>
            <w:r>
              <w:rPr>
                <w:bCs/>
              </w:rPr>
              <w:t>Local administration</w:t>
            </w:r>
          </w:p>
          <w:p w14:paraId="0F1CBFB8">
            <w:pPr>
              <w:tabs>
                <w:tab w:val="left" w:pos="709"/>
              </w:tabs>
              <w:spacing w:before="100" w:beforeAutospacing="1" w:after="100" w:afterAutospacing="1" w:line="240" w:lineRule="auto"/>
              <w:ind w:hanging="120"/>
              <w:jc w:val="both"/>
              <w:rPr>
                <w:bCs/>
              </w:rPr>
            </w:pPr>
          </w:p>
        </w:tc>
        <w:tc>
          <w:tcPr>
            <w:tcW w:w="456" w:type="pct"/>
          </w:tcPr>
          <w:p w14:paraId="5CF3BBD3">
            <w:pPr>
              <w:tabs>
                <w:tab w:val="left" w:pos="709"/>
              </w:tabs>
              <w:spacing w:before="100" w:beforeAutospacing="1" w:after="100" w:afterAutospacing="1" w:line="240" w:lineRule="auto"/>
              <w:jc w:val="both"/>
              <w:rPr>
                <w:bCs/>
                <w:spacing w:val="-2"/>
              </w:rPr>
            </w:pPr>
            <w:r>
              <w:rPr>
                <w:rFonts w:eastAsia="Times New Roman" w:cs="Times New Roman"/>
                <w:bCs/>
                <w:lang w:val="en-GB" w:eastAsia="en-GB"/>
              </w:rPr>
              <w:t>Stakeholder consultation meetings</w:t>
            </w:r>
          </w:p>
        </w:tc>
        <w:tc>
          <w:tcPr>
            <w:tcW w:w="389" w:type="pct"/>
          </w:tcPr>
          <w:p w14:paraId="0D798085">
            <w:pPr>
              <w:tabs>
                <w:tab w:val="left" w:pos="709"/>
              </w:tabs>
              <w:spacing w:before="100" w:beforeAutospacing="1" w:after="100" w:afterAutospacing="1" w:line="240" w:lineRule="auto"/>
              <w:jc w:val="both"/>
              <w:rPr>
                <w:bCs/>
                <w:spacing w:val="-1"/>
              </w:rPr>
            </w:pPr>
            <w:r>
              <w:rPr>
                <w:bCs/>
                <w:spacing w:val="-1"/>
              </w:rPr>
              <w:t>All</w:t>
            </w:r>
            <w:r>
              <w:rPr>
                <w:bCs/>
              </w:rPr>
              <w:t xml:space="preserve"> Stages</w:t>
            </w:r>
          </w:p>
        </w:tc>
        <w:tc>
          <w:tcPr>
            <w:tcW w:w="557" w:type="pct"/>
          </w:tcPr>
          <w:p w14:paraId="09443341">
            <w:pPr>
              <w:tabs>
                <w:tab w:val="left" w:pos="709"/>
              </w:tabs>
              <w:spacing w:before="100" w:beforeAutospacing="1" w:after="100" w:afterAutospacing="1" w:line="240" w:lineRule="auto"/>
              <w:jc w:val="both"/>
              <w:rPr>
                <w:bCs/>
                <w:spacing w:val="-1"/>
              </w:rPr>
            </w:pPr>
            <w:r>
              <w:rPr>
                <w:bCs/>
                <w:spacing w:val="-1"/>
              </w:rPr>
              <w:t>No cost</w:t>
            </w:r>
          </w:p>
        </w:tc>
      </w:tr>
    </w:tbl>
    <w:p w14:paraId="74D154C8">
      <w:pPr>
        <w:tabs>
          <w:tab w:val="left" w:pos="709"/>
        </w:tabs>
        <w:spacing w:before="100" w:beforeAutospacing="1" w:after="100" w:afterAutospacing="1" w:line="240" w:lineRule="auto"/>
        <w:jc w:val="both"/>
      </w:pPr>
    </w:p>
    <w:p w14:paraId="1DAE7BD0">
      <w:pPr>
        <w:pStyle w:val="4"/>
        <w:spacing w:before="100" w:beforeAutospacing="1" w:after="100" w:afterAutospacing="1"/>
      </w:pPr>
      <w:bookmarkStart w:id="530" w:name="_Toc170723038"/>
      <w:bookmarkStart w:id="531" w:name="_Toc179904105"/>
      <w:bookmarkStart w:id="532" w:name="_Toc165561365"/>
      <w:bookmarkStart w:id="533" w:name="_Toc163820086"/>
      <w:r>
        <w:t>9.4.2</w:t>
      </w:r>
      <w:r>
        <w:tab/>
      </w:r>
      <w:r>
        <w:t xml:space="preserve"> ESMMP for Construction Phase</w:t>
      </w:r>
      <w:bookmarkEnd w:id="530"/>
      <w:bookmarkEnd w:id="531"/>
      <w:r>
        <w:t xml:space="preserve"> </w:t>
      </w:r>
      <w:bookmarkEnd w:id="532"/>
      <w:bookmarkEnd w:id="533"/>
    </w:p>
    <w:tbl>
      <w:tblPr>
        <w:tblStyle w:val="12"/>
        <w:tblW w:w="513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33"/>
        <w:gridCol w:w="995"/>
        <w:gridCol w:w="4959"/>
        <w:gridCol w:w="2734"/>
        <w:gridCol w:w="1957"/>
        <w:gridCol w:w="1166"/>
        <w:gridCol w:w="1199"/>
      </w:tblGrid>
      <w:tr w14:paraId="549806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6" w:hRule="atLeast"/>
          <w:tblHeader/>
        </w:trPr>
        <w:tc>
          <w:tcPr>
            <w:tcW w:w="527" w:type="pct"/>
            <w:shd w:val="clear" w:color="auto" w:fill="5B9BD5" w:themeFill="accent1"/>
          </w:tcPr>
          <w:p w14:paraId="49D0977B">
            <w:pPr>
              <w:tabs>
                <w:tab w:val="left" w:pos="709"/>
              </w:tabs>
              <w:spacing w:before="100" w:beforeAutospacing="1" w:after="100" w:afterAutospacing="1" w:line="240" w:lineRule="auto"/>
              <w:jc w:val="both"/>
              <w:rPr>
                <w:rFonts w:cs="Times New Roman"/>
                <w:b/>
                <w:lang w:val="en-GB" w:eastAsia="en-GB"/>
              </w:rPr>
            </w:pPr>
            <w:r>
              <w:rPr>
                <w:b/>
                <w:lang w:val="en-GB" w:eastAsia="en-GB"/>
              </w:rPr>
              <w:t>Possible Impact</w:t>
            </w:r>
          </w:p>
        </w:tc>
        <w:tc>
          <w:tcPr>
            <w:tcW w:w="342" w:type="pct"/>
            <w:shd w:val="clear" w:color="auto" w:fill="5B9BD5" w:themeFill="accent1"/>
          </w:tcPr>
          <w:p w14:paraId="62501702">
            <w:pPr>
              <w:tabs>
                <w:tab w:val="left" w:pos="709"/>
              </w:tabs>
              <w:spacing w:before="100" w:beforeAutospacing="1" w:after="100" w:afterAutospacing="1" w:line="240" w:lineRule="auto"/>
              <w:jc w:val="both"/>
              <w:rPr>
                <w:rFonts w:eastAsia="Times New Roman" w:cs="Times New Roman"/>
                <w:b/>
                <w:bCs/>
                <w:lang w:val="en-GB" w:eastAsia="en-GB"/>
              </w:rPr>
            </w:pPr>
            <w:r>
              <w:rPr>
                <w:rFonts w:eastAsia="Times New Roman" w:cs="Times New Roman"/>
                <w:b/>
                <w:bCs/>
                <w:lang w:val="en-GB" w:eastAsia="en-GB"/>
              </w:rPr>
              <w:t>Impact Rating level</w:t>
            </w:r>
          </w:p>
        </w:tc>
        <w:tc>
          <w:tcPr>
            <w:tcW w:w="1705" w:type="pct"/>
            <w:shd w:val="clear" w:color="auto" w:fill="5B9BD5" w:themeFill="accent1"/>
          </w:tcPr>
          <w:p w14:paraId="358F92F3">
            <w:pPr>
              <w:tabs>
                <w:tab w:val="left" w:pos="709"/>
              </w:tabs>
              <w:spacing w:before="100" w:beforeAutospacing="1" w:after="100" w:afterAutospacing="1" w:line="240" w:lineRule="auto"/>
              <w:jc w:val="both"/>
              <w:rPr>
                <w:b/>
                <w:lang w:val="en-GB" w:eastAsia="en-GB"/>
              </w:rPr>
            </w:pPr>
            <w:r>
              <w:rPr>
                <w:b/>
                <w:lang w:val="en-GB" w:eastAsia="en-GB"/>
              </w:rPr>
              <w:t>Management Actions</w:t>
            </w:r>
          </w:p>
        </w:tc>
        <w:tc>
          <w:tcPr>
            <w:tcW w:w="940" w:type="pct"/>
            <w:shd w:val="clear" w:color="auto" w:fill="5B9BD5" w:themeFill="accent1"/>
          </w:tcPr>
          <w:p w14:paraId="60054B58">
            <w:pPr>
              <w:tabs>
                <w:tab w:val="left" w:pos="709"/>
              </w:tabs>
              <w:spacing w:before="100" w:beforeAutospacing="1" w:after="100" w:afterAutospacing="1" w:line="240" w:lineRule="auto"/>
              <w:jc w:val="both"/>
              <w:rPr>
                <w:rFonts w:eastAsia="Times New Roman" w:cs="Times New Roman"/>
                <w:b/>
                <w:bCs/>
                <w:lang w:val="en-GB" w:eastAsia="en-GB"/>
              </w:rPr>
            </w:pPr>
            <w:r>
              <w:rPr>
                <w:rFonts w:eastAsia="Times New Roman" w:cs="Times New Roman"/>
                <w:b/>
                <w:bCs/>
                <w:lang w:val="en-GB" w:eastAsia="en-GB"/>
              </w:rPr>
              <w:t>Monitoring Indicators</w:t>
            </w:r>
          </w:p>
        </w:tc>
        <w:tc>
          <w:tcPr>
            <w:tcW w:w="673" w:type="pct"/>
            <w:shd w:val="clear" w:color="auto" w:fill="5B9BD5" w:themeFill="accent1"/>
          </w:tcPr>
          <w:p w14:paraId="46284B5B">
            <w:pPr>
              <w:tabs>
                <w:tab w:val="left" w:pos="709"/>
              </w:tabs>
              <w:spacing w:before="100" w:beforeAutospacing="1" w:after="100" w:afterAutospacing="1" w:line="240" w:lineRule="auto"/>
              <w:jc w:val="both"/>
              <w:rPr>
                <w:rFonts w:eastAsia="Times New Roman" w:cs="Times New Roman"/>
                <w:b/>
                <w:bCs/>
                <w:lang w:val="en-GB" w:eastAsia="en-GB"/>
              </w:rPr>
            </w:pPr>
            <w:r>
              <w:rPr>
                <w:rFonts w:eastAsia="Times New Roman" w:cs="Times New Roman"/>
                <w:b/>
                <w:bCs/>
                <w:lang w:val="en-GB" w:eastAsia="en-GB"/>
              </w:rPr>
              <w:t>Target Areas and Responsibilities</w:t>
            </w:r>
          </w:p>
        </w:tc>
        <w:tc>
          <w:tcPr>
            <w:tcW w:w="401" w:type="pct"/>
            <w:shd w:val="clear" w:color="auto" w:fill="5B9BD5" w:themeFill="accent1"/>
          </w:tcPr>
          <w:p w14:paraId="12DFBA7A">
            <w:pPr>
              <w:tabs>
                <w:tab w:val="left" w:pos="709"/>
              </w:tabs>
              <w:spacing w:before="100" w:beforeAutospacing="1" w:after="100" w:afterAutospacing="1" w:line="240" w:lineRule="auto"/>
              <w:jc w:val="both"/>
              <w:rPr>
                <w:rFonts w:eastAsia="Times New Roman" w:cs="Times New Roman"/>
                <w:b/>
                <w:bCs/>
                <w:lang w:val="en-GB" w:eastAsia="en-GB"/>
              </w:rPr>
            </w:pPr>
            <w:r>
              <w:rPr>
                <w:rFonts w:eastAsia="Times New Roman" w:cs="Times New Roman"/>
                <w:b/>
                <w:bCs/>
                <w:lang w:val="en-GB" w:eastAsia="en-GB"/>
              </w:rPr>
              <w:t>Monitoring Frequency</w:t>
            </w:r>
          </w:p>
        </w:tc>
        <w:tc>
          <w:tcPr>
            <w:tcW w:w="412" w:type="pct"/>
            <w:shd w:val="clear" w:color="auto" w:fill="5B9BD5" w:themeFill="accent1"/>
          </w:tcPr>
          <w:p w14:paraId="2C019AAF">
            <w:pPr>
              <w:tabs>
                <w:tab w:val="left" w:pos="709"/>
              </w:tabs>
              <w:spacing w:before="100" w:beforeAutospacing="1" w:after="100" w:afterAutospacing="1" w:line="240" w:lineRule="auto"/>
              <w:jc w:val="both"/>
              <w:rPr>
                <w:rFonts w:eastAsia="Times New Roman" w:cs="Times New Roman"/>
                <w:b/>
                <w:bCs/>
                <w:lang w:val="en-GB" w:eastAsia="en-GB"/>
              </w:rPr>
            </w:pPr>
            <w:r>
              <w:rPr>
                <w:b/>
                <w:bCs/>
              </w:rPr>
              <w:t>Estimated Budget</w:t>
            </w:r>
            <w:r>
              <w:rPr>
                <w:b/>
                <w:bCs/>
                <w:spacing w:val="-43"/>
              </w:rPr>
              <w:t xml:space="preserve"> </w:t>
            </w:r>
            <w:r>
              <w:rPr>
                <w:b/>
                <w:bCs/>
              </w:rPr>
              <w:t>(Kshs)</w:t>
            </w:r>
          </w:p>
        </w:tc>
      </w:tr>
      <w:tr w14:paraId="6136D9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8" w:hRule="atLeast"/>
        </w:trPr>
        <w:tc>
          <w:tcPr>
            <w:tcW w:w="4588" w:type="pct"/>
            <w:gridSpan w:val="6"/>
            <w:shd w:val="clear" w:color="auto" w:fill="5B9BD5" w:themeFill="accent1"/>
          </w:tcPr>
          <w:p w14:paraId="673FA33D">
            <w:pPr>
              <w:tabs>
                <w:tab w:val="left" w:pos="709"/>
              </w:tabs>
              <w:spacing w:before="100" w:beforeAutospacing="1" w:after="100" w:afterAutospacing="1" w:line="240" w:lineRule="auto"/>
              <w:jc w:val="both"/>
              <w:rPr>
                <w:b/>
                <w:lang w:val="en-GB" w:eastAsia="en-GB"/>
              </w:rPr>
            </w:pPr>
            <w:r>
              <w:rPr>
                <w:b/>
              </w:rPr>
              <w:t>Environmental</w:t>
            </w:r>
          </w:p>
        </w:tc>
        <w:tc>
          <w:tcPr>
            <w:tcW w:w="412" w:type="pct"/>
            <w:shd w:val="clear" w:color="auto" w:fill="5B9BD5" w:themeFill="accent1"/>
          </w:tcPr>
          <w:p w14:paraId="0F664377">
            <w:pPr>
              <w:tabs>
                <w:tab w:val="left" w:pos="709"/>
              </w:tabs>
              <w:spacing w:before="100" w:beforeAutospacing="1" w:after="100" w:afterAutospacing="1" w:line="240" w:lineRule="auto"/>
              <w:jc w:val="both"/>
              <w:rPr>
                <w:b/>
                <w:bCs/>
                <w:color w:val="70AD47" w:themeColor="accent6"/>
                <w14:textFill>
                  <w14:solidFill>
                    <w14:schemeClr w14:val="accent6"/>
                  </w14:solidFill>
                </w14:textFill>
              </w:rPr>
            </w:pPr>
          </w:p>
        </w:tc>
      </w:tr>
      <w:tr w14:paraId="7388EB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527" w:type="pct"/>
          </w:tcPr>
          <w:p w14:paraId="104AFEC6">
            <w:pPr>
              <w:tabs>
                <w:tab w:val="left" w:pos="709"/>
              </w:tabs>
              <w:spacing w:before="100" w:beforeAutospacing="1" w:after="100" w:afterAutospacing="1" w:line="240" w:lineRule="auto"/>
              <w:jc w:val="both"/>
            </w:pPr>
            <w:r>
              <w:t>Noise pollution and Excessive Vibrations</w:t>
            </w:r>
          </w:p>
        </w:tc>
        <w:tc>
          <w:tcPr>
            <w:tcW w:w="342" w:type="pct"/>
          </w:tcPr>
          <w:p w14:paraId="281CBBBC">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Moderate</w:t>
            </w:r>
          </w:p>
        </w:tc>
        <w:tc>
          <w:tcPr>
            <w:tcW w:w="1705" w:type="pct"/>
          </w:tcPr>
          <w:p w14:paraId="715AF1E9">
            <w:pPr>
              <w:tabs>
                <w:tab w:val="left" w:pos="709"/>
              </w:tabs>
              <w:spacing w:before="100" w:beforeAutospacing="1" w:after="100" w:afterAutospacing="1" w:line="240" w:lineRule="auto"/>
              <w:jc w:val="both"/>
            </w:pPr>
            <w:r>
              <w:t>Enforce EMCA 1999, Revised 2015</w:t>
            </w:r>
            <w:r>
              <w:rPr>
                <w:spacing w:val="55"/>
              </w:rPr>
              <w:t xml:space="preserve"> </w:t>
            </w:r>
            <w:r>
              <w:t>(Noise</w:t>
            </w:r>
            <w:r>
              <w:rPr>
                <w:spacing w:val="1"/>
              </w:rPr>
              <w:t xml:space="preserve"> </w:t>
            </w:r>
            <w:r>
              <w:t>and</w:t>
            </w:r>
            <w:r>
              <w:rPr>
                <w:spacing w:val="2"/>
              </w:rPr>
              <w:t xml:space="preserve"> </w:t>
            </w:r>
            <w:r>
              <w:t>Excessive</w:t>
            </w:r>
            <w:r>
              <w:rPr>
                <w:spacing w:val="3"/>
              </w:rPr>
              <w:t xml:space="preserve"> </w:t>
            </w:r>
            <w:r>
              <w:t>Vibrations</w:t>
            </w:r>
            <w:r>
              <w:rPr>
                <w:spacing w:val="3"/>
              </w:rPr>
              <w:t xml:space="preserve"> </w:t>
            </w:r>
            <w:r>
              <w:t>Regulations</w:t>
            </w:r>
            <w:r>
              <w:rPr>
                <w:spacing w:val="6"/>
              </w:rPr>
              <w:t xml:space="preserve"> </w:t>
            </w:r>
            <w:r>
              <w:t>of</w:t>
            </w:r>
            <w:r>
              <w:rPr>
                <w:spacing w:val="4"/>
              </w:rPr>
              <w:t xml:space="preserve"> </w:t>
            </w:r>
            <w:r>
              <w:t>2009)</w:t>
            </w:r>
          </w:p>
          <w:p w14:paraId="48FF76F3">
            <w:pPr>
              <w:tabs>
                <w:tab w:val="left" w:pos="709"/>
              </w:tabs>
              <w:spacing w:before="100" w:beforeAutospacing="1" w:after="100" w:afterAutospacing="1" w:line="240" w:lineRule="auto"/>
              <w:jc w:val="both"/>
            </w:pPr>
            <w:r>
              <w:t>Maintain</w:t>
            </w:r>
            <w:r>
              <w:rPr>
                <w:spacing w:val="55"/>
              </w:rPr>
              <w:t xml:space="preserve"> </w:t>
            </w:r>
            <w:r>
              <w:t>noise level within acceptable limits (55 Decibels during the</w:t>
            </w:r>
            <w:r>
              <w:rPr>
                <w:spacing w:val="1"/>
              </w:rPr>
              <w:t xml:space="preserve"> </w:t>
            </w:r>
            <w:r>
              <w:t>day</w:t>
            </w:r>
            <w:r>
              <w:rPr>
                <w:spacing w:val="16"/>
              </w:rPr>
              <w:t xml:space="preserve"> </w:t>
            </w:r>
            <w:r>
              <w:t>and</w:t>
            </w:r>
            <w:r>
              <w:rPr>
                <w:spacing w:val="19"/>
              </w:rPr>
              <w:t xml:space="preserve"> </w:t>
            </w:r>
            <w:r>
              <w:t>35</w:t>
            </w:r>
            <w:r>
              <w:rPr>
                <w:spacing w:val="20"/>
              </w:rPr>
              <w:t xml:space="preserve"> </w:t>
            </w:r>
            <w:r>
              <w:t>Decibels</w:t>
            </w:r>
            <w:r>
              <w:rPr>
                <w:spacing w:val="16"/>
              </w:rPr>
              <w:t xml:space="preserve"> </w:t>
            </w:r>
            <w:r>
              <w:t>during</w:t>
            </w:r>
            <w:r>
              <w:rPr>
                <w:spacing w:val="17"/>
              </w:rPr>
              <w:t xml:space="preserve"> </w:t>
            </w:r>
            <w:r>
              <w:t>the</w:t>
            </w:r>
            <w:r>
              <w:rPr>
                <w:spacing w:val="21"/>
              </w:rPr>
              <w:t xml:space="preserve"> </w:t>
            </w:r>
            <w:r>
              <w:t>night)</w:t>
            </w:r>
            <w:r>
              <w:rPr>
                <w:spacing w:val="20"/>
              </w:rPr>
              <w:t xml:space="preserve"> </w:t>
            </w:r>
            <w:r>
              <w:t>and</w:t>
            </w:r>
            <w:r>
              <w:rPr>
                <w:spacing w:val="19"/>
              </w:rPr>
              <w:t xml:space="preserve"> </w:t>
            </w:r>
            <w:r>
              <w:t>construction</w:t>
            </w:r>
            <w:r>
              <w:rPr>
                <w:spacing w:val="19"/>
              </w:rPr>
              <w:t xml:space="preserve"> </w:t>
            </w:r>
            <w:r>
              <w:t>activities</w:t>
            </w:r>
            <w:r>
              <w:rPr>
                <w:spacing w:val="17"/>
              </w:rPr>
              <w:t xml:space="preserve"> </w:t>
            </w:r>
            <w:r>
              <w:t>shall,</w:t>
            </w:r>
            <w:r>
              <w:rPr>
                <w:spacing w:val="19"/>
              </w:rPr>
              <w:t xml:space="preserve"> </w:t>
            </w:r>
            <w:r>
              <w:t>where</w:t>
            </w:r>
            <w:r>
              <w:rPr>
                <w:spacing w:val="20"/>
              </w:rPr>
              <w:t xml:space="preserve"> </w:t>
            </w:r>
            <w:r>
              <w:t>possible,</w:t>
            </w:r>
            <w:r>
              <w:rPr>
                <w:spacing w:val="-52"/>
              </w:rPr>
              <w:t xml:space="preserve"> </w:t>
            </w:r>
            <w:r>
              <w:t>be</w:t>
            </w:r>
            <w:r>
              <w:rPr>
                <w:spacing w:val="3"/>
              </w:rPr>
              <w:t xml:space="preserve"> </w:t>
            </w:r>
            <w:r>
              <w:t>confined</w:t>
            </w:r>
            <w:r>
              <w:rPr>
                <w:spacing w:val="3"/>
              </w:rPr>
              <w:t xml:space="preserve"> </w:t>
            </w:r>
            <w:r>
              <w:t>to</w:t>
            </w:r>
            <w:r>
              <w:rPr>
                <w:spacing w:val="3"/>
              </w:rPr>
              <w:t xml:space="preserve"> </w:t>
            </w:r>
            <w:r>
              <w:t>normal</w:t>
            </w:r>
            <w:r>
              <w:rPr>
                <w:spacing w:val="7"/>
              </w:rPr>
              <w:t xml:space="preserve"> </w:t>
            </w:r>
            <w:r>
              <w:t>working</w:t>
            </w:r>
            <w:r>
              <w:rPr>
                <w:spacing w:val="3"/>
              </w:rPr>
              <w:t xml:space="preserve"> </w:t>
            </w:r>
            <w:r>
              <w:t>hours</w:t>
            </w:r>
            <w:r>
              <w:rPr>
                <w:spacing w:val="3"/>
              </w:rPr>
              <w:t xml:space="preserve"> </w:t>
            </w:r>
            <w:r>
              <w:t>in</w:t>
            </w:r>
            <w:r>
              <w:rPr>
                <w:spacing w:val="4"/>
              </w:rPr>
              <w:t xml:space="preserve"> </w:t>
            </w:r>
            <w:r>
              <w:t>the</w:t>
            </w:r>
            <w:r>
              <w:rPr>
                <w:spacing w:val="3"/>
              </w:rPr>
              <w:t xml:space="preserve"> </w:t>
            </w:r>
            <w:r>
              <w:t>residential</w:t>
            </w:r>
            <w:r>
              <w:rPr>
                <w:spacing w:val="6"/>
              </w:rPr>
              <w:t xml:space="preserve"> </w:t>
            </w:r>
            <w:r>
              <w:t>areas</w:t>
            </w:r>
          </w:p>
          <w:p w14:paraId="0B831322">
            <w:pPr>
              <w:tabs>
                <w:tab w:val="left" w:pos="709"/>
              </w:tabs>
              <w:spacing w:before="100" w:beforeAutospacing="1" w:after="100" w:afterAutospacing="1" w:line="240" w:lineRule="auto"/>
              <w:jc w:val="both"/>
            </w:pPr>
            <w:r>
              <w:t>Hospitals</w:t>
            </w:r>
            <w:r>
              <w:rPr>
                <w:spacing w:val="1"/>
              </w:rPr>
              <w:t xml:space="preserve"> </w:t>
            </w:r>
            <w:r>
              <w:t>and</w:t>
            </w:r>
            <w:r>
              <w:rPr>
                <w:spacing w:val="1"/>
              </w:rPr>
              <w:t xml:space="preserve"> </w:t>
            </w:r>
            <w:r>
              <w:t>other</w:t>
            </w:r>
            <w:r>
              <w:rPr>
                <w:spacing w:val="1"/>
              </w:rPr>
              <w:t xml:space="preserve"> </w:t>
            </w:r>
            <w:r>
              <w:t>noise</w:t>
            </w:r>
            <w:r>
              <w:rPr>
                <w:spacing w:val="1"/>
              </w:rPr>
              <w:t xml:space="preserve"> </w:t>
            </w:r>
            <w:r>
              <w:t>sensitive</w:t>
            </w:r>
            <w:r>
              <w:rPr>
                <w:spacing w:val="1"/>
              </w:rPr>
              <w:t xml:space="preserve"> </w:t>
            </w:r>
            <w:r>
              <w:t>areas</w:t>
            </w:r>
            <w:r>
              <w:rPr>
                <w:spacing w:val="1"/>
              </w:rPr>
              <w:t xml:space="preserve"> </w:t>
            </w:r>
            <w:r>
              <w:t>such</w:t>
            </w:r>
            <w:r>
              <w:rPr>
                <w:spacing w:val="1"/>
              </w:rPr>
              <w:t xml:space="preserve"> </w:t>
            </w:r>
            <w:r>
              <w:t>as</w:t>
            </w:r>
            <w:r>
              <w:rPr>
                <w:spacing w:val="1"/>
              </w:rPr>
              <w:t xml:space="preserve"> </w:t>
            </w:r>
            <w:r>
              <w:t>schools</w:t>
            </w:r>
            <w:r>
              <w:rPr>
                <w:spacing w:val="1"/>
              </w:rPr>
              <w:t xml:space="preserve"> </w:t>
            </w:r>
            <w:r>
              <w:t>shall</w:t>
            </w:r>
            <w:r>
              <w:rPr>
                <w:spacing w:val="1"/>
              </w:rPr>
              <w:t xml:space="preserve"> </w:t>
            </w:r>
            <w:r>
              <w:t>be</w:t>
            </w:r>
            <w:r>
              <w:rPr>
                <w:spacing w:val="1"/>
              </w:rPr>
              <w:t xml:space="preserve"> </w:t>
            </w:r>
            <w:r>
              <w:t>notified</w:t>
            </w:r>
            <w:r>
              <w:rPr>
                <w:spacing w:val="1"/>
              </w:rPr>
              <w:t xml:space="preserve"> </w:t>
            </w:r>
            <w:r>
              <w:t>by</w:t>
            </w:r>
            <w:r>
              <w:rPr>
                <w:spacing w:val="1"/>
              </w:rPr>
              <w:t xml:space="preserve"> </w:t>
            </w:r>
            <w:r>
              <w:t>the</w:t>
            </w:r>
            <w:r>
              <w:rPr>
                <w:spacing w:val="1"/>
              </w:rPr>
              <w:t xml:space="preserve"> </w:t>
            </w:r>
            <w:r>
              <w:t>Contractor</w:t>
            </w:r>
            <w:r>
              <w:rPr>
                <w:spacing w:val="9"/>
              </w:rPr>
              <w:t xml:space="preserve"> </w:t>
            </w:r>
            <w:r>
              <w:t>at</w:t>
            </w:r>
            <w:r>
              <w:rPr>
                <w:spacing w:val="6"/>
              </w:rPr>
              <w:t xml:space="preserve"> </w:t>
            </w:r>
            <w:r>
              <w:t>least</w:t>
            </w:r>
            <w:r>
              <w:rPr>
                <w:spacing w:val="7"/>
              </w:rPr>
              <w:t xml:space="preserve"> </w:t>
            </w:r>
            <w:r>
              <w:t>5</w:t>
            </w:r>
            <w:r>
              <w:rPr>
                <w:spacing w:val="8"/>
              </w:rPr>
              <w:t xml:space="preserve"> </w:t>
            </w:r>
            <w:r>
              <w:t>days</w:t>
            </w:r>
            <w:r>
              <w:rPr>
                <w:spacing w:val="6"/>
              </w:rPr>
              <w:t xml:space="preserve"> </w:t>
            </w:r>
            <w:r>
              <w:t>before</w:t>
            </w:r>
            <w:r>
              <w:rPr>
                <w:spacing w:val="6"/>
              </w:rPr>
              <w:t xml:space="preserve"> </w:t>
            </w:r>
            <w:r>
              <w:t>construction</w:t>
            </w:r>
            <w:r>
              <w:rPr>
                <w:spacing w:val="6"/>
              </w:rPr>
              <w:t xml:space="preserve"> </w:t>
            </w:r>
            <w:r>
              <w:t>is</w:t>
            </w:r>
            <w:r>
              <w:rPr>
                <w:spacing w:val="6"/>
              </w:rPr>
              <w:t xml:space="preserve"> </w:t>
            </w:r>
            <w:r>
              <w:t>due</w:t>
            </w:r>
            <w:r>
              <w:rPr>
                <w:spacing w:val="6"/>
              </w:rPr>
              <w:t xml:space="preserve"> </w:t>
            </w:r>
            <w:r>
              <w:t>to</w:t>
            </w:r>
            <w:r>
              <w:rPr>
                <w:spacing w:val="8"/>
              </w:rPr>
              <w:t xml:space="preserve"> </w:t>
            </w:r>
            <w:r>
              <w:t>commence</w:t>
            </w:r>
            <w:r>
              <w:rPr>
                <w:spacing w:val="5"/>
              </w:rPr>
              <w:t xml:space="preserve"> </w:t>
            </w:r>
            <w:r>
              <w:t>in</w:t>
            </w:r>
            <w:r>
              <w:rPr>
                <w:spacing w:val="6"/>
              </w:rPr>
              <w:t xml:space="preserve"> </w:t>
            </w:r>
            <w:r>
              <w:t>their</w:t>
            </w:r>
            <w:r>
              <w:rPr>
                <w:spacing w:val="9"/>
              </w:rPr>
              <w:t xml:space="preserve"> </w:t>
            </w:r>
            <w:r>
              <w:t>vicinity</w:t>
            </w:r>
          </w:p>
          <w:p w14:paraId="3E81C470">
            <w:pPr>
              <w:tabs>
                <w:tab w:val="left" w:pos="709"/>
              </w:tabs>
              <w:spacing w:before="100" w:beforeAutospacing="1" w:after="100" w:afterAutospacing="1" w:line="240" w:lineRule="auto"/>
              <w:jc w:val="both"/>
            </w:pPr>
            <w:r>
              <w:t>Undertake</w:t>
            </w:r>
            <w:r>
              <w:rPr>
                <w:spacing w:val="15"/>
              </w:rPr>
              <w:t xml:space="preserve"> </w:t>
            </w:r>
            <w:r>
              <w:t>Noise</w:t>
            </w:r>
            <w:r>
              <w:rPr>
                <w:spacing w:val="14"/>
              </w:rPr>
              <w:t xml:space="preserve"> </w:t>
            </w:r>
            <w:r>
              <w:t>and</w:t>
            </w:r>
            <w:r>
              <w:rPr>
                <w:spacing w:val="12"/>
              </w:rPr>
              <w:t xml:space="preserve"> </w:t>
            </w:r>
            <w:r>
              <w:t>Excessive</w:t>
            </w:r>
            <w:r>
              <w:rPr>
                <w:spacing w:val="12"/>
              </w:rPr>
              <w:t xml:space="preserve"> </w:t>
            </w:r>
            <w:r>
              <w:t>Vibration</w:t>
            </w:r>
            <w:r>
              <w:rPr>
                <w:spacing w:val="14"/>
              </w:rPr>
              <w:t xml:space="preserve"> </w:t>
            </w:r>
            <w:r>
              <w:t>Assessments</w:t>
            </w:r>
          </w:p>
          <w:p w14:paraId="1359C24D">
            <w:pPr>
              <w:tabs>
                <w:tab w:val="left" w:pos="709"/>
              </w:tabs>
              <w:spacing w:before="100" w:beforeAutospacing="1" w:after="100" w:afterAutospacing="1" w:line="240" w:lineRule="auto"/>
              <w:jc w:val="both"/>
            </w:pPr>
            <w:r>
              <w:t>Effective</w:t>
            </w:r>
            <w:r>
              <w:rPr>
                <w:spacing w:val="1"/>
              </w:rPr>
              <w:t xml:space="preserve"> </w:t>
            </w:r>
            <w:r>
              <w:t>use</w:t>
            </w:r>
            <w:r>
              <w:rPr>
                <w:spacing w:val="1"/>
              </w:rPr>
              <w:t xml:space="preserve"> </w:t>
            </w:r>
            <w:r>
              <w:t>of</w:t>
            </w:r>
            <w:r>
              <w:rPr>
                <w:spacing w:val="1"/>
              </w:rPr>
              <w:t xml:space="preserve"> </w:t>
            </w:r>
            <w:r>
              <w:t>appropriate</w:t>
            </w:r>
            <w:r>
              <w:rPr>
                <w:spacing w:val="1"/>
              </w:rPr>
              <w:t xml:space="preserve"> </w:t>
            </w:r>
            <w:r>
              <w:t>PPE (earmuffs) for exposed</w:t>
            </w:r>
            <w:r>
              <w:rPr>
                <w:spacing w:val="1"/>
              </w:rPr>
              <w:t xml:space="preserve"> </w:t>
            </w:r>
            <w:r>
              <w:t>workers.</w:t>
            </w:r>
          </w:p>
          <w:p w14:paraId="757FADA1">
            <w:pPr>
              <w:tabs>
                <w:tab w:val="left" w:pos="709"/>
              </w:tabs>
              <w:spacing w:before="100" w:beforeAutospacing="1" w:after="100" w:afterAutospacing="1" w:line="240" w:lineRule="auto"/>
              <w:jc w:val="both"/>
            </w:pPr>
            <w:r>
              <w:t>Proper</w:t>
            </w:r>
            <w:r>
              <w:rPr>
                <w:spacing w:val="1"/>
              </w:rPr>
              <w:t xml:space="preserve"> </w:t>
            </w:r>
            <w:r>
              <w:t>maintenance</w:t>
            </w:r>
            <w:r>
              <w:rPr>
                <w:spacing w:val="1"/>
              </w:rPr>
              <w:t xml:space="preserve"> </w:t>
            </w:r>
            <w:r>
              <w:t>of</w:t>
            </w:r>
            <w:r>
              <w:rPr>
                <w:spacing w:val="1"/>
              </w:rPr>
              <w:t xml:space="preserve"> </w:t>
            </w:r>
            <w:r>
              <w:t>machines.</w:t>
            </w:r>
          </w:p>
          <w:p w14:paraId="3E34F964">
            <w:pPr>
              <w:tabs>
                <w:tab w:val="left" w:pos="709"/>
              </w:tabs>
              <w:spacing w:before="100" w:beforeAutospacing="1" w:after="100" w:afterAutospacing="1" w:line="240" w:lineRule="auto"/>
              <w:jc w:val="both"/>
              <w:rPr>
                <w:b/>
              </w:rPr>
            </w:pPr>
            <w:r>
              <w:t>Record</w:t>
            </w:r>
            <w:r>
              <w:rPr>
                <w:spacing w:val="1"/>
              </w:rPr>
              <w:t xml:space="preserve"> </w:t>
            </w:r>
            <w:r>
              <w:t>and</w:t>
            </w:r>
            <w:r>
              <w:rPr>
                <w:spacing w:val="1"/>
              </w:rPr>
              <w:t xml:space="preserve"> </w:t>
            </w:r>
            <w:r>
              <w:t>communicated</w:t>
            </w:r>
            <w:r>
              <w:rPr>
                <w:spacing w:val="3"/>
              </w:rPr>
              <w:t xml:space="preserve"> </w:t>
            </w:r>
            <w:r>
              <w:t>to</w:t>
            </w:r>
            <w:r>
              <w:rPr>
                <w:spacing w:val="4"/>
              </w:rPr>
              <w:t xml:space="preserve"> </w:t>
            </w:r>
            <w:r>
              <w:t>the</w:t>
            </w:r>
            <w:r>
              <w:rPr>
                <w:spacing w:val="4"/>
              </w:rPr>
              <w:t xml:space="preserve"> </w:t>
            </w:r>
            <w:r>
              <w:t>Supervising</w:t>
            </w:r>
            <w:r>
              <w:rPr>
                <w:spacing w:val="4"/>
              </w:rPr>
              <w:t xml:space="preserve"> </w:t>
            </w:r>
            <w:r>
              <w:t>Engineer</w:t>
            </w:r>
            <w:r>
              <w:rPr>
                <w:spacing w:val="5"/>
              </w:rPr>
              <w:t xml:space="preserve"> all noise and excess vibration complains </w:t>
            </w:r>
            <w:r>
              <w:t>for</w:t>
            </w:r>
            <w:r>
              <w:rPr>
                <w:spacing w:val="5"/>
              </w:rPr>
              <w:t xml:space="preserve"> </w:t>
            </w:r>
            <w:r>
              <w:t>appropriate</w:t>
            </w:r>
            <w:r>
              <w:rPr>
                <w:spacing w:val="4"/>
              </w:rPr>
              <w:t xml:space="preserve"> </w:t>
            </w:r>
            <w:r>
              <w:t>action.</w:t>
            </w:r>
          </w:p>
        </w:tc>
        <w:tc>
          <w:tcPr>
            <w:tcW w:w="940" w:type="pct"/>
          </w:tcPr>
          <w:p w14:paraId="11504D91">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Reported complaints from neighbour community and institutions</w:t>
            </w:r>
          </w:p>
          <w:p w14:paraId="50BC7E27">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Records of machine</w:t>
            </w:r>
            <w:r>
              <w:rPr>
                <w:rFonts w:eastAsia="Times New Roman" w:cs="Times New Roman"/>
                <w:bCs/>
                <w:lang w:eastAsia="en-GB"/>
              </w:rPr>
              <w:t xml:space="preserve"> </w:t>
            </w:r>
            <w:r>
              <w:rPr>
                <w:rFonts w:eastAsia="Times New Roman" w:cs="Times New Roman"/>
                <w:bCs/>
                <w:lang w:val="en-GB" w:eastAsia="en-GB"/>
              </w:rPr>
              <w:t>and vehicle maintenance</w:t>
            </w:r>
          </w:p>
          <w:p w14:paraId="497351EE">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Availability and use of</w:t>
            </w:r>
            <w:r>
              <w:rPr>
                <w:rFonts w:eastAsia="Times New Roman" w:cs="Times New Roman"/>
                <w:bCs/>
                <w:lang w:eastAsia="en-GB"/>
              </w:rPr>
              <w:t xml:space="preserve"> </w:t>
            </w:r>
            <w:r>
              <w:rPr>
                <w:rFonts w:eastAsia="Times New Roman" w:cs="Times New Roman"/>
                <w:bCs/>
                <w:lang w:val="en-GB" w:eastAsia="en-GB"/>
              </w:rPr>
              <w:t>Ear Muffs</w:t>
            </w:r>
          </w:p>
        </w:tc>
        <w:tc>
          <w:tcPr>
            <w:tcW w:w="673" w:type="pct"/>
          </w:tcPr>
          <w:p w14:paraId="681AE59C">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Environmental Consultants</w:t>
            </w:r>
          </w:p>
          <w:p w14:paraId="6AE77CD1">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Contractor</w:t>
            </w:r>
          </w:p>
        </w:tc>
        <w:tc>
          <w:tcPr>
            <w:tcW w:w="401" w:type="pct"/>
          </w:tcPr>
          <w:p w14:paraId="4DAC5463">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Continuous</w:t>
            </w:r>
          </w:p>
        </w:tc>
        <w:tc>
          <w:tcPr>
            <w:tcW w:w="412" w:type="pct"/>
          </w:tcPr>
          <w:p w14:paraId="672E3A8C">
            <w:pPr>
              <w:tabs>
                <w:tab w:val="left" w:pos="709"/>
              </w:tabs>
              <w:spacing w:before="100" w:beforeAutospacing="1" w:after="100" w:afterAutospacing="1" w:line="240" w:lineRule="auto"/>
              <w:jc w:val="both"/>
              <w:rPr>
                <w:rFonts w:eastAsia="Times New Roman" w:cs="Times New Roman"/>
                <w:lang w:val="en-GB" w:eastAsia="en-GB"/>
              </w:rPr>
            </w:pPr>
            <w:r>
              <w:rPr>
                <w:rFonts w:eastAsia="Times New Roman" w:cs="Times New Roman"/>
                <w:lang w:val="en-GB" w:eastAsia="en-GB"/>
              </w:rPr>
              <w:t>500,000.00</w:t>
            </w:r>
          </w:p>
        </w:tc>
      </w:tr>
      <w:tr w14:paraId="6A6ABF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527" w:type="pct"/>
          </w:tcPr>
          <w:p w14:paraId="66CD89C6">
            <w:pPr>
              <w:tabs>
                <w:tab w:val="left" w:pos="709"/>
              </w:tabs>
              <w:spacing w:before="100" w:beforeAutospacing="1" w:after="100" w:afterAutospacing="1" w:line="240" w:lineRule="auto"/>
              <w:jc w:val="both"/>
            </w:pPr>
            <w:r>
              <w:t xml:space="preserve">Air pollution </w:t>
            </w:r>
          </w:p>
        </w:tc>
        <w:tc>
          <w:tcPr>
            <w:tcW w:w="342" w:type="pct"/>
          </w:tcPr>
          <w:p w14:paraId="762B60F2">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 xml:space="preserve">Moderate </w:t>
            </w:r>
          </w:p>
        </w:tc>
        <w:tc>
          <w:tcPr>
            <w:tcW w:w="1705" w:type="pct"/>
          </w:tcPr>
          <w:p w14:paraId="793312F4">
            <w:pPr>
              <w:tabs>
                <w:tab w:val="left" w:pos="709"/>
              </w:tabs>
              <w:spacing w:before="100" w:beforeAutospacing="1" w:after="100" w:afterAutospacing="1" w:line="240" w:lineRule="auto"/>
              <w:jc w:val="both"/>
              <w:rPr>
                <w:lang w:bidi="en-US"/>
              </w:rPr>
            </w:pPr>
            <w:r>
              <w:rPr>
                <w:lang w:bidi="en-US"/>
              </w:rPr>
              <w:t>Vegetation and Greenery; Incorporate green infrastructure elements such as vegetative barriers and green roofs into construction projects to help absorb pollutants and improve air quality in the surrounding area.</w:t>
            </w:r>
          </w:p>
          <w:p w14:paraId="376B2256">
            <w:pPr>
              <w:tabs>
                <w:tab w:val="left" w:pos="709"/>
              </w:tabs>
              <w:spacing w:before="100" w:beforeAutospacing="1" w:after="100" w:afterAutospacing="1" w:line="240" w:lineRule="auto"/>
              <w:jc w:val="both"/>
              <w:rPr>
                <w:lang w:bidi="en-US"/>
              </w:rPr>
            </w:pPr>
            <w:r>
              <w:rPr>
                <w:lang w:bidi="en-US"/>
              </w:rPr>
              <w:t>Regulatory Compliance; Ensure compliance with relevant environmental regulations and permits governing air quality standards and emissions limits for construction activities.</w:t>
            </w:r>
          </w:p>
          <w:p w14:paraId="24111549">
            <w:pPr>
              <w:tabs>
                <w:tab w:val="left" w:pos="709"/>
              </w:tabs>
              <w:spacing w:before="100" w:beforeAutospacing="1" w:after="100" w:afterAutospacing="1" w:line="240" w:lineRule="auto"/>
              <w:jc w:val="both"/>
              <w:rPr>
                <w:lang w:bidi="en-US"/>
              </w:rPr>
            </w:pPr>
            <w:r>
              <w:rPr>
                <w:lang w:bidi="en-US"/>
              </w:rPr>
              <w:t xml:space="preserve">Water sprinkling to reduce the dust at the construction sites. </w:t>
            </w:r>
          </w:p>
          <w:p w14:paraId="3E6A5568">
            <w:pPr>
              <w:tabs>
                <w:tab w:val="left" w:pos="709"/>
              </w:tabs>
              <w:spacing w:before="100" w:beforeAutospacing="1" w:after="100" w:afterAutospacing="1" w:line="240" w:lineRule="auto"/>
              <w:jc w:val="both"/>
              <w:rPr>
                <w:lang w:bidi="en-US"/>
              </w:rPr>
            </w:pPr>
            <w:r>
              <w:rPr>
                <w:lang w:bidi="en-US"/>
              </w:rPr>
              <w:t>Use of dust masks to operators and those working in the dusty areas.</w:t>
            </w:r>
          </w:p>
          <w:p w14:paraId="105B3FFD">
            <w:pPr>
              <w:tabs>
                <w:tab w:val="left" w:pos="709"/>
              </w:tabs>
              <w:spacing w:before="100" w:beforeAutospacing="1" w:after="100" w:afterAutospacing="1" w:line="240" w:lineRule="auto"/>
              <w:jc w:val="both"/>
              <w:rPr>
                <w:lang w:bidi="en-US"/>
              </w:rPr>
            </w:pPr>
            <w:r>
              <w:rPr>
                <w:lang w:bidi="en-US"/>
              </w:rPr>
              <w:t>Use of goggles for all operators.</w:t>
            </w:r>
          </w:p>
          <w:p w14:paraId="17B29226">
            <w:pPr>
              <w:tabs>
                <w:tab w:val="left" w:pos="709"/>
              </w:tabs>
              <w:spacing w:before="100" w:beforeAutospacing="1" w:after="100" w:afterAutospacing="1" w:line="240" w:lineRule="auto"/>
              <w:jc w:val="both"/>
              <w:rPr>
                <w:lang w:bidi="en-US"/>
              </w:rPr>
            </w:pPr>
            <w:r>
              <w:rPr>
                <w:lang w:bidi="en-US"/>
              </w:rPr>
              <w:t xml:space="preserve">Construction machines/equipment will be well maintained to ensure total fuel combustion. All vehicles involved in construction works will be frequently checked and well serviced during the whole construction period so that the level of exhaust emissions is reduced. </w:t>
            </w:r>
          </w:p>
          <w:p w14:paraId="389D68FD">
            <w:pPr>
              <w:tabs>
                <w:tab w:val="left" w:pos="709"/>
              </w:tabs>
              <w:spacing w:before="100" w:beforeAutospacing="1" w:after="100" w:afterAutospacing="1" w:line="240" w:lineRule="auto"/>
              <w:jc w:val="both"/>
              <w:rPr>
                <w:lang w:bidi="en-US"/>
              </w:rPr>
            </w:pPr>
            <w:r>
              <w:rPr>
                <w:lang w:bidi="en-US"/>
              </w:rPr>
              <w:t>Speed of vehicles hauling construction materials shall be reduced and the construction materials will be covered with tarpaulins.</w:t>
            </w:r>
          </w:p>
        </w:tc>
        <w:tc>
          <w:tcPr>
            <w:tcW w:w="940" w:type="pct"/>
          </w:tcPr>
          <w:p w14:paraId="09D179B2">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Cases of respiratory</w:t>
            </w:r>
            <w:r>
              <w:rPr>
                <w:rFonts w:eastAsia="Times New Roman" w:cs="Times New Roman"/>
                <w:bCs/>
                <w:lang w:eastAsia="en-GB"/>
              </w:rPr>
              <w:t xml:space="preserve"> </w:t>
            </w:r>
            <w:r>
              <w:rPr>
                <w:rFonts w:eastAsia="Times New Roman" w:cs="Times New Roman"/>
                <w:bCs/>
                <w:lang w:val="en-GB" w:eastAsia="en-GB"/>
              </w:rPr>
              <w:t>complication at nearby health centre.</w:t>
            </w:r>
          </w:p>
          <w:p w14:paraId="44365597">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Records of machine</w:t>
            </w:r>
            <w:r>
              <w:rPr>
                <w:rFonts w:eastAsia="Times New Roman" w:cs="Times New Roman"/>
                <w:bCs/>
                <w:lang w:eastAsia="en-GB"/>
              </w:rPr>
              <w:t xml:space="preserve"> </w:t>
            </w:r>
            <w:r>
              <w:rPr>
                <w:rFonts w:eastAsia="Times New Roman" w:cs="Times New Roman"/>
                <w:bCs/>
                <w:lang w:val="en-GB" w:eastAsia="en-GB"/>
              </w:rPr>
              <w:t>and vehicle</w:t>
            </w:r>
            <w:r>
              <w:rPr>
                <w:rFonts w:eastAsia="Times New Roman" w:cs="Times New Roman"/>
                <w:bCs/>
                <w:lang w:eastAsia="en-GB"/>
              </w:rPr>
              <w:t xml:space="preserve"> </w:t>
            </w:r>
            <w:r>
              <w:rPr>
                <w:rFonts w:eastAsia="Times New Roman" w:cs="Times New Roman"/>
                <w:bCs/>
                <w:lang w:val="en-GB" w:eastAsia="en-GB"/>
              </w:rPr>
              <w:t>maintenance</w:t>
            </w:r>
          </w:p>
          <w:p w14:paraId="737E56F9">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Low dust generation</w:t>
            </w:r>
            <w:r>
              <w:rPr>
                <w:rFonts w:eastAsia="Times New Roman" w:cs="Times New Roman"/>
                <w:bCs/>
                <w:lang w:eastAsia="en-GB"/>
              </w:rPr>
              <w:t xml:space="preserve"> </w:t>
            </w:r>
            <w:r>
              <w:rPr>
                <w:rFonts w:eastAsia="Times New Roman" w:cs="Times New Roman"/>
                <w:bCs/>
                <w:lang w:val="en-GB" w:eastAsia="en-GB"/>
              </w:rPr>
              <w:t>during construction</w:t>
            </w:r>
          </w:p>
          <w:p w14:paraId="50DB757C">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Availability and use of Nose Masks</w:t>
            </w:r>
          </w:p>
          <w:p w14:paraId="0E36E699">
            <w:pPr>
              <w:tabs>
                <w:tab w:val="left" w:pos="709"/>
              </w:tabs>
              <w:spacing w:before="100" w:beforeAutospacing="1" w:after="100" w:afterAutospacing="1" w:line="240" w:lineRule="auto"/>
              <w:jc w:val="both"/>
              <w:rPr>
                <w:rFonts w:eastAsia="Times New Roman" w:cs="Times New Roman"/>
                <w:bCs/>
                <w:lang w:val="en-GB" w:eastAsia="en-GB"/>
              </w:rPr>
            </w:pPr>
          </w:p>
        </w:tc>
        <w:tc>
          <w:tcPr>
            <w:tcW w:w="673" w:type="pct"/>
          </w:tcPr>
          <w:p w14:paraId="6B39392C">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Environmental Consultants</w:t>
            </w:r>
          </w:p>
          <w:p w14:paraId="0D5332AA">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Contractor</w:t>
            </w:r>
          </w:p>
        </w:tc>
        <w:tc>
          <w:tcPr>
            <w:tcW w:w="401" w:type="pct"/>
          </w:tcPr>
          <w:p w14:paraId="4BCB69F7">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 xml:space="preserve">Continuous </w:t>
            </w:r>
          </w:p>
        </w:tc>
        <w:tc>
          <w:tcPr>
            <w:tcW w:w="412" w:type="pct"/>
          </w:tcPr>
          <w:p w14:paraId="55AD0A23">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400,000.00</w:t>
            </w:r>
          </w:p>
        </w:tc>
      </w:tr>
      <w:tr w14:paraId="761C96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62" w:hRule="atLeast"/>
        </w:trPr>
        <w:tc>
          <w:tcPr>
            <w:tcW w:w="527" w:type="pct"/>
          </w:tcPr>
          <w:p w14:paraId="1C472277">
            <w:pPr>
              <w:tabs>
                <w:tab w:val="left" w:pos="709"/>
              </w:tabs>
              <w:spacing w:before="100" w:beforeAutospacing="1" w:after="100" w:afterAutospacing="1" w:line="240" w:lineRule="auto"/>
              <w:jc w:val="both"/>
              <w:rPr>
                <w:i/>
              </w:rPr>
            </w:pPr>
            <w:r>
              <w:t xml:space="preserve">Soil pollution </w:t>
            </w:r>
          </w:p>
        </w:tc>
        <w:tc>
          <w:tcPr>
            <w:tcW w:w="342" w:type="pct"/>
          </w:tcPr>
          <w:p w14:paraId="7001FCEE">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Low</w:t>
            </w:r>
          </w:p>
        </w:tc>
        <w:tc>
          <w:tcPr>
            <w:tcW w:w="1705" w:type="pct"/>
          </w:tcPr>
          <w:p w14:paraId="17511E2A">
            <w:pPr>
              <w:tabs>
                <w:tab w:val="left" w:pos="709"/>
              </w:tabs>
              <w:spacing w:before="100" w:beforeAutospacing="1" w:after="100" w:afterAutospacing="1" w:line="240" w:lineRule="auto"/>
              <w:jc w:val="both"/>
              <w:rPr>
                <w:b/>
              </w:rPr>
            </w:pPr>
            <w:r>
              <w:t>Implement soil erosion control measures to prevent the release of contaminants during construction.</w:t>
            </w:r>
          </w:p>
          <w:p w14:paraId="1DFEF3B9">
            <w:pPr>
              <w:tabs>
                <w:tab w:val="left" w:pos="709"/>
              </w:tabs>
              <w:spacing w:before="100" w:beforeAutospacing="1" w:after="100" w:afterAutospacing="1" w:line="240" w:lineRule="auto"/>
              <w:jc w:val="both"/>
              <w:rPr>
                <w:b/>
              </w:rPr>
            </w:pPr>
            <w:r>
              <w:t>Regularly monitor soil quality in construction areas and implement corrective measures.</w:t>
            </w:r>
          </w:p>
          <w:p w14:paraId="58D8B81A">
            <w:pPr>
              <w:tabs>
                <w:tab w:val="left" w:pos="709"/>
              </w:tabs>
              <w:spacing w:before="100" w:beforeAutospacing="1" w:after="100" w:afterAutospacing="1" w:line="240" w:lineRule="auto"/>
              <w:jc w:val="both"/>
              <w:rPr>
                <w:b/>
              </w:rPr>
            </w:pPr>
            <w:r>
              <w:t>Collaborate with environmental agencies to ensure compliance with soil quality standards.</w:t>
            </w:r>
          </w:p>
        </w:tc>
        <w:tc>
          <w:tcPr>
            <w:tcW w:w="940" w:type="pct"/>
          </w:tcPr>
          <w:p w14:paraId="0D1BAA9F">
            <w:pPr>
              <w:tabs>
                <w:tab w:val="left" w:pos="709"/>
              </w:tabs>
              <w:spacing w:before="100" w:beforeAutospacing="1" w:after="100" w:afterAutospacing="1"/>
              <w:jc w:val="both"/>
              <w:rPr>
                <w:lang w:val="en-GB" w:eastAsia="en-GB"/>
              </w:rPr>
            </w:pPr>
            <w:r>
              <w:rPr>
                <w:lang w:val="en-GB" w:eastAsia="en-GB"/>
              </w:rPr>
              <w:t>Ground cover in Constructed areas</w:t>
            </w:r>
          </w:p>
        </w:tc>
        <w:tc>
          <w:tcPr>
            <w:tcW w:w="673" w:type="pct"/>
          </w:tcPr>
          <w:p w14:paraId="796D3BD2">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Environmental Management Team/consultant</w:t>
            </w:r>
          </w:p>
          <w:p w14:paraId="15FC0C6B">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 xml:space="preserve"> Contractor</w:t>
            </w:r>
          </w:p>
        </w:tc>
        <w:tc>
          <w:tcPr>
            <w:tcW w:w="401" w:type="pct"/>
          </w:tcPr>
          <w:p w14:paraId="04F75737">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Monthly</w:t>
            </w:r>
          </w:p>
        </w:tc>
        <w:tc>
          <w:tcPr>
            <w:tcW w:w="412" w:type="pct"/>
          </w:tcPr>
          <w:p w14:paraId="1FD98052">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400,000.00</w:t>
            </w:r>
          </w:p>
        </w:tc>
      </w:tr>
      <w:tr w14:paraId="5EDE2F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trPr>
        <w:tc>
          <w:tcPr>
            <w:tcW w:w="527" w:type="pct"/>
          </w:tcPr>
          <w:p w14:paraId="41CB4198">
            <w:pPr>
              <w:tabs>
                <w:tab w:val="left" w:pos="709"/>
              </w:tabs>
              <w:spacing w:before="100" w:beforeAutospacing="1" w:after="100" w:afterAutospacing="1" w:line="240" w:lineRule="auto"/>
              <w:jc w:val="both"/>
            </w:pPr>
            <w:r>
              <w:t>Increased Waste Generation</w:t>
            </w:r>
          </w:p>
        </w:tc>
        <w:tc>
          <w:tcPr>
            <w:tcW w:w="342" w:type="pct"/>
          </w:tcPr>
          <w:p w14:paraId="2DA02EC6">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Moderate</w:t>
            </w:r>
          </w:p>
        </w:tc>
        <w:tc>
          <w:tcPr>
            <w:tcW w:w="1705" w:type="pct"/>
          </w:tcPr>
          <w:p w14:paraId="752F3180">
            <w:pPr>
              <w:tabs>
                <w:tab w:val="left" w:pos="709"/>
              </w:tabs>
              <w:spacing w:before="100" w:beforeAutospacing="1" w:after="100" w:afterAutospacing="1" w:line="240" w:lineRule="auto"/>
              <w:jc w:val="both"/>
            </w:pPr>
            <w:r>
              <w:t xml:space="preserve">Site housekeeping to minimize solid and liquid wastes generated from construction and other related activities such as food vending and petty businesses. </w:t>
            </w:r>
          </w:p>
          <w:p w14:paraId="2E8AF7F5">
            <w:pPr>
              <w:tabs>
                <w:tab w:val="left" w:pos="709"/>
              </w:tabs>
              <w:spacing w:before="100" w:beforeAutospacing="1" w:after="100" w:afterAutospacing="1" w:line="240" w:lineRule="auto"/>
              <w:jc w:val="both"/>
            </w:pPr>
            <w:r>
              <w:t xml:space="preserve">Allocate a special area for petty business such as food stalls provided with garbage bins. </w:t>
            </w:r>
          </w:p>
          <w:p w14:paraId="2457409B">
            <w:pPr>
              <w:tabs>
                <w:tab w:val="left" w:pos="709"/>
              </w:tabs>
              <w:spacing w:before="100" w:beforeAutospacing="1" w:after="100" w:afterAutospacing="1" w:line="240" w:lineRule="auto"/>
              <w:jc w:val="both"/>
            </w:pPr>
            <w:r>
              <w:t xml:space="preserve">Post appropriate signage such as “DO NOT LITTER” or “USITUPE TAKA” at all strategic sites. </w:t>
            </w:r>
          </w:p>
          <w:p w14:paraId="4256428A">
            <w:pPr>
              <w:tabs>
                <w:tab w:val="left" w:pos="709"/>
              </w:tabs>
              <w:spacing w:before="100" w:beforeAutospacing="1" w:after="100" w:afterAutospacing="1" w:line="240" w:lineRule="auto"/>
              <w:jc w:val="both"/>
            </w:pPr>
            <w:r>
              <w:t xml:space="preserve">Assign Contractor’s Environmental or Safety Officer the responsibility to ensure that the surroundings are kept clean. </w:t>
            </w:r>
          </w:p>
          <w:p w14:paraId="024385DF">
            <w:pPr>
              <w:tabs>
                <w:tab w:val="left" w:pos="709"/>
              </w:tabs>
              <w:spacing w:before="100" w:beforeAutospacing="1" w:after="100" w:afterAutospacing="1" w:line="240" w:lineRule="auto"/>
              <w:jc w:val="both"/>
            </w:pPr>
            <w:r>
              <w:t xml:space="preserve">All excavated spoil should be well managed through levelling or tipped into low-lying areas or borrow areas, which are no longer useful. </w:t>
            </w:r>
          </w:p>
          <w:p w14:paraId="73737867">
            <w:pPr>
              <w:tabs>
                <w:tab w:val="left" w:pos="709"/>
              </w:tabs>
              <w:spacing w:before="100" w:beforeAutospacing="1" w:after="100" w:afterAutospacing="1" w:line="240" w:lineRule="auto"/>
              <w:jc w:val="both"/>
            </w:pPr>
            <w:r>
              <w:t xml:space="preserve">Trash and waste shall be well collected and removed from the site to district waste collection point. </w:t>
            </w:r>
          </w:p>
          <w:p w14:paraId="2FDEF0B2">
            <w:pPr>
              <w:tabs>
                <w:tab w:val="left" w:pos="709"/>
              </w:tabs>
              <w:spacing w:before="100" w:beforeAutospacing="1" w:after="100" w:afterAutospacing="1" w:line="240" w:lineRule="auto"/>
              <w:jc w:val="both"/>
            </w:pPr>
            <w:r>
              <w:t xml:space="preserve">Consult the district council about the suitable trash/waste dumping site and their procedures. </w:t>
            </w:r>
          </w:p>
          <w:p w14:paraId="16C4AF03">
            <w:pPr>
              <w:tabs>
                <w:tab w:val="left" w:pos="709"/>
              </w:tabs>
              <w:spacing w:before="100" w:beforeAutospacing="1" w:after="100" w:afterAutospacing="1" w:line="240" w:lineRule="auto"/>
              <w:jc w:val="both"/>
            </w:pPr>
            <w:r>
              <w:t xml:space="preserve">The community should instruct people to stay away from scavenging at the dumping sites. </w:t>
            </w:r>
          </w:p>
          <w:p w14:paraId="127AD179">
            <w:pPr>
              <w:tabs>
                <w:tab w:val="left" w:pos="709"/>
              </w:tabs>
              <w:spacing w:before="100" w:beforeAutospacing="1" w:after="100" w:afterAutospacing="1" w:line="240" w:lineRule="auto"/>
              <w:jc w:val="both"/>
            </w:pPr>
            <w:r>
              <w:t xml:space="preserve">Solid wastes generated from land clearing shall be collected and disposed of in district sanitary landfill at authorized site. </w:t>
            </w:r>
          </w:p>
          <w:p w14:paraId="0CC2B819">
            <w:pPr>
              <w:tabs>
                <w:tab w:val="left" w:pos="709"/>
              </w:tabs>
              <w:spacing w:before="100" w:beforeAutospacing="1" w:after="100" w:afterAutospacing="1" w:line="240" w:lineRule="auto"/>
              <w:jc w:val="both"/>
              <w:rPr>
                <w:b/>
              </w:rPr>
            </w:pPr>
            <w:r>
              <w:t>Decomposable materials shall be collected and combined with district wastes to the authorized dumpsites; plastics and other recyclable materials will be collected and sent out for recycling.</w:t>
            </w:r>
          </w:p>
        </w:tc>
        <w:tc>
          <w:tcPr>
            <w:tcW w:w="940" w:type="pct"/>
          </w:tcPr>
          <w:p w14:paraId="251D3FD8">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Clean, Organized, Neat Site</w:t>
            </w:r>
          </w:p>
          <w:p w14:paraId="6E27141D">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Presence of waste collection receptacle</w:t>
            </w:r>
          </w:p>
          <w:p w14:paraId="6C3B83C9">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Contract with NEMA Registered Waste</w:t>
            </w:r>
          </w:p>
          <w:p w14:paraId="423B9B8C">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Disposal Firm</w:t>
            </w:r>
          </w:p>
        </w:tc>
        <w:tc>
          <w:tcPr>
            <w:tcW w:w="673" w:type="pct"/>
          </w:tcPr>
          <w:p w14:paraId="03CB287F">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 xml:space="preserve">Environmental Management </w:t>
            </w:r>
          </w:p>
          <w:p w14:paraId="7CD6346A">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Contractor</w:t>
            </w:r>
          </w:p>
        </w:tc>
        <w:tc>
          <w:tcPr>
            <w:tcW w:w="401" w:type="pct"/>
          </w:tcPr>
          <w:p w14:paraId="40A5D313">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Throughout Project</w:t>
            </w:r>
          </w:p>
        </w:tc>
        <w:tc>
          <w:tcPr>
            <w:tcW w:w="412" w:type="pct"/>
          </w:tcPr>
          <w:p w14:paraId="349F5074">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500,000.00</w:t>
            </w:r>
          </w:p>
        </w:tc>
      </w:tr>
      <w:tr w14:paraId="6B3EEC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trPr>
        <w:tc>
          <w:tcPr>
            <w:tcW w:w="527" w:type="pct"/>
          </w:tcPr>
          <w:p w14:paraId="0CD9FE9D">
            <w:pPr>
              <w:tabs>
                <w:tab w:val="left" w:pos="709"/>
              </w:tabs>
              <w:spacing w:before="100" w:beforeAutospacing="1" w:after="100" w:afterAutospacing="1" w:line="240" w:lineRule="auto"/>
              <w:jc w:val="both"/>
            </w:pPr>
            <w:r>
              <w:t>Leakage of fuel and lubricants</w:t>
            </w:r>
          </w:p>
        </w:tc>
        <w:tc>
          <w:tcPr>
            <w:tcW w:w="342" w:type="pct"/>
          </w:tcPr>
          <w:p w14:paraId="2209932C">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eastAsia="en-GB"/>
              </w:rPr>
              <w:t>Low medium</w:t>
            </w:r>
          </w:p>
        </w:tc>
        <w:tc>
          <w:tcPr>
            <w:tcW w:w="1705" w:type="pct"/>
          </w:tcPr>
          <w:p w14:paraId="645FB30F">
            <w:pPr>
              <w:tabs>
                <w:tab w:val="left" w:pos="709"/>
              </w:tabs>
              <w:spacing w:before="100" w:beforeAutospacing="1" w:after="100" w:afterAutospacing="1" w:line="240" w:lineRule="auto"/>
              <w:jc w:val="both"/>
            </w:pPr>
            <w:r>
              <w:t xml:space="preserve">Dripping pans to be used to contain all hydrocarbon leakages on construction equipment. </w:t>
            </w:r>
          </w:p>
          <w:p w14:paraId="46652981">
            <w:pPr>
              <w:tabs>
                <w:tab w:val="left" w:pos="709"/>
              </w:tabs>
              <w:spacing w:before="100" w:beforeAutospacing="1" w:after="100" w:afterAutospacing="1" w:line="240" w:lineRule="auto"/>
              <w:jc w:val="both"/>
            </w:pPr>
            <w:r>
              <w:t xml:space="preserve">Re-fueling on designated areas. </w:t>
            </w:r>
          </w:p>
          <w:p w14:paraId="31F618A6">
            <w:pPr>
              <w:tabs>
                <w:tab w:val="left" w:pos="709"/>
              </w:tabs>
              <w:spacing w:before="100" w:beforeAutospacing="1" w:after="100" w:afterAutospacing="1" w:line="240" w:lineRule="auto"/>
              <w:jc w:val="both"/>
            </w:pPr>
            <w:r>
              <w:t>In case of hydrocarbon spills, the contaminated soils will be collected and treated to remove the hydrocarbon and prevent the hydrocarbons from being washed away in storm water to the nearby water bodies</w:t>
            </w:r>
          </w:p>
        </w:tc>
        <w:tc>
          <w:tcPr>
            <w:tcW w:w="940" w:type="pct"/>
          </w:tcPr>
          <w:p w14:paraId="491C6987">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eastAsia="en-GB"/>
              </w:rPr>
              <w:t>Incidences of leakages and spills</w:t>
            </w:r>
          </w:p>
        </w:tc>
        <w:tc>
          <w:tcPr>
            <w:tcW w:w="673" w:type="pct"/>
          </w:tcPr>
          <w:p w14:paraId="620935FC">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WAJWASCO</w:t>
            </w:r>
          </w:p>
          <w:p w14:paraId="1668EB80">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Contactor</w:t>
            </w:r>
          </w:p>
          <w:p w14:paraId="521F5701">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val="en-GB" w:eastAsia="en-GB"/>
              </w:rPr>
              <w:t>Consultant</w:t>
            </w:r>
          </w:p>
        </w:tc>
        <w:tc>
          <w:tcPr>
            <w:tcW w:w="401" w:type="pct"/>
          </w:tcPr>
          <w:p w14:paraId="1759A279">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eastAsia="en-GB"/>
              </w:rPr>
              <w:t>Monthly</w:t>
            </w:r>
          </w:p>
        </w:tc>
        <w:tc>
          <w:tcPr>
            <w:tcW w:w="412" w:type="pct"/>
          </w:tcPr>
          <w:p w14:paraId="64BABF04">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eastAsia="en-GB"/>
              </w:rPr>
              <w:t>150,000</w:t>
            </w:r>
          </w:p>
        </w:tc>
      </w:tr>
      <w:tr w14:paraId="69650D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9" w:hRule="atLeast"/>
        </w:trPr>
        <w:tc>
          <w:tcPr>
            <w:tcW w:w="5000" w:type="pct"/>
            <w:gridSpan w:val="7"/>
            <w:shd w:val="clear" w:color="auto" w:fill="5B9BD5" w:themeFill="accent1"/>
          </w:tcPr>
          <w:p w14:paraId="215F8B05">
            <w:pPr>
              <w:tabs>
                <w:tab w:val="left" w:pos="709"/>
              </w:tabs>
              <w:spacing w:before="100" w:beforeAutospacing="1" w:after="100" w:afterAutospacing="1" w:line="240" w:lineRule="auto"/>
              <w:jc w:val="both"/>
              <w:rPr>
                <w:rFonts w:eastAsia="Times New Roman" w:cs="Times New Roman"/>
                <w:bCs/>
                <w:lang w:val="en-GB" w:eastAsia="en-GB"/>
              </w:rPr>
            </w:pPr>
            <w:r>
              <w:rPr>
                <w:b/>
                <w:lang w:val="en-GB" w:eastAsia="en-GB"/>
              </w:rPr>
              <w:t>Social Risks</w:t>
            </w:r>
          </w:p>
        </w:tc>
      </w:tr>
      <w:tr w14:paraId="6C67EC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9" w:hRule="atLeast"/>
        </w:trPr>
        <w:tc>
          <w:tcPr>
            <w:tcW w:w="527" w:type="pct"/>
          </w:tcPr>
          <w:p w14:paraId="64D4A932">
            <w:pPr>
              <w:tabs>
                <w:tab w:val="left" w:pos="709"/>
              </w:tabs>
              <w:spacing w:before="100" w:beforeAutospacing="1" w:after="100" w:afterAutospacing="1" w:line="240" w:lineRule="auto"/>
              <w:jc w:val="both"/>
            </w:pPr>
            <w:r>
              <w:t>Sexual Exploitation and Abuse</w:t>
            </w:r>
          </w:p>
        </w:tc>
        <w:tc>
          <w:tcPr>
            <w:tcW w:w="342" w:type="pct"/>
            <w:tcBorders>
              <w:top w:val="single" w:color="auto" w:sz="4" w:space="0"/>
              <w:left w:val="single" w:color="auto" w:sz="4" w:space="0"/>
              <w:bottom w:val="single" w:color="auto" w:sz="4" w:space="0"/>
              <w:right w:val="single" w:color="auto" w:sz="4" w:space="0"/>
            </w:tcBorders>
          </w:tcPr>
          <w:p w14:paraId="4D6BCA6A">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bCs/>
                <w:lang w:eastAsia="en-GB"/>
              </w:rPr>
              <w:t>Low Medium</w:t>
            </w:r>
          </w:p>
        </w:tc>
        <w:tc>
          <w:tcPr>
            <w:tcW w:w="1705" w:type="pct"/>
            <w:tcBorders>
              <w:top w:val="single" w:color="auto" w:sz="4" w:space="0"/>
              <w:left w:val="single" w:color="auto" w:sz="4" w:space="0"/>
              <w:bottom w:val="single" w:color="auto" w:sz="4" w:space="0"/>
              <w:right w:val="single" w:color="auto" w:sz="4" w:space="0"/>
            </w:tcBorders>
            <w:vAlign w:val="center"/>
          </w:tcPr>
          <w:p w14:paraId="41E02D83">
            <w:pPr>
              <w:numPr>
                <w:ilvl w:val="0"/>
                <w:numId w:val="35"/>
              </w:numPr>
              <w:tabs>
                <w:tab w:val="left" w:pos="709"/>
              </w:tabs>
              <w:spacing w:before="100" w:beforeAutospacing="1" w:after="100" w:afterAutospacing="1" w:line="240" w:lineRule="auto"/>
              <w:jc w:val="both"/>
              <w:rPr>
                <w:kern w:val="2"/>
                <w:lang w:bidi="en-US"/>
                <w14:ligatures w14:val="standardContextual"/>
              </w:rPr>
            </w:pPr>
            <w:r>
              <w:rPr>
                <w:kern w:val="2"/>
                <w:lang w:bidi="en-US"/>
                <w14:ligatures w14:val="standardContextual"/>
              </w:rPr>
              <w:t>Establish strict codes of conduct for all project staff and contractors, with clear penalties for SEA violations.</w:t>
            </w:r>
          </w:p>
          <w:p w14:paraId="503EE297">
            <w:pPr>
              <w:numPr>
                <w:ilvl w:val="0"/>
                <w:numId w:val="35"/>
              </w:numPr>
              <w:tabs>
                <w:tab w:val="left" w:pos="709"/>
              </w:tabs>
              <w:spacing w:before="100" w:beforeAutospacing="1" w:after="100" w:afterAutospacing="1" w:line="240" w:lineRule="auto"/>
              <w:jc w:val="both"/>
              <w:rPr>
                <w:kern w:val="2"/>
                <w:lang w:bidi="en-US"/>
                <w14:ligatures w14:val="standardContextual"/>
              </w:rPr>
            </w:pPr>
            <w:r>
              <w:rPr>
                <w:kern w:val="2"/>
                <w:lang w:bidi="en-US"/>
                <w14:ligatures w14:val="standardContextual"/>
              </w:rPr>
              <w:t>Conduct community awareness campaigns to educate local populations about their rights and reporting mechanisms.</w:t>
            </w:r>
          </w:p>
          <w:p w14:paraId="17879931">
            <w:pPr>
              <w:numPr>
                <w:ilvl w:val="0"/>
                <w:numId w:val="35"/>
              </w:numPr>
              <w:tabs>
                <w:tab w:val="left" w:pos="709"/>
              </w:tabs>
              <w:spacing w:before="100" w:beforeAutospacing="1" w:after="100" w:afterAutospacing="1" w:line="240" w:lineRule="auto"/>
              <w:jc w:val="both"/>
              <w:rPr>
                <w:kern w:val="2"/>
                <w:lang w:bidi="en-US"/>
                <w14:ligatures w14:val="standardContextual"/>
              </w:rPr>
            </w:pPr>
            <w:r>
              <w:rPr>
                <w:kern w:val="2"/>
                <w:lang w:bidi="en-US"/>
                <w14:ligatures w14:val="standardContextual"/>
              </w:rPr>
              <w:t>Set up confidential and accessible reporting systems where victims can safely report SEA incidents without fear of retaliation.</w:t>
            </w:r>
          </w:p>
          <w:p w14:paraId="480CBA94">
            <w:pPr>
              <w:numPr>
                <w:ilvl w:val="0"/>
                <w:numId w:val="35"/>
              </w:numPr>
              <w:tabs>
                <w:tab w:val="left" w:pos="709"/>
              </w:tabs>
              <w:spacing w:before="100" w:beforeAutospacing="1" w:after="100" w:afterAutospacing="1" w:line="240" w:lineRule="auto"/>
              <w:jc w:val="both"/>
              <w:rPr>
                <w:kern w:val="2"/>
                <w:lang w:bidi="en-US"/>
                <w14:ligatures w14:val="standardContextual"/>
              </w:rPr>
            </w:pPr>
            <w:r>
              <w:rPr>
                <w:kern w:val="2"/>
                <w:lang w:bidi="en-US"/>
                <w14:ligatures w14:val="standardContextual"/>
              </w:rPr>
              <w:t>Provide mandatory training for all project staff on SEA prevention, gender sensitivity, and appropriate workplace behavior.</w:t>
            </w:r>
          </w:p>
          <w:p w14:paraId="2B5E8813">
            <w:pPr>
              <w:numPr>
                <w:ilvl w:val="0"/>
                <w:numId w:val="35"/>
              </w:numPr>
              <w:tabs>
                <w:tab w:val="left" w:pos="709"/>
              </w:tabs>
              <w:spacing w:before="100" w:beforeAutospacing="1" w:after="100" w:afterAutospacing="1" w:line="240" w:lineRule="auto"/>
              <w:jc w:val="both"/>
              <w:rPr>
                <w:kern w:val="2"/>
                <w:lang w:bidi="en-US"/>
                <w14:ligatures w14:val="standardContextual"/>
              </w:rPr>
            </w:pPr>
            <w:r>
              <w:rPr>
                <w:kern w:val="2"/>
                <w:lang w:bidi="en-US"/>
                <w14:ligatures w14:val="standardContextual"/>
              </w:rPr>
              <w:t>Regularly monitor project sites and enforce policies through independent oversight and periodic audits.</w:t>
            </w:r>
          </w:p>
          <w:p w14:paraId="096B9A91">
            <w:pPr>
              <w:numPr>
                <w:ilvl w:val="0"/>
                <w:numId w:val="35"/>
              </w:numPr>
              <w:tabs>
                <w:tab w:val="left" w:pos="709"/>
              </w:tabs>
              <w:spacing w:before="100" w:beforeAutospacing="1" w:after="100" w:afterAutospacing="1" w:line="240" w:lineRule="auto"/>
              <w:jc w:val="both"/>
              <w:rPr>
                <w:kern w:val="2"/>
                <w:lang w:bidi="en-US"/>
                <w14:ligatures w14:val="standardContextual"/>
              </w:rPr>
            </w:pPr>
            <w:r>
              <w:rPr>
                <w:kern w:val="2"/>
                <w:lang w:bidi="en-US"/>
                <w14:ligatures w14:val="standardContextual"/>
              </w:rPr>
              <w:t>Ensure that victims of SEA have access to medical, legal, and psychological support.</w:t>
            </w:r>
          </w:p>
        </w:tc>
        <w:tc>
          <w:tcPr>
            <w:tcW w:w="940" w:type="pct"/>
          </w:tcPr>
          <w:p w14:paraId="394BF3D3">
            <w:pPr>
              <w:tabs>
                <w:tab w:val="left" w:pos="709"/>
              </w:tabs>
              <w:spacing w:before="100" w:beforeAutospacing="1" w:after="100" w:afterAutospacing="1" w:line="240" w:lineRule="auto"/>
              <w:jc w:val="both"/>
            </w:pPr>
            <w:r>
              <w:t>Number of SEA-related reports filed.</w:t>
            </w:r>
          </w:p>
          <w:p w14:paraId="5253CC76">
            <w:pPr>
              <w:tabs>
                <w:tab w:val="left" w:pos="709"/>
              </w:tabs>
              <w:spacing w:before="100" w:beforeAutospacing="1" w:after="100" w:afterAutospacing="1" w:line="240" w:lineRule="auto"/>
              <w:jc w:val="both"/>
            </w:pPr>
            <w:r>
              <w:t>Reported incidence rate of SEA cases.</w:t>
            </w:r>
          </w:p>
          <w:p w14:paraId="22FD3995">
            <w:pPr>
              <w:tabs>
                <w:tab w:val="left" w:pos="709"/>
              </w:tabs>
              <w:spacing w:before="100" w:beforeAutospacing="1" w:after="100" w:afterAutospacing="1" w:line="240" w:lineRule="auto"/>
              <w:jc w:val="both"/>
            </w:pPr>
            <w:r>
              <w:t>Regular audits of SEA policy compliance.</w:t>
            </w:r>
          </w:p>
          <w:p w14:paraId="36987C26">
            <w:pPr>
              <w:tabs>
                <w:tab w:val="left" w:pos="709"/>
              </w:tabs>
              <w:spacing w:before="100" w:beforeAutospacing="1" w:after="100" w:afterAutospacing="1" w:line="240" w:lineRule="auto"/>
              <w:jc w:val="both"/>
            </w:pPr>
            <w:r>
              <w:t>Participation of local stakeholders in monitoring.</w:t>
            </w:r>
          </w:p>
          <w:p w14:paraId="188FE6BA">
            <w:pPr>
              <w:tabs>
                <w:tab w:val="left" w:pos="709"/>
              </w:tabs>
              <w:spacing w:before="100" w:beforeAutospacing="1" w:after="100" w:afterAutospacing="1" w:line="240" w:lineRule="auto"/>
              <w:jc w:val="both"/>
              <w:rPr>
                <w:rFonts w:eastAsia="Times New Roman" w:cs="Times New Roman"/>
                <w:bCs/>
                <w:lang w:val="en-GB" w:eastAsia="en-GB"/>
              </w:rPr>
            </w:pPr>
            <w:r>
              <w:t>Number of partnerships with NGOs addressing SEA.</w:t>
            </w:r>
          </w:p>
        </w:tc>
        <w:tc>
          <w:tcPr>
            <w:tcW w:w="673" w:type="pct"/>
            <w:vAlign w:val="center"/>
          </w:tcPr>
          <w:p w14:paraId="63933580">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Sociologists</w:t>
            </w:r>
          </w:p>
          <w:p w14:paraId="217857BA">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Environmental and Safety Management Manager</w:t>
            </w:r>
          </w:p>
          <w:p w14:paraId="0B23C831">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Contractor</w:t>
            </w:r>
          </w:p>
        </w:tc>
        <w:tc>
          <w:tcPr>
            <w:tcW w:w="401" w:type="pct"/>
            <w:vAlign w:val="center"/>
          </w:tcPr>
          <w:p w14:paraId="76C3C93A">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Throughout Project</w:t>
            </w:r>
          </w:p>
        </w:tc>
        <w:tc>
          <w:tcPr>
            <w:tcW w:w="412" w:type="pct"/>
          </w:tcPr>
          <w:p w14:paraId="500BB692">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300,000.00</w:t>
            </w:r>
          </w:p>
        </w:tc>
      </w:tr>
      <w:tr w14:paraId="4799A5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8" w:hRule="atLeast"/>
        </w:trPr>
        <w:tc>
          <w:tcPr>
            <w:tcW w:w="527" w:type="pct"/>
          </w:tcPr>
          <w:p w14:paraId="69EEDF44">
            <w:pPr>
              <w:tabs>
                <w:tab w:val="left" w:pos="709"/>
              </w:tabs>
              <w:spacing w:before="100" w:beforeAutospacing="1" w:after="100" w:afterAutospacing="1" w:line="240" w:lineRule="auto"/>
              <w:jc w:val="both"/>
            </w:pPr>
            <w:r>
              <w:t>Occupational Safety and Health issues</w:t>
            </w:r>
          </w:p>
        </w:tc>
        <w:tc>
          <w:tcPr>
            <w:tcW w:w="342" w:type="pct"/>
          </w:tcPr>
          <w:p w14:paraId="0BF825D3">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 xml:space="preserve">Moderate </w:t>
            </w:r>
          </w:p>
        </w:tc>
        <w:tc>
          <w:tcPr>
            <w:tcW w:w="1705" w:type="pct"/>
          </w:tcPr>
          <w:p w14:paraId="49CFB544">
            <w:pPr>
              <w:tabs>
                <w:tab w:val="left" w:pos="709"/>
              </w:tabs>
              <w:spacing w:before="100" w:beforeAutospacing="1" w:after="100" w:afterAutospacing="1" w:line="240" w:lineRule="auto"/>
              <w:jc w:val="both"/>
              <w:rPr>
                <w:b/>
              </w:rPr>
            </w:pPr>
            <w:r>
              <w:t>Enforce strict safety protocols and provide regular training for all construction personnel.</w:t>
            </w:r>
          </w:p>
          <w:p w14:paraId="4069D296">
            <w:pPr>
              <w:tabs>
                <w:tab w:val="left" w:pos="709"/>
              </w:tabs>
              <w:spacing w:before="100" w:beforeAutospacing="1" w:after="100" w:afterAutospacing="1" w:line="240" w:lineRule="auto"/>
              <w:jc w:val="both"/>
              <w:rPr>
                <w:b/>
              </w:rPr>
            </w:pPr>
            <w:r>
              <w:t>Conduct routine safety inspections and audits to identify and address potential hazards.</w:t>
            </w:r>
          </w:p>
          <w:p w14:paraId="36C09903">
            <w:pPr>
              <w:tabs>
                <w:tab w:val="left" w:pos="709"/>
              </w:tabs>
              <w:spacing w:before="100" w:beforeAutospacing="1" w:after="100" w:afterAutospacing="1" w:line="240" w:lineRule="auto"/>
              <w:jc w:val="both"/>
              <w:rPr>
                <w:b/>
              </w:rPr>
            </w:pPr>
            <w:r>
              <w:t>Establish an emergency response plan to handle accidents promptly and efficiently.</w:t>
            </w:r>
          </w:p>
          <w:p w14:paraId="15BADDBC">
            <w:pPr>
              <w:tabs>
                <w:tab w:val="left" w:pos="709"/>
              </w:tabs>
              <w:spacing w:before="100" w:beforeAutospacing="1" w:after="100" w:afterAutospacing="1" w:line="240" w:lineRule="auto"/>
              <w:jc w:val="both"/>
              <w:rPr>
                <w:b/>
              </w:rPr>
            </w:pPr>
            <w:r>
              <w:t>Provide all workers with appropriate full protective gear. These include working boots, overalls, helmets, earmuffs, masks, and gloves.</w:t>
            </w:r>
          </w:p>
          <w:p w14:paraId="3CD94060">
            <w:pPr>
              <w:tabs>
                <w:tab w:val="left" w:pos="709"/>
              </w:tabs>
              <w:spacing w:before="100" w:beforeAutospacing="1" w:after="100" w:afterAutospacing="1" w:line="240" w:lineRule="auto"/>
              <w:jc w:val="both"/>
              <w:rPr>
                <w:b/>
              </w:rPr>
            </w:pPr>
            <w:r>
              <w:t>Make available a fully equipped First aid kit that is manageable by a trained qualified first aider.</w:t>
            </w:r>
          </w:p>
          <w:p w14:paraId="75877CDC">
            <w:pPr>
              <w:tabs>
                <w:tab w:val="left" w:pos="709"/>
              </w:tabs>
              <w:spacing w:before="100" w:beforeAutospacing="1" w:after="100" w:afterAutospacing="1" w:line="240" w:lineRule="auto"/>
              <w:jc w:val="both"/>
              <w:rPr>
                <w:b/>
              </w:rPr>
            </w:pPr>
            <w:r>
              <w:t>Use of signage’s at work construction site for communication to non-workers and other road users</w:t>
            </w:r>
          </w:p>
          <w:p w14:paraId="69CE09E4">
            <w:pPr>
              <w:tabs>
                <w:tab w:val="left" w:pos="709"/>
              </w:tabs>
              <w:spacing w:before="100" w:beforeAutospacing="1" w:after="100" w:afterAutospacing="1" w:line="240" w:lineRule="auto"/>
              <w:jc w:val="both"/>
              <w:rPr>
                <w:b/>
              </w:rPr>
            </w:pPr>
            <w:r>
              <w:t xml:space="preserve">Conduct regular training </w:t>
            </w:r>
          </w:p>
          <w:p w14:paraId="205E6757">
            <w:pPr>
              <w:tabs>
                <w:tab w:val="left" w:pos="709"/>
              </w:tabs>
              <w:spacing w:before="100" w:beforeAutospacing="1" w:after="100" w:afterAutospacing="1" w:line="240" w:lineRule="auto"/>
              <w:jc w:val="both"/>
              <w:rPr>
                <w:b/>
              </w:rPr>
            </w:pPr>
            <w:r>
              <w:t>Document all near misses, incidents and accidents.</w:t>
            </w:r>
          </w:p>
          <w:p w14:paraId="60AF4394">
            <w:pPr>
              <w:tabs>
                <w:tab w:val="left" w:pos="709"/>
              </w:tabs>
              <w:spacing w:before="100" w:beforeAutospacing="1" w:after="100" w:afterAutospacing="1" w:line="240" w:lineRule="auto"/>
              <w:jc w:val="both"/>
              <w:rPr>
                <w:b/>
              </w:rPr>
            </w:pPr>
            <w:r>
              <w:t>Conduct risk assessments for all general, standard and high risk jobs</w:t>
            </w:r>
          </w:p>
          <w:p w14:paraId="3EC06FD7">
            <w:pPr>
              <w:tabs>
                <w:tab w:val="left" w:pos="709"/>
              </w:tabs>
              <w:spacing w:before="100" w:beforeAutospacing="1" w:after="100" w:afterAutospacing="1" w:line="240" w:lineRule="auto"/>
              <w:jc w:val="both"/>
              <w:rPr>
                <w:b/>
              </w:rPr>
            </w:pPr>
            <w:r>
              <w:t>Engage only qualified personnel on operating or conducting high risk jobs</w:t>
            </w:r>
          </w:p>
          <w:p w14:paraId="778F543B">
            <w:pPr>
              <w:tabs>
                <w:tab w:val="left" w:pos="709"/>
              </w:tabs>
              <w:spacing w:before="100" w:beforeAutospacing="1" w:after="100" w:afterAutospacing="1" w:line="240" w:lineRule="auto"/>
              <w:jc w:val="both"/>
              <w:rPr>
                <w:b/>
              </w:rPr>
            </w:pPr>
            <w:r>
              <w:t>Issue work permits after risk assessment is successfully and all workers verified to be fit for work</w:t>
            </w:r>
          </w:p>
          <w:p w14:paraId="509F666D">
            <w:pPr>
              <w:tabs>
                <w:tab w:val="left" w:pos="709"/>
              </w:tabs>
              <w:spacing w:before="100" w:beforeAutospacing="1" w:after="100" w:afterAutospacing="1" w:line="240" w:lineRule="auto"/>
              <w:jc w:val="both"/>
              <w:rPr>
                <w:b/>
              </w:rPr>
            </w:pPr>
            <w:r>
              <w:t>Conduct physical fitness test regularly for all worker</w:t>
            </w:r>
          </w:p>
          <w:p w14:paraId="0E293B58">
            <w:pPr>
              <w:tabs>
                <w:tab w:val="left" w:pos="709"/>
              </w:tabs>
              <w:spacing w:before="100" w:beforeAutospacing="1" w:after="100" w:afterAutospacing="1" w:line="240" w:lineRule="auto"/>
              <w:jc w:val="both"/>
              <w:rPr>
                <w:b/>
              </w:rPr>
            </w:pPr>
            <w:r>
              <w:t>Report all work related injuries and health concerns for action to be taken.</w:t>
            </w:r>
          </w:p>
        </w:tc>
        <w:tc>
          <w:tcPr>
            <w:tcW w:w="940" w:type="pct"/>
          </w:tcPr>
          <w:p w14:paraId="5ED646FB">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Accidents occurrence incidences recorded in the Incidence Book</w:t>
            </w:r>
          </w:p>
          <w:p w14:paraId="5D6DE4DF">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Workers have Safety</w:t>
            </w:r>
          </w:p>
          <w:p w14:paraId="5BF2291C">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Gear(PPEs)</w:t>
            </w:r>
          </w:p>
          <w:p w14:paraId="741FF8CD">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Emergency contacts</w:t>
            </w:r>
          </w:p>
          <w:p w14:paraId="0998C451">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for Hospital and Police available</w:t>
            </w:r>
          </w:p>
        </w:tc>
        <w:tc>
          <w:tcPr>
            <w:tcW w:w="673" w:type="pct"/>
          </w:tcPr>
          <w:p w14:paraId="44B00402">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Environmental and Safety Management Manager</w:t>
            </w:r>
          </w:p>
          <w:p w14:paraId="4024994E">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Contractor</w:t>
            </w:r>
          </w:p>
        </w:tc>
        <w:tc>
          <w:tcPr>
            <w:tcW w:w="401" w:type="pct"/>
          </w:tcPr>
          <w:p w14:paraId="571A1775">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Weekly</w:t>
            </w:r>
          </w:p>
        </w:tc>
        <w:tc>
          <w:tcPr>
            <w:tcW w:w="412" w:type="pct"/>
          </w:tcPr>
          <w:p w14:paraId="1F02C058">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300,000.00</w:t>
            </w:r>
          </w:p>
        </w:tc>
      </w:tr>
      <w:tr w14:paraId="217727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0" w:hRule="atLeast"/>
        </w:trPr>
        <w:tc>
          <w:tcPr>
            <w:tcW w:w="527" w:type="pct"/>
          </w:tcPr>
          <w:p w14:paraId="6C6DBA97">
            <w:pPr>
              <w:tabs>
                <w:tab w:val="left" w:pos="709"/>
              </w:tabs>
              <w:spacing w:before="100" w:beforeAutospacing="1" w:after="100" w:afterAutospacing="1" w:line="240" w:lineRule="auto"/>
              <w:jc w:val="both"/>
            </w:pPr>
            <w:r>
              <w:t>Child Exploitation and Abuse</w:t>
            </w:r>
          </w:p>
        </w:tc>
        <w:tc>
          <w:tcPr>
            <w:tcW w:w="342" w:type="pct"/>
          </w:tcPr>
          <w:p w14:paraId="489C366E">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Medium</w:t>
            </w:r>
          </w:p>
        </w:tc>
        <w:tc>
          <w:tcPr>
            <w:tcW w:w="1705" w:type="pct"/>
          </w:tcPr>
          <w:p w14:paraId="2BE0F24E">
            <w:pPr>
              <w:tabs>
                <w:tab w:val="left" w:pos="709"/>
              </w:tabs>
              <w:spacing w:before="100" w:beforeAutospacing="1" w:after="100" w:afterAutospacing="1" w:line="240" w:lineRule="auto"/>
              <w:jc w:val="both"/>
            </w:pPr>
            <w:r>
              <w:t xml:space="preserve">Ensure each employee signs a code of conduct that covers child protection ensuring no children are employed on site in accordance with national labor laws. </w:t>
            </w:r>
          </w:p>
          <w:p w14:paraId="6FBC53BA">
            <w:pPr>
              <w:tabs>
                <w:tab w:val="left" w:pos="709"/>
              </w:tabs>
              <w:spacing w:before="100" w:beforeAutospacing="1" w:after="100" w:afterAutospacing="1" w:line="240" w:lineRule="auto"/>
              <w:jc w:val="both"/>
            </w:pPr>
            <w:r>
              <w:t xml:space="preserve">Ensure that any child sexual relations offenses among contractors' workers are promptly reported to the police. </w:t>
            </w:r>
          </w:p>
          <w:p w14:paraId="26E50C05">
            <w:pPr>
              <w:tabs>
                <w:tab w:val="left" w:pos="709"/>
              </w:tabs>
              <w:spacing w:before="100" w:beforeAutospacing="1" w:after="100" w:afterAutospacing="1" w:line="240" w:lineRule="auto"/>
              <w:jc w:val="both"/>
            </w:pPr>
            <w:r>
              <w:t xml:space="preserve">Employ workers who are 18 years and above, and with a valid national ID at the time of hire. </w:t>
            </w:r>
          </w:p>
          <w:p w14:paraId="3C0AE2A0">
            <w:pPr>
              <w:tabs>
                <w:tab w:val="left" w:pos="709"/>
              </w:tabs>
              <w:spacing w:before="100" w:beforeAutospacing="1" w:after="100" w:afterAutospacing="1" w:line="240" w:lineRule="auto"/>
              <w:jc w:val="both"/>
            </w:pPr>
            <w:r>
              <w:t xml:space="preserve">Implement and monitor the employment register regularly. </w:t>
            </w:r>
          </w:p>
          <w:p w14:paraId="08A4E08E">
            <w:pPr>
              <w:tabs>
                <w:tab w:val="left" w:pos="709"/>
              </w:tabs>
              <w:spacing w:before="100" w:beforeAutospacing="1" w:after="100" w:afterAutospacing="1" w:line="240" w:lineRule="auto"/>
              <w:jc w:val="both"/>
            </w:pPr>
            <w:r>
              <w:t xml:space="preserve">Comply with the national labor laws and labour management practices. </w:t>
            </w:r>
          </w:p>
          <w:p w14:paraId="3847658D">
            <w:pPr>
              <w:tabs>
                <w:tab w:val="left" w:pos="709"/>
              </w:tabs>
              <w:spacing w:before="100" w:beforeAutospacing="1" w:after="100" w:afterAutospacing="1" w:line="240" w:lineRule="auto"/>
              <w:jc w:val="both"/>
            </w:pPr>
            <w:r>
              <w:t xml:space="preserve">Put visible signage on site “No Jobs for children.”  </w:t>
            </w:r>
          </w:p>
        </w:tc>
        <w:tc>
          <w:tcPr>
            <w:tcW w:w="940" w:type="pct"/>
          </w:tcPr>
          <w:p w14:paraId="260FB461">
            <w:pPr>
              <w:tabs>
                <w:tab w:val="left" w:pos="709"/>
              </w:tabs>
              <w:spacing w:before="100" w:beforeAutospacing="1" w:after="100" w:afterAutospacing="1" w:line="240" w:lineRule="auto"/>
              <w:jc w:val="both"/>
              <w:rPr>
                <w:bCs/>
                <w:lang w:val="en-GB"/>
              </w:rPr>
            </w:pPr>
            <w:r>
              <w:rPr>
                <w:bCs/>
                <w:lang w:val="en-GB"/>
              </w:rPr>
              <w:t>List of workers that does not contain underage persons</w:t>
            </w:r>
          </w:p>
        </w:tc>
        <w:tc>
          <w:tcPr>
            <w:tcW w:w="673" w:type="pct"/>
          </w:tcPr>
          <w:p w14:paraId="4387C521">
            <w:pPr>
              <w:tabs>
                <w:tab w:val="left" w:pos="709"/>
              </w:tabs>
              <w:spacing w:before="100" w:beforeAutospacing="1" w:after="100" w:afterAutospacing="1" w:line="240" w:lineRule="auto"/>
              <w:jc w:val="both"/>
              <w:rPr>
                <w:bCs/>
              </w:rPr>
            </w:pPr>
            <w:r>
              <w:rPr>
                <w:bCs/>
              </w:rPr>
              <w:t>WAJWASCO</w:t>
            </w:r>
          </w:p>
          <w:p w14:paraId="4AA25F4D">
            <w:pPr>
              <w:tabs>
                <w:tab w:val="left" w:pos="709"/>
              </w:tabs>
              <w:spacing w:before="100" w:beforeAutospacing="1" w:after="100" w:afterAutospacing="1" w:line="240" w:lineRule="auto"/>
              <w:jc w:val="both"/>
              <w:rPr>
                <w:bCs/>
              </w:rPr>
            </w:pPr>
            <w:r>
              <w:rPr>
                <w:bCs/>
              </w:rPr>
              <w:t>Local Administration</w:t>
            </w:r>
          </w:p>
          <w:p w14:paraId="522EDE6B">
            <w:pPr>
              <w:tabs>
                <w:tab w:val="left" w:pos="709"/>
              </w:tabs>
              <w:spacing w:before="100" w:beforeAutospacing="1" w:after="100" w:afterAutospacing="1" w:line="240" w:lineRule="auto"/>
              <w:jc w:val="both"/>
              <w:rPr>
                <w:bCs/>
                <w:lang w:val="en-GB"/>
              </w:rPr>
            </w:pPr>
            <w:r>
              <w:rPr>
                <w:bCs/>
                <w:lang w:val="en-GB"/>
              </w:rPr>
              <w:t>Contractor</w:t>
            </w:r>
          </w:p>
        </w:tc>
        <w:tc>
          <w:tcPr>
            <w:tcW w:w="401" w:type="pct"/>
          </w:tcPr>
          <w:p w14:paraId="6B1799B7">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Daily</w:t>
            </w:r>
          </w:p>
        </w:tc>
        <w:tc>
          <w:tcPr>
            <w:tcW w:w="412" w:type="pct"/>
          </w:tcPr>
          <w:p w14:paraId="03710270">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200,000.00</w:t>
            </w:r>
          </w:p>
        </w:tc>
      </w:tr>
      <w:tr w14:paraId="68E056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trPr>
        <w:tc>
          <w:tcPr>
            <w:tcW w:w="527" w:type="pct"/>
            <w:tcBorders>
              <w:top w:val="single" w:color="auto" w:sz="4" w:space="0"/>
              <w:left w:val="single" w:color="auto" w:sz="4" w:space="0"/>
              <w:bottom w:val="single" w:color="auto" w:sz="4" w:space="0"/>
              <w:right w:val="single" w:color="auto" w:sz="4" w:space="0"/>
            </w:tcBorders>
          </w:tcPr>
          <w:p w14:paraId="7321150D">
            <w:pPr>
              <w:tabs>
                <w:tab w:val="left" w:pos="709"/>
              </w:tabs>
              <w:spacing w:before="100" w:beforeAutospacing="1" w:after="100" w:afterAutospacing="1" w:line="240" w:lineRule="auto"/>
              <w:jc w:val="both"/>
            </w:pPr>
            <w:r>
              <w:rPr>
                <w:kern w:val="2"/>
                <w14:ligatures w14:val="standardContextual"/>
              </w:rPr>
              <w:t>Increased Crime and Insecurity</w:t>
            </w:r>
          </w:p>
        </w:tc>
        <w:tc>
          <w:tcPr>
            <w:tcW w:w="342" w:type="pct"/>
            <w:tcBorders>
              <w:top w:val="single" w:color="auto" w:sz="4" w:space="0"/>
              <w:left w:val="single" w:color="auto" w:sz="4" w:space="0"/>
              <w:bottom w:val="single" w:color="auto" w:sz="4" w:space="0"/>
              <w:right w:val="single" w:color="auto" w:sz="4" w:space="0"/>
            </w:tcBorders>
          </w:tcPr>
          <w:p w14:paraId="573187EF">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bCs/>
                <w:lang w:eastAsia="en-GB"/>
              </w:rPr>
              <w:t xml:space="preserve">Very High </w:t>
            </w:r>
          </w:p>
        </w:tc>
        <w:tc>
          <w:tcPr>
            <w:tcW w:w="1705" w:type="pct"/>
            <w:tcBorders>
              <w:top w:val="single" w:color="auto" w:sz="4" w:space="0"/>
              <w:left w:val="single" w:color="auto" w:sz="4" w:space="0"/>
              <w:bottom w:val="single" w:color="auto" w:sz="4" w:space="0"/>
              <w:right w:val="single" w:color="auto" w:sz="4" w:space="0"/>
            </w:tcBorders>
          </w:tcPr>
          <w:p w14:paraId="2238D18A">
            <w:pPr>
              <w:tabs>
                <w:tab w:val="left" w:pos="709"/>
              </w:tabs>
              <w:spacing w:before="100" w:beforeAutospacing="1" w:after="100" w:afterAutospacing="1" w:line="240" w:lineRule="auto"/>
              <w:jc w:val="both"/>
              <w:rPr>
                <w:kern w:val="2"/>
                <w14:ligatures w14:val="standardContextual"/>
              </w:rPr>
            </w:pPr>
            <w:r>
              <w:rPr>
                <w:kern w:val="2"/>
                <w14:ligatures w14:val="standardContextual"/>
              </w:rPr>
              <w:t>Contractor and Supervision Team to liaise regularly with the Local Administration and Police Service to address any security and crime arising during project implementation.</w:t>
            </w:r>
          </w:p>
          <w:p w14:paraId="78CB5C51">
            <w:pPr>
              <w:tabs>
                <w:tab w:val="left" w:pos="709"/>
              </w:tabs>
              <w:spacing w:before="100" w:beforeAutospacing="1" w:after="100" w:afterAutospacing="1" w:line="240" w:lineRule="auto"/>
              <w:jc w:val="both"/>
              <w:rPr>
                <w:kern w:val="2"/>
                <w14:ligatures w14:val="standardContextual"/>
              </w:rPr>
            </w:pPr>
            <w:r>
              <w:rPr>
                <w:kern w:val="2"/>
                <w14:ligatures w14:val="standardContextual"/>
              </w:rPr>
              <w:t>Contractor to provide 24 hours’ security to Workforce Camps, Yards, Stores and to the Supervising Team’s Offices</w:t>
            </w:r>
          </w:p>
        </w:tc>
        <w:tc>
          <w:tcPr>
            <w:tcW w:w="940" w:type="pct"/>
          </w:tcPr>
          <w:p w14:paraId="2CA190AE">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 xml:space="preserve"> Availability of security officers</w:t>
            </w:r>
          </w:p>
          <w:p w14:paraId="7DB3D99F">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Number of security concerns reported.</w:t>
            </w:r>
          </w:p>
        </w:tc>
        <w:tc>
          <w:tcPr>
            <w:tcW w:w="673" w:type="pct"/>
          </w:tcPr>
          <w:p w14:paraId="77B09E79">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Environmental and Safety Management Manager</w:t>
            </w:r>
          </w:p>
          <w:p w14:paraId="5111890F">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 xml:space="preserve">Wajir County </w:t>
            </w:r>
            <w:r>
              <w:rPr>
                <w:rFonts w:eastAsia="Times New Roman" w:cs="Times New Roman"/>
                <w:bCs/>
                <w:lang w:eastAsia="en-GB"/>
              </w:rPr>
              <w:t>Government</w:t>
            </w:r>
          </w:p>
        </w:tc>
        <w:tc>
          <w:tcPr>
            <w:tcW w:w="401" w:type="pct"/>
          </w:tcPr>
          <w:p w14:paraId="28C3EDCD">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Daily</w:t>
            </w:r>
          </w:p>
        </w:tc>
        <w:tc>
          <w:tcPr>
            <w:tcW w:w="412" w:type="pct"/>
          </w:tcPr>
          <w:p w14:paraId="7F8693C8">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900,000.00</w:t>
            </w:r>
          </w:p>
        </w:tc>
      </w:tr>
      <w:tr w14:paraId="04E409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31" w:hRule="atLeast"/>
        </w:trPr>
        <w:tc>
          <w:tcPr>
            <w:tcW w:w="527" w:type="pct"/>
            <w:tcBorders>
              <w:top w:val="single" w:color="auto" w:sz="4" w:space="0"/>
              <w:left w:val="single" w:color="auto" w:sz="4" w:space="0"/>
              <w:bottom w:val="single" w:color="auto" w:sz="4" w:space="0"/>
              <w:right w:val="single" w:color="auto" w:sz="4" w:space="0"/>
            </w:tcBorders>
          </w:tcPr>
          <w:p w14:paraId="015D3D06">
            <w:pPr>
              <w:tabs>
                <w:tab w:val="left" w:pos="709"/>
              </w:tabs>
              <w:spacing w:before="100" w:beforeAutospacing="1" w:after="100" w:afterAutospacing="1" w:line="240" w:lineRule="auto"/>
              <w:jc w:val="both"/>
              <w:rPr>
                <w:rFonts w:cs="Times New Roman"/>
                <w:i/>
                <w:lang w:val="en-GB" w:eastAsia="en-GB"/>
              </w:rPr>
            </w:pPr>
            <w:r>
              <w:rPr>
                <w:kern w:val="2"/>
                <w14:ligatures w14:val="standardContextual"/>
              </w:rPr>
              <w:t xml:space="preserve">Inadequate stakeholder Engagement and Exclusion of disadvantaged and vulnerable groups </w:t>
            </w:r>
          </w:p>
        </w:tc>
        <w:tc>
          <w:tcPr>
            <w:tcW w:w="342" w:type="pct"/>
            <w:tcBorders>
              <w:top w:val="single" w:color="auto" w:sz="4" w:space="0"/>
              <w:left w:val="single" w:color="auto" w:sz="4" w:space="0"/>
              <w:bottom w:val="single" w:color="auto" w:sz="4" w:space="0"/>
              <w:right w:val="single" w:color="auto" w:sz="4" w:space="0"/>
            </w:tcBorders>
          </w:tcPr>
          <w:p w14:paraId="70FAB47E">
            <w:pPr>
              <w:tabs>
                <w:tab w:val="left" w:pos="709"/>
              </w:tabs>
              <w:spacing w:before="100" w:beforeAutospacing="1" w:after="100" w:afterAutospacing="1" w:line="240" w:lineRule="auto"/>
              <w:jc w:val="both"/>
              <w:rPr>
                <w:rFonts w:eastAsia="Times New Roman" w:cs="Times New Roman"/>
                <w:bCs/>
                <w:lang w:val="en-GB" w:eastAsia="en-GB"/>
              </w:rPr>
            </w:pPr>
            <w:r>
              <w:t>Medium high</w:t>
            </w:r>
          </w:p>
        </w:tc>
        <w:tc>
          <w:tcPr>
            <w:tcW w:w="1705" w:type="pct"/>
            <w:tcBorders>
              <w:top w:val="single" w:color="auto" w:sz="4" w:space="0"/>
              <w:left w:val="single" w:color="auto" w:sz="4" w:space="0"/>
              <w:bottom w:val="single" w:color="auto" w:sz="4" w:space="0"/>
              <w:right w:val="single" w:color="auto" w:sz="4" w:space="0"/>
            </w:tcBorders>
          </w:tcPr>
          <w:p w14:paraId="5CEB3125">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Share project information widely and in a timely manner through diverse, feasible and accessible channels of communication e.g., public forums.</w:t>
            </w:r>
          </w:p>
          <w:p w14:paraId="45C9490F">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Introduce measures for affirmative action that would ensure especially persons with disability, the elderly and women have access to job opportunities.</w:t>
            </w:r>
          </w:p>
          <w:p w14:paraId="56049E83">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Undertake recruitment transparently, while ensuring the inclusion of disadvantaged groups.</w:t>
            </w:r>
          </w:p>
          <w:p w14:paraId="0A41EE2C">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Develop and implementation of a stakeholder engagement plan.</w:t>
            </w:r>
          </w:p>
          <w:p w14:paraId="1E49FB3D">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Engage stakeholders throughout the project phase as guided by the approved stakeholder engagement plan.</w:t>
            </w:r>
          </w:p>
          <w:p w14:paraId="690B1829">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Culturally appropriate consultations and early involvement of VMGs in the project.</w:t>
            </w:r>
          </w:p>
          <w:p w14:paraId="69AAD6CD">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Use of tailored communication channels to ensure VMGs can access project information.</w:t>
            </w:r>
          </w:p>
          <w:p w14:paraId="59FF649E">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Training and empowerment programs to enhance VMG participation.</w:t>
            </w:r>
          </w:p>
          <w:p w14:paraId="35C3DBB0">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Ensure VMGs have equal access to project benefits and opportunities.</w:t>
            </w:r>
          </w:p>
          <w:p w14:paraId="35CFC40F">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Culturally sensitive systems for VMGs to safely report issues.</w:t>
            </w:r>
          </w:p>
          <w:p w14:paraId="7EA1341C">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Adherence to policies that protect VMG rights.</w:t>
            </w:r>
          </w:p>
          <w:p w14:paraId="1E5AB4A6">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Ongoing assessment involving VMGs to track the project’s impact on them.</w:t>
            </w:r>
          </w:p>
        </w:tc>
        <w:tc>
          <w:tcPr>
            <w:tcW w:w="940" w:type="pct"/>
          </w:tcPr>
          <w:p w14:paraId="44515274">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Number of stakeholders involved and proof of their support.</w:t>
            </w:r>
          </w:p>
          <w:p w14:paraId="75CC678C">
            <w:pPr>
              <w:tabs>
                <w:tab w:val="left" w:pos="709"/>
              </w:tabs>
              <w:spacing w:before="100" w:beforeAutospacing="1" w:after="100" w:afterAutospacing="1" w:line="240" w:lineRule="auto"/>
              <w:jc w:val="both"/>
            </w:pPr>
            <w:r>
              <w:t>Diversity of stakeholder representation.</w:t>
            </w:r>
          </w:p>
          <w:p w14:paraId="360DE74E">
            <w:pPr>
              <w:tabs>
                <w:tab w:val="left" w:pos="709"/>
              </w:tabs>
              <w:spacing w:before="100" w:beforeAutospacing="1" w:after="100" w:afterAutospacing="1" w:line="240" w:lineRule="auto"/>
              <w:jc w:val="both"/>
            </w:pPr>
            <w:r>
              <w:t>Total number of engagement activities conducted.</w:t>
            </w:r>
          </w:p>
          <w:p w14:paraId="11EBA868">
            <w:pPr>
              <w:tabs>
                <w:tab w:val="left" w:pos="709"/>
              </w:tabs>
              <w:spacing w:before="100" w:beforeAutospacing="1" w:after="100" w:afterAutospacing="1" w:line="240" w:lineRule="auto"/>
              <w:jc w:val="both"/>
            </w:pPr>
            <w:r>
              <w:t>Accessibility and clarity of shared information.</w:t>
            </w:r>
          </w:p>
          <w:p w14:paraId="11F9FD74">
            <w:pPr>
              <w:tabs>
                <w:tab w:val="left" w:pos="709"/>
              </w:tabs>
              <w:spacing w:before="100" w:beforeAutospacing="1" w:after="100" w:afterAutospacing="1" w:line="240" w:lineRule="auto"/>
              <w:jc w:val="both"/>
            </w:pPr>
            <w:r>
              <w:t>Number of training sessions conducted for vulnerable groups.</w:t>
            </w:r>
          </w:p>
          <w:p w14:paraId="53AFD81D">
            <w:pPr>
              <w:tabs>
                <w:tab w:val="left" w:pos="709"/>
              </w:tabs>
              <w:spacing w:before="100" w:beforeAutospacing="1" w:after="100" w:afterAutospacing="1" w:line="240" w:lineRule="auto"/>
              <w:jc w:val="both"/>
            </w:pPr>
            <w:r>
              <w:t>Representation of disadvantaged groups in decision-making bodies</w:t>
            </w:r>
          </w:p>
          <w:p w14:paraId="1E2F9D8F">
            <w:pPr>
              <w:tabs>
                <w:tab w:val="left" w:pos="709"/>
              </w:tabs>
              <w:spacing w:before="100" w:beforeAutospacing="1" w:after="100" w:afterAutospacing="1" w:line="240" w:lineRule="auto"/>
              <w:jc w:val="both"/>
            </w:pPr>
            <w:r>
              <w:t>Community satisfaction measured through surveys.</w:t>
            </w:r>
          </w:p>
          <w:p w14:paraId="6EFF2800">
            <w:pPr>
              <w:tabs>
                <w:tab w:val="left" w:pos="709"/>
              </w:tabs>
              <w:spacing w:before="100" w:beforeAutospacing="1" w:after="100" w:afterAutospacing="1" w:line="240" w:lineRule="auto"/>
              <w:jc w:val="both"/>
            </w:pPr>
            <w:r>
              <w:t>Number of partnerships with local organizations.</w:t>
            </w:r>
          </w:p>
          <w:p w14:paraId="1D5FA03C">
            <w:pPr>
              <w:tabs>
                <w:tab w:val="left" w:pos="709"/>
              </w:tabs>
              <w:spacing w:before="100" w:beforeAutospacing="1" w:after="100" w:afterAutospacing="1" w:line="240" w:lineRule="auto"/>
              <w:jc w:val="both"/>
              <w:rPr>
                <w:rFonts w:eastAsia="Times New Roman" w:cs="Times New Roman"/>
                <w:bCs/>
                <w:lang w:val="en-GB" w:eastAsia="en-GB"/>
              </w:rPr>
            </w:pPr>
            <w:r>
              <w:t>Joint activities conducted with NGOs to promote engagement.</w:t>
            </w:r>
          </w:p>
        </w:tc>
        <w:tc>
          <w:tcPr>
            <w:tcW w:w="673" w:type="pct"/>
          </w:tcPr>
          <w:p w14:paraId="7892DDEF">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Contractor</w:t>
            </w:r>
          </w:p>
          <w:p w14:paraId="3559063F">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eastAsia="en-GB"/>
              </w:rPr>
              <w:t>Local administration</w:t>
            </w:r>
          </w:p>
          <w:p w14:paraId="3351726F">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County Government officials, Department of water and sanitation</w:t>
            </w:r>
            <w:r>
              <w:rPr>
                <w:rFonts w:eastAsia="Times New Roman" w:cs="Times New Roman"/>
                <w:bCs/>
                <w:lang w:eastAsia="en-GB"/>
              </w:rPr>
              <w:t xml:space="preserve"> </w:t>
            </w:r>
            <w:r>
              <w:rPr>
                <w:rFonts w:eastAsia="Times New Roman" w:cs="Times New Roman"/>
                <w:bCs/>
                <w:lang w:val="en-GB" w:eastAsia="en-GB"/>
              </w:rPr>
              <w:t>management</w:t>
            </w:r>
          </w:p>
          <w:p w14:paraId="569FD41B">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Environmental And Safety Management Manager</w:t>
            </w:r>
          </w:p>
        </w:tc>
        <w:tc>
          <w:tcPr>
            <w:tcW w:w="401" w:type="pct"/>
          </w:tcPr>
          <w:p w14:paraId="4C98EA19">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Throughout Project</w:t>
            </w:r>
          </w:p>
        </w:tc>
        <w:tc>
          <w:tcPr>
            <w:tcW w:w="412" w:type="pct"/>
          </w:tcPr>
          <w:p w14:paraId="21599634">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250,000.00</w:t>
            </w:r>
          </w:p>
        </w:tc>
      </w:tr>
      <w:tr w14:paraId="431B06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1" w:hRule="atLeast"/>
        </w:trPr>
        <w:tc>
          <w:tcPr>
            <w:tcW w:w="527" w:type="pct"/>
            <w:tcBorders>
              <w:top w:val="single" w:color="auto" w:sz="4" w:space="0"/>
              <w:left w:val="single" w:color="auto" w:sz="4" w:space="0"/>
              <w:bottom w:val="single" w:color="auto" w:sz="4" w:space="0"/>
              <w:right w:val="single" w:color="auto" w:sz="4" w:space="0"/>
            </w:tcBorders>
          </w:tcPr>
          <w:p w14:paraId="3B4F5D0F">
            <w:pPr>
              <w:tabs>
                <w:tab w:val="left" w:pos="709"/>
              </w:tabs>
              <w:spacing w:before="100" w:beforeAutospacing="1" w:after="100" w:afterAutospacing="1" w:line="240" w:lineRule="auto"/>
              <w:jc w:val="both"/>
            </w:pPr>
            <w:r>
              <w:rPr>
                <w:kern w:val="2"/>
                <w14:ligatures w14:val="standardContextual"/>
              </w:rPr>
              <w:t xml:space="preserve">Gender-Based Violence and Sexual Exploitation and Abuse (SEA) and Sexual Harassment (SH) </w:t>
            </w:r>
          </w:p>
        </w:tc>
        <w:tc>
          <w:tcPr>
            <w:tcW w:w="342" w:type="pct"/>
            <w:tcBorders>
              <w:top w:val="single" w:color="auto" w:sz="4" w:space="0"/>
              <w:left w:val="single" w:color="auto" w:sz="4" w:space="0"/>
              <w:bottom w:val="single" w:color="auto" w:sz="4" w:space="0"/>
              <w:right w:val="single" w:color="auto" w:sz="4" w:space="0"/>
            </w:tcBorders>
          </w:tcPr>
          <w:p w14:paraId="6EB1E56F">
            <w:pPr>
              <w:tabs>
                <w:tab w:val="left" w:pos="709"/>
              </w:tabs>
              <w:spacing w:before="100" w:beforeAutospacing="1" w:after="100" w:afterAutospacing="1" w:line="240" w:lineRule="auto"/>
              <w:jc w:val="both"/>
              <w:rPr>
                <w:rFonts w:eastAsia="Times New Roman" w:cs="Times New Roman"/>
                <w:bCs/>
                <w:lang w:val="en-GB" w:eastAsia="en-GB"/>
              </w:rPr>
            </w:pPr>
            <w:r>
              <w:t>Low Medium</w:t>
            </w:r>
          </w:p>
        </w:tc>
        <w:tc>
          <w:tcPr>
            <w:tcW w:w="1705" w:type="pct"/>
            <w:tcBorders>
              <w:top w:val="single" w:color="auto" w:sz="4" w:space="0"/>
              <w:left w:val="single" w:color="auto" w:sz="4" w:space="0"/>
              <w:bottom w:val="single" w:color="auto" w:sz="4" w:space="0"/>
              <w:right w:val="single" w:color="auto" w:sz="4" w:space="0"/>
            </w:tcBorders>
          </w:tcPr>
          <w:p w14:paraId="39BBBD20">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 xml:space="preserve">Develop and implement a plan to manage the risk of SEA/SH. </w:t>
            </w:r>
          </w:p>
          <w:p w14:paraId="7B32C46C">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Map the GBV referral pathways and create awareness among women and men on the risk of SEA/SH.</w:t>
            </w:r>
          </w:p>
          <w:p w14:paraId="5677C64B">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Implement confidential reporting channels and support services for victims.</w:t>
            </w:r>
          </w:p>
          <w:p w14:paraId="4BFF0C34">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Involve local leaders and empower vulnerable groups to foster a supportive environment.</w:t>
            </w:r>
          </w:p>
          <w:p w14:paraId="12840262">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Ensure safe work environments and secure transportation for workers.</w:t>
            </w:r>
          </w:p>
          <w:p w14:paraId="6D5C14C2">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Partner with NGOs for enhanced support systems and referral services.</w:t>
            </w:r>
          </w:p>
          <w:p w14:paraId="0095484C">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Tailor interventions to be culturally appropriate for the local context.</w:t>
            </w:r>
          </w:p>
          <w:p w14:paraId="7A033BC9">
            <w:pPr>
              <w:numPr>
                <w:ilvl w:val="0"/>
                <w:numId w:val="35"/>
              </w:numPr>
              <w:tabs>
                <w:tab w:val="left" w:pos="377"/>
              </w:tabs>
              <w:spacing w:before="100" w:beforeAutospacing="1" w:after="100" w:afterAutospacing="1" w:line="240" w:lineRule="auto"/>
              <w:ind w:left="377" w:hanging="283"/>
              <w:jc w:val="both"/>
              <w:rPr>
                <w:kern w:val="2"/>
                <w:lang w:bidi="en-US"/>
                <w14:ligatures w14:val="standardContextual"/>
              </w:rPr>
            </w:pPr>
            <w:r>
              <w:rPr>
                <w:kern w:val="2"/>
                <w:lang w:bidi="en-US"/>
                <w14:ligatures w14:val="standardContextual"/>
              </w:rPr>
              <w:t xml:space="preserve">Develop and implement a plan to manage the risk of SEA/SH. </w:t>
            </w:r>
          </w:p>
          <w:p w14:paraId="0ADEA2B0">
            <w:pPr>
              <w:numPr>
                <w:ilvl w:val="0"/>
                <w:numId w:val="35"/>
              </w:numPr>
              <w:tabs>
                <w:tab w:val="left" w:pos="709"/>
              </w:tabs>
              <w:spacing w:before="100" w:beforeAutospacing="1" w:after="100" w:afterAutospacing="1" w:line="240" w:lineRule="auto"/>
              <w:jc w:val="both"/>
              <w:rPr>
                <w:kern w:val="2"/>
                <w:lang w:bidi="en-US"/>
                <w14:ligatures w14:val="standardContextual"/>
              </w:rPr>
            </w:pPr>
            <w:r>
              <w:rPr>
                <w:kern w:val="2"/>
                <w:lang w:bidi="en-US"/>
                <w14:ligatures w14:val="standardContextual"/>
              </w:rPr>
              <w:t>Map the GBV referral pathways and create awareness among women and men on the risk of SEA/SH.</w:t>
            </w:r>
          </w:p>
        </w:tc>
        <w:tc>
          <w:tcPr>
            <w:tcW w:w="940" w:type="pct"/>
          </w:tcPr>
          <w:p w14:paraId="063D28C3">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Number of GBV cases reported and solved.</w:t>
            </w:r>
          </w:p>
          <w:p w14:paraId="317100BC">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GBV Awareness trainings</w:t>
            </w:r>
          </w:p>
          <w:p w14:paraId="79DBD6C3">
            <w:pPr>
              <w:tabs>
                <w:tab w:val="left" w:pos="709"/>
              </w:tabs>
              <w:spacing w:before="100" w:beforeAutospacing="1" w:after="100" w:afterAutospacing="1" w:line="240" w:lineRule="auto"/>
              <w:jc w:val="both"/>
            </w:pPr>
            <w:r>
              <w:t>Average time taken to respond to and investigate reports.</w:t>
            </w:r>
          </w:p>
          <w:p w14:paraId="320BC4DD">
            <w:pPr>
              <w:tabs>
                <w:tab w:val="left" w:pos="709"/>
              </w:tabs>
              <w:spacing w:before="100" w:beforeAutospacing="1" w:after="100" w:afterAutospacing="1" w:line="240" w:lineRule="auto"/>
              <w:jc w:val="both"/>
            </w:pPr>
            <w:r>
              <w:t>Number of victims accessing services such as counseling, legal assistance, or medical care.</w:t>
            </w:r>
          </w:p>
          <w:p w14:paraId="2CF90A4A">
            <w:pPr>
              <w:tabs>
                <w:tab w:val="left" w:pos="709"/>
              </w:tabs>
              <w:spacing w:before="100" w:beforeAutospacing="1" w:after="100" w:afterAutospacing="1" w:line="240" w:lineRule="auto"/>
              <w:jc w:val="both"/>
            </w:pPr>
            <w:r>
              <w:t>Frequency of audits or evaluations conducted to ensure adherence to GBV, SEA, and SH policies.</w:t>
            </w:r>
          </w:p>
          <w:p w14:paraId="73518565">
            <w:pPr>
              <w:tabs>
                <w:tab w:val="left" w:pos="709"/>
              </w:tabs>
              <w:spacing w:before="100" w:beforeAutospacing="1" w:after="100" w:afterAutospacing="1" w:line="240" w:lineRule="auto"/>
              <w:jc w:val="both"/>
              <w:rPr>
                <w:rFonts w:eastAsia="Times New Roman" w:cs="Times New Roman"/>
                <w:bCs/>
                <w:lang w:val="en-GB" w:eastAsia="en-GB"/>
              </w:rPr>
            </w:pPr>
            <w:r>
              <w:t>Percentage of reported cases that are resolved satisfactorily.</w:t>
            </w:r>
          </w:p>
        </w:tc>
        <w:tc>
          <w:tcPr>
            <w:tcW w:w="673" w:type="pct"/>
          </w:tcPr>
          <w:p w14:paraId="19777B9D">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eastAsia="en-GB"/>
              </w:rPr>
              <w:t>Local administration</w:t>
            </w:r>
          </w:p>
          <w:p w14:paraId="17CDFCB2">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Contractor</w:t>
            </w:r>
          </w:p>
          <w:p w14:paraId="5463F727">
            <w:pPr>
              <w:tabs>
                <w:tab w:val="left" w:pos="709"/>
                <w:tab w:val="left" w:pos="1117"/>
              </w:tabs>
              <w:spacing w:before="100" w:beforeAutospacing="1" w:after="100" w:afterAutospacing="1" w:line="240" w:lineRule="auto"/>
              <w:ind w:right="718"/>
              <w:jc w:val="both"/>
              <w:rPr>
                <w:rFonts w:eastAsia="Times New Roman" w:cs="Times New Roman"/>
                <w:bCs/>
                <w:lang w:val="en-GB" w:eastAsia="en-GB"/>
              </w:rPr>
            </w:pPr>
            <w:r>
              <w:rPr>
                <w:rFonts w:eastAsia="Times New Roman" w:cs="Times New Roman"/>
                <w:bCs/>
                <w:lang w:val="en-GB" w:eastAsia="en-GB"/>
              </w:rPr>
              <w:t xml:space="preserve">Wajir County Government Officials </w:t>
            </w:r>
          </w:p>
        </w:tc>
        <w:tc>
          <w:tcPr>
            <w:tcW w:w="401" w:type="pct"/>
          </w:tcPr>
          <w:p w14:paraId="1A0D7FBE">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Throughout Project</w:t>
            </w:r>
          </w:p>
        </w:tc>
        <w:tc>
          <w:tcPr>
            <w:tcW w:w="412" w:type="pct"/>
          </w:tcPr>
          <w:p w14:paraId="12EA5712">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150,000.00</w:t>
            </w:r>
          </w:p>
        </w:tc>
      </w:tr>
      <w:tr w14:paraId="7BF7AE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915" w:hRule="atLeast"/>
        </w:trPr>
        <w:tc>
          <w:tcPr>
            <w:tcW w:w="527" w:type="pct"/>
            <w:tcBorders>
              <w:top w:val="single" w:color="auto" w:sz="4" w:space="0"/>
              <w:left w:val="single" w:color="auto" w:sz="4" w:space="0"/>
              <w:bottom w:val="single" w:color="auto" w:sz="4" w:space="0"/>
              <w:right w:val="single" w:color="auto" w:sz="4" w:space="0"/>
            </w:tcBorders>
          </w:tcPr>
          <w:p w14:paraId="6E0F756F">
            <w:pPr>
              <w:tabs>
                <w:tab w:val="left" w:pos="709"/>
              </w:tabs>
              <w:spacing w:before="100" w:beforeAutospacing="1" w:after="100" w:afterAutospacing="1" w:line="240" w:lineRule="auto"/>
              <w:jc w:val="both"/>
              <w:rPr>
                <w:kern w:val="2"/>
                <w14:ligatures w14:val="standardContextual"/>
              </w:rPr>
            </w:pPr>
            <w:r>
              <w:rPr>
                <w:kern w:val="2"/>
                <w14:ligatures w14:val="standardContextual"/>
              </w:rPr>
              <w:t>HIV/AIDS</w:t>
            </w:r>
          </w:p>
        </w:tc>
        <w:tc>
          <w:tcPr>
            <w:tcW w:w="342" w:type="pct"/>
            <w:tcBorders>
              <w:top w:val="single" w:color="auto" w:sz="4" w:space="0"/>
              <w:left w:val="single" w:color="auto" w:sz="4" w:space="0"/>
              <w:bottom w:val="single" w:color="auto" w:sz="4" w:space="0"/>
              <w:right w:val="single" w:color="auto" w:sz="4" w:space="0"/>
            </w:tcBorders>
          </w:tcPr>
          <w:p w14:paraId="62192207">
            <w:pPr>
              <w:tabs>
                <w:tab w:val="left" w:pos="709"/>
              </w:tabs>
              <w:spacing w:before="100" w:beforeAutospacing="1" w:after="100" w:afterAutospacing="1" w:line="240" w:lineRule="auto"/>
              <w:jc w:val="both"/>
            </w:pPr>
            <w:r>
              <w:rPr>
                <w:rFonts w:eastAsia="Arial" w:cs="Arial"/>
                <w:lang w:bidi="en-US"/>
              </w:rPr>
              <w:t>Low Medium</w:t>
            </w:r>
          </w:p>
        </w:tc>
        <w:tc>
          <w:tcPr>
            <w:tcW w:w="1705" w:type="pct"/>
            <w:tcBorders>
              <w:top w:val="single" w:color="auto" w:sz="4" w:space="0"/>
              <w:left w:val="single" w:color="auto" w:sz="4" w:space="0"/>
              <w:bottom w:val="single" w:color="auto" w:sz="4" w:space="0"/>
              <w:right w:val="single" w:color="auto" w:sz="4" w:space="0"/>
            </w:tcBorders>
          </w:tcPr>
          <w:p w14:paraId="793B4660">
            <w:pPr>
              <w:widowControl w:val="0"/>
              <w:tabs>
                <w:tab w:val="left" w:pos="709"/>
              </w:tabs>
              <w:autoSpaceDE w:val="0"/>
              <w:autoSpaceDN w:val="0"/>
              <w:spacing w:before="100" w:beforeAutospacing="1" w:after="100" w:afterAutospacing="1" w:line="240" w:lineRule="auto"/>
              <w:contextualSpacing/>
              <w:rPr>
                <w:rFonts w:eastAsia="Calibri" w:cs="Calibri"/>
                <w:lang w:bidi="en-US"/>
              </w:rPr>
            </w:pPr>
            <w:r>
              <w:rPr>
                <w:rFonts w:eastAsia="Calibri" w:cs="Calibri"/>
                <w:lang w:bidi="en-US"/>
              </w:rPr>
              <w:t>HIV/AIDS Awareness Campaigns: Implement regular awareness and education programs on HIV/AIDS prevention and safe practices for workers and local communities.</w:t>
            </w:r>
          </w:p>
          <w:p w14:paraId="7207B6ED">
            <w:pPr>
              <w:widowControl w:val="0"/>
              <w:tabs>
                <w:tab w:val="left" w:pos="709"/>
              </w:tabs>
              <w:autoSpaceDE w:val="0"/>
              <w:autoSpaceDN w:val="0"/>
              <w:spacing w:before="100" w:beforeAutospacing="1" w:after="100" w:afterAutospacing="1" w:line="240" w:lineRule="auto"/>
              <w:contextualSpacing/>
              <w:rPr>
                <w:rFonts w:eastAsia="Calibri" w:cs="Calibri"/>
                <w:lang w:bidi="en-US"/>
              </w:rPr>
            </w:pPr>
          </w:p>
          <w:p w14:paraId="2D018B39">
            <w:pPr>
              <w:widowControl w:val="0"/>
              <w:tabs>
                <w:tab w:val="left" w:pos="709"/>
              </w:tabs>
              <w:autoSpaceDE w:val="0"/>
              <w:autoSpaceDN w:val="0"/>
              <w:spacing w:before="100" w:beforeAutospacing="1" w:after="100" w:afterAutospacing="1" w:line="240" w:lineRule="auto"/>
              <w:contextualSpacing/>
              <w:rPr>
                <w:rFonts w:eastAsia="Calibri" w:cs="Calibri"/>
                <w:lang w:bidi="en-US"/>
              </w:rPr>
            </w:pPr>
            <w:r>
              <w:rPr>
                <w:rFonts w:eastAsia="Calibri" w:cs="Calibri"/>
                <w:lang w:bidi="en-US"/>
              </w:rPr>
              <w:t>Health Screening and Support Services: Provide voluntary counseling, testing, and access to healthcare services, including antiretroviral treatment, for workers and nearby residents.</w:t>
            </w:r>
          </w:p>
          <w:p w14:paraId="2F46DD8E">
            <w:pPr>
              <w:widowControl w:val="0"/>
              <w:tabs>
                <w:tab w:val="left" w:pos="709"/>
              </w:tabs>
              <w:autoSpaceDE w:val="0"/>
              <w:autoSpaceDN w:val="0"/>
              <w:spacing w:before="100" w:beforeAutospacing="1" w:after="100" w:afterAutospacing="1" w:line="240" w:lineRule="auto"/>
              <w:contextualSpacing/>
              <w:rPr>
                <w:rFonts w:eastAsia="Calibri" w:cs="Calibri"/>
                <w:lang w:bidi="en-US"/>
              </w:rPr>
            </w:pPr>
          </w:p>
          <w:p w14:paraId="4CAE4DE0">
            <w:pPr>
              <w:widowControl w:val="0"/>
              <w:tabs>
                <w:tab w:val="left" w:pos="709"/>
              </w:tabs>
              <w:autoSpaceDE w:val="0"/>
              <w:autoSpaceDN w:val="0"/>
              <w:spacing w:before="100" w:beforeAutospacing="1" w:after="100" w:afterAutospacing="1" w:line="240" w:lineRule="auto"/>
              <w:contextualSpacing/>
              <w:rPr>
                <w:rFonts w:eastAsia="Calibri" w:cs="Calibri"/>
                <w:lang w:bidi="en-US"/>
              </w:rPr>
            </w:pPr>
            <w:r>
              <w:rPr>
                <w:rFonts w:eastAsia="Calibri" w:cs="Calibri"/>
                <w:lang w:bidi="en-US"/>
              </w:rPr>
              <w:t>Promotion of Safe Sex Practices: Distribute condoms freely to workers and residents, alongside campaigns encouraging their use.</w:t>
            </w:r>
          </w:p>
          <w:p w14:paraId="55EE7A8B">
            <w:pPr>
              <w:widowControl w:val="0"/>
              <w:tabs>
                <w:tab w:val="left" w:pos="709"/>
              </w:tabs>
              <w:autoSpaceDE w:val="0"/>
              <w:autoSpaceDN w:val="0"/>
              <w:spacing w:before="100" w:beforeAutospacing="1" w:after="100" w:afterAutospacing="1" w:line="240" w:lineRule="auto"/>
              <w:contextualSpacing/>
              <w:rPr>
                <w:rFonts w:eastAsia="Calibri" w:cs="Calibri"/>
                <w:lang w:bidi="en-US"/>
              </w:rPr>
            </w:pPr>
          </w:p>
          <w:p w14:paraId="38DFFD1D">
            <w:pPr>
              <w:widowControl w:val="0"/>
              <w:tabs>
                <w:tab w:val="left" w:pos="709"/>
              </w:tabs>
              <w:autoSpaceDE w:val="0"/>
              <w:autoSpaceDN w:val="0"/>
              <w:spacing w:before="100" w:beforeAutospacing="1" w:after="100" w:afterAutospacing="1" w:line="240" w:lineRule="auto"/>
              <w:contextualSpacing/>
              <w:rPr>
                <w:rFonts w:eastAsia="Calibri" w:cs="Calibri"/>
                <w:lang w:bidi="en-US"/>
              </w:rPr>
            </w:pPr>
            <w:r>
              <w:rPr>
                <w:rFonts w:eastAsia="Calibri" w:cs="Calibri"/>
                <w:lang w:bidi="en-US"/>
              </w:rPr>
              <w:t>Code of Conduct for Workers: Establish a code of conduct that prohibits sexual exploitation and harassment, holding workers accountable for violations.</w:t>
            </w:r>
          </w:p>
          <w:p w14:paraId="03FE1A7B">
            <w:pPr>
              <w:widowControl w:val="0"/>
              <w:tabs>
                <w:tab w:val="left" w:pos="709"/>
              </w:tabs>
              <w:autoSpaceDE w:val="0"/>
              <w:autoSpaceDN w:val="0"/>
              <w:spacing w:before="100" w:beforeAutospacing="1" w:after="100" w:afterAutospacing="1" w:line="240" w:lineRule="auto"/>
              <w:contextualSpacing/>
              <w:rPr>
                <w:rFonts w:eastAsia="Calibri" w:cs="Calibri"/>
                <w:lang w:bidi="en-US"/>
              </w:rPr>
            </w:pPr>
          </w:p>
          <w:p w14:paraId="464A8519">
            <w:pPr>
              <w:widowControl w:val="0"/>
              <w:tabs>
                <w:tab w:val="left" w:pos="709"/>
              </w:tabs>
              <w:autoSpaceDE w:val="0"/>
              <w:autoSpaceDN w:val="0"/>
              <w:spacing w:before="100" w:beforeAutospacing="1" w:after="100" w:afterAutospacing="1" w:line="240" w:lineRule="auto"/>
              <w:contextualSpacing/>
              <w:rPr>
                <w:rFonts w:eastAsia="Calibri" w:cs="Calibri"/>
                <w:lang w:bidi="en-US"/>
              </w:rPr>
            </w:pPr>
            <w:r>
              <w:rPr>
                <w:rFonts w:eastAsia="Calibri" w:cs="Calibri"/>
                <w:lang w:bidi="en-US"/>
              </w:rPr>
              <w:t>Collaboration with Health Authorities: Partner with local health institutions to ensure the availability of HIV/AIDS prevention, treatment, and support services.</w:t>
            </w:r>
          </w:p>
          <w:p w14:paraId="33E0F490">
            <w:pPr>
              <w:widowControl w:val="0"/>
              <w:tabs>
                <w:tab w:val="left" w:pos="709"/>
              </w:tabs>
              <w:autoSpaceDE w:val="0"/>
              <w:autoSpaceDN w:val="0"/>
              <w:spacing w:before="100" w:beforeAutospacing="1" w:after="100" w:afterAutospacing="1" w:line="240" w:lineRule="auto"/>
              <w:contextualSpacing/>
              <w:rPr>
                <w:rFonts w:eastAsia="Calibri" w:cs="Calibri"/>
                <w:lang w:bidi="en-US"/>
              </w:rPr>
            </w:pPr>
          </w:p>
          <w:p w14:paraId="6C422FA4">
            <w:pPr>
              <w:widowControl w:val="0"/>
              <w:tabs>
                <w:tab w:val="left" w:pos="709"/>
              </w:tabs>
              <w:autoSpaceDE w:val="0"/>
              <w:autoSpaceDN w:val="0"/>
              <w:spacing w:before="100" w:beforeAutospacing="1" w:after="100" w:afterAutospacing="1" w:line="240" w:lineRule="auto"/>
              <w:contextualSpacing/>
              <w:rPr>
                <w:rFonts w:eastAsia="Calibri" w:cs="Calibri"/>
                <w:lang w:bidi="en-US"/>
              </w:rPr>
            </w:pPr>
            <w:r>
              <w:rPr>
                <w:rFonts w:eastAsia="Calibri" w:cs="Calibri"/>
                <w:lang w:bidi="en-US"/>
              </w:rPr>
              <w:t>Workforce Accommodation and Management: Manage workforce interactions by ensuring worker accommodation is separate from local communities and monitor social interactions to reduce risk behaviors.</w:t>
            </w:r>
          </w:p>
        </w:tc>
        <w:tc>
          <w:tcPr>
            <w:tcW w:w="940" w:type="pct"/>
          </w:tcPr>
          <w:p w14:paraId="422AAA01">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Number of HIV/AIDS infected persons reported.</w:t>
            </w:r>
          </w:p>
          <w:p w14:paraId="79C8B2EA">
            <w:pPr>
              <w:tabs>
                <w:tab w:val="left" w:pos="709"/>
              </w:tabs>
              <w:spacing w:before="100" w:beforeAutospacing="1" w:after="100" w:afterAutospacing="1" w:line="240" w:lineRule="auto"/>
              <w:jc w:val="both"/>
              <w:rPr>
                <w:rFonts w:eastAsia="Times New Roman" w:cs="Times New Roman"/>
                <w:bCs/>
                <w:lang w:val="en-GB" w:eastAsia="en-GB"/>
              </w:rPr>
            </w:pPr>
          </w:p>
        </w:tc>
        <w:tc>
          <w:tcPr>
            <w:tcW w:w="673" w:type="pct"/>
          </w:tcPr>
          <w:p w14:paraId="2384B0F2">
            <w:pPr>
              <w:tabs>
                <w:tab w:val="left" w:pos="709"/>
              </w:tabs>
              <w:spacing w:before="100" w:beforeAutospacing="1" w:after="100" w:afterAutospacing="1" w:line="240" w:lineRule="auto"/>
              <w:rPr>
                <w:rFonts w:eastAsia="Times New Roman" w:cs="Times New Roman"/>
                <w:bCs/>
                <w:lang w:eastAsia="en-GB"/>
              </w:rPr>
            </w:pPr>
            <w:r>
              <w:rPr>
                <w:rFonts w:eastAsia="Times New Roman" w:cs="Times New Roman"/>
                <w:bCs/>
                <w:lang w:eastAsia="en-GB"/>
              </w:rPr>
              <w:t>Local administration</w:t>
            </w:r>
          </w:p>
          <w:p w14:paraId="34850A28">
            <w:pPr>
              <w:tabs>
                <w:tab w:val="left" w:pos="709"/>
              </w:tabs>
              <w:spacing w:before="100" w:beforeAutospacing="1" w:after="100" w:afterAutospacing="1" w:line="240" w:lineRule="auto"/>
              <w:rPr>
                <w:rFonts w:eastAsia="Times New Roman" w:cs="Times New Roman"/>
                <w:bCs/>
                <w:lang w:val="en-GB" w:eastAsia="en-GB"/>
              </w:rPr>
            </w:pPr>
            <w:r>
              <w:rPr>
                <w:rFonts w:eastAsia="Times New Roman" w:cs="Times New Roman"/>
                <w:bCs/>
                <w:lang w:val="en-GB" w:eastAsia="en-GB"/>
              </w:rPr>
              <w:t>Contractor</w:t>
            </w:r>
          </w:p>
          <w:p w14:paraId="6EE37CFD">
            <w:pPr>
              <w:tabs>
                <w:tab w:val="left" w:pos="709"/>
              </w:tabs>
              <w:spacing w:before="100" w:beforeAutospacing="1" w:after="100" w:afterAutospacing="1" w:line="240" w:lineRule="auto"/>
              <w:rPr>
                <w:rFonts w:eastAsia="Times New Roman" w:cs="Times New Roman"/>
                <w:bCs/>
                <w:lang w:eastAsia="en-GB"/>
              </w:rPr>
            </w:pPr>
            <w:r>
              <w:rPr>
                <w:rFonts w:eastAsia="Times New Roman" w:cs="Times New Roman"/>
                <w:bCs/>
                <w:lang w:val="en-GB" w:eastAsia="en-GB"/>
              </w:rPr>
              <w:t>Wajir County Government Officials</w:t>
            </w:r>
          </w:p>
        </w:tc>
        <w:tc>
          <w:tcPr>
            <w:tcW w:w="401" w:type="pct"/>
          </w:tcPr>
          <w:p w14:paraId="283EFBA9">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bCs/>
                <w:lang w:val="en-GB" w:eastAsia="en-GB"/>
              </w:rPr>
              <w:t>Throughout Project</w:t>
            </w:r>
          </w:p>
        </w:tc>
        <w:tc>
          <w:tcPr>
            <w:tcW w:w="412" w:type="pct"/>
          </w:tcPr>
          <w:p w14:paraId="13493EB7">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bCs/>
                <w:lang w:val="en-GB" w:eastAsia="en-GB"/>
              </w:rPr>
              <w:t>350,000PM</w:t>
            </w:r>
          </w:p>
        </w:tc>
      </w:tr>
      <w:tr w14:paraId="3BAFF2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8" w:hRule="atLeast"/>
        </w:trPr>
        <w:tc>
          <w:tcPr>
            <w:tcW w:w="527" w:type="pct"/>
          </w:tcPr>
          <w:p w14:paraId="7EC63F54">
            <w:pPr>
              <w:tabs>
                <w:tab w:val="left" w:pos="709"/>
              </w:tabs>
              <w:spacing w:before="100" w:beforeAutospacing="1" w:after="100" w:afterAutospacing="1" w:line="240" w:lineRule="auto"/>
              <w:jc w:val="both"/>
            </w:pPr>
            <w:r>
              <w:t>Disruption of public Services</w:t>
            </w:r>
          </w:p>
        </w:tc>
        <w:tc>
          <w:tcPr>
            <w:tcW w:w="342" w:type="pct"/>
          </w:tcPr>
          <w:p w14:paraId="16786D95">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bCs/>
                <w:lang w:eastAsia="en-GB"/>
              </w:rPr>
              <w:t>Low Medium</w:t>
            </w:r>
          </w:p>
        </w:tc>
        <w:tc>
          <w:tcPr>
            <w:tcW w:w="1705" w:type="pct"/>
          </w:tcPr>
          <w:p w14:paraId="2510AE8B">
            <w:pPr>
              <w:tabs>
                <w:tab w:val="left" w:pos="709"/>
              </w:tabs>
              <w:spacing w:before="100" w:beforeAutospacing="1" w:after="100" w:afterAutospacing="1" w:line="240" w:lineRule="auto"/>
              <w:jc w:val="both"/>
              <w:rPr>
                <w:b/>
              </w:rPr>
            </w:pPr>
            <w:r>
              <w:t>Coordinate with relevant public service providers to adapt services during construction.</w:t>
            </w:r>
          </w:p>
          <w:p w14:paraId="0C04D3EE">
            <w:pPr>
              <w:tabs>
                <w:tab w:val="left" w:pos="709"/>
              </w:tabs>
              <w:spacing w:before="100" w:beforeAutospacing="1" w:after="100" w:afterAutospacing="1" w:line="240" w:lineRule="auto"/>
              <w:jc w:val="both"/>
              <w:rPr>
                <w:b/>
              </w:rPr>
            </w:pPr>
            <w:r>
              <w:t>Communicate service disruptions in advance to minimize inconvenience for residents.</w:t>
            </w:r>
          </w:p>
          <w:p w14:paraId="3043053D">
            <w:pPr>
              <w:tabs>
                <w:tab w:val="left" w:pos="709"/>
              </w:tabs>
              <w:spacing w:before="100" w:beforeAutospacing="1" w:after="100" w:afterAutospacing="1" w:line="240" w:lineRule="auto"/>
              <w:jc w:val="both"/>
              <w:rPr>
                <w:b/>
              </w:rPr>
            </w:pPr>
            <w:r>
              <w:t>Establish a hotline or platform for residents to report service disruptions and address concerns.</w:t>
            </w:r>
          </w:p>
        </w:tc>
        <w:tc>
          <w:tcPr>
            <w:tcW w:w="940" w:type="pct"/>
          </w:tcPr>
          <w:p w14:paraId="162CBC58">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Number of</w:t>
            </w:r>
            <w:r>
              <w:rPr>
                <w:rFonts w:eastAsia="Times New Roman" w:cs="Times New Roman"/>
                <w:bCs/>
                <w:lang w:eastAsia="en-GB"/>
              </w:rPr>
              <w:t xml:space="preserve"> </w:t>
            </w:r>
            <w:r>
              <w:rPr>
                <w:rFonts w:eastAsia="Times New Roman" w:cs="Times New Roman"/>
                <w:bCs/>
                <w:lang w:val="en-GB" w:eastAsia="en-GB"/>
              </w:rPr>
              <w:t>complaints from</w:t>
            </w:r>
            <w:r>
              <w:rPr>
                <w:rFonts w:eastAsia="Times New Roman" w:cs="Times New Roman"/>
                <w:bCs/>
                <w:lang w:eastAsia="en-GB"/>
              </w:rPr>
              <w:t xml:space="preserve"> </w:t>
            </w:r>
            <w:r>
              <w:rPr>
                <w:rFonts w:eastAsia="Times New Roman" w:cs="Times New Roman"/>
                <w:bCs/>
                <w:lang w:val="en-GB" w:eastAsia="en-GB"/>
              </w:rPr>
              <w:t>community due</w:t>
            </w:r>
            <w:r>
              <w:rPr>
                <w:rFonts w:eastAsia="Times New Roman" w:cs="Times New Roman"/>
                <w:bCs/>
                <w:lang w:eastAsia="en-GB"/>
              </w:rPr>
              <w:t xml:space="preserve"> </w:t>
            </w:r>
            <w:r>
              <w:rPr>
                <w:rFonts w:eastAsia="Times New Roman" w:cs="Times New Roman"/>
                <w:bCs/>
                <w:lang w:val="en-GB" w:eastAsia="en-GB"/>
              </w:rPr>
              <w:t>to lack of</w:t>
            </w:r>
            <w:r>
              <w:rPr>
                <w:rFonts w:eastAsia="Times New Roman" w:cs="Times New Roman"/>
                <w:bCs/>
                <w:lang w:eastAsia="en-GB"/>
              </w:rPr>
              <w:t xml:space="preserve"> </w:t>
            </w:r>
            <w:r>
              <w:rPr>
                <w:rFonts w:eastAsia="Times New Roman" w:cs="Times New Roman"/>
                <w:bCs/>
                <w:lang w:val="en-GB" w:eastAsia="en-GB"/>
              </w:rPr>
              <w:t>certain services</w:t>
            </w:r>
          </w:p>
        </w:tc>
        <w:tc>
          <w:tcPr>
            <w:tcW w:w="673" w:type="pct"/>
          </w:tcPr>
          <w:p w14:paraId="4D4244E0">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Environmental and Safety Management Manager</w:t>
            </w:r>
          </w:p>
          <w:p w14:paraId="0259151A">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Contractor</w:t>
            </w:r>
          </w:p>
          <w:p w14:paraId="2E8B441D">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Relevant County Government department with help of WAJWASCO  coordinator</w:t>
            </w:r>
          </w:p>
        </w:tc>
        <w:tc>
          <w:tcPr>
            <w:tcW w:w="401" w:type="pct"/>
          </w:tcPr>
          <w:p w14:paraId="13649B4F">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Throughout Project</w:t>
            </w:r>
          </w:p>
        </w:tc>
        <w:tc>
          <w:tcPr>
            <w:tcW w:w="412" w:type="pct"/>
          </w:tcPr>
          <w:p w14:paraId="15A6D116">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100,000.00</w:t>
            </w:r>
          </w:p>
        </w:tc>
      </w:tr>
      <w:tr w14:paraId="2C8D7B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78" w:hRule="atLeast"/>
        </w:trPr>
        <w:tc>
          <w:tcPr>
            <w:tcW w:w="527" w:type="pct"/>
            <w:tcBorders>
              <w:top w:val="single" w:color="auto" w:sz="4" w:space="0"/>
              <w:left w:val="single" w:color="auto" w:sz="4" w:space="0"/>
              <w:bottom w:val="single" w:color="auto" w:sz="4" w:space="0"/>
              <w:right w:val="single" w:color="auto" w:sz="4" w:space="0"/>
            </w:tcBorders>
          </w:tcPr>
          <w:p w14:paraId="68099E03">
            <w:pPr>
              <w:tabs>
                <w:tab w:val="left" w:pos="709"/>
              </w:tabs>
              <w:spacing w:before="100" w:beforeAutospacing="1" w:after="100" w:afterAutospacing="1" w:line="240" w:lineRule="auto"/>
              <w:jc w:val="both"/>
            </w:pPr>
            <w:r>
              <w:rPr>
                <w:kern w:val="2"/>
                <w14:ligatures w14:val="standardContextual"/>
              </w:rPr>
              <w:t xml:space="preserve">Safety Risks </w:t>
            </w:r>
          </w:p>
        </w:tc>
        <w:tc>
          <w:tcPr>
            <w:tcW w:w="342" w:type="pct"/>
            <w:tcBorders>
              <w:top w:val="single" w:color="auto" w:sz="4" w:space="0"/>
              <w:left w:val="single" w:color="auto" w:sz="4" w:space="0"/>
              <w:bottom w:val="single" w:color="auto" w:sz="4" w:space="0"/>
              <w:right w:val="single" w:color="auto" w:sz="4" w:space="0"/>
            </w:tcBorders>
          </w:tcPr>
          <w:p w14:paraId="53FFCB94">
            <w:pPr>
              <w:tabs>
                <w:tab w:val="left" w:pos="709"/>
              </w:tabs>
              <w:spacing w:before="100" w:beforeAutospacing="1" w:after="100" w:afterAutospacing="1" w:line="240" w:lineRule="auto"/>
              <w:jc w:val="both"/>
              <w:rPr>
                <w:rFonts w:eastAsia="Times New Roman" w:cs="Times New Roman"/>
                <w:bCs/>
                <w:lang w:val="en-GB" w:eastAsia="en-GB"/>
              </w:rPr>
            </w:pPr>
            <w:r>
              <w:t>High</w:t>
            </w:r>
          </w:p>
        </w:tc>
        <w:tc>
          <w:tcPr>
            <w:tcW w:w="1705" w:type="pct"/>
            <w:tcBorders>
              <w:top w:val="single" w:color="auto" w:sz="4" w:space="0"/>
              <w:left w:val="single" w:color="auto" w:sz="4" w:space="0"/>
              <w:bottom w:val="single" w:color="auto" w:sz="4" w:space="0"/>
              <w:right w:val="single" w:color="auto" w:sz="4" w:space="0"/>
            </w:tcBorders>
          </w:tcPr>
          <w:p w14:paraId="1731DB96">
            <w:pPr>
              <w:tabs>
                <w:tab w:val="left" w:pos="709"/>
              </w:tabs>
              <w:spacing w:before="100" w:beforeAutospacing="1" w:after="100" w:afterAutospacing="1" w:line="240" w:lineRule="auto"/>
              <w:jc w:val="both"/>
              <w:rPr>
                <w:kern w:val="2"/>
                <w14:ligatures w14:val="standardContextual"/>
              </w:rPr>
            </w:pPr>
            <w:r>
              <w:rPr>
                <w:kern w:val="2"/>
                <w14:ligatures w14:val="standardContextual"/>
              </w:rPr>
              <w:t xml:space="preserve">Construction sites shall be provided with barricades to protect neighbors and those passing-by. </w:t>
            </w:r>
          </w:p>
          <w:p w14:paraId="6EC1D5C4">
            <w:pPr>
              <w:tabs>
                <w:tab w:val="left" w:pos="709"/>
              </w:tabs>
              <w:spacing w:before="100" w:beforeAutospacing="1" w:after="100" w:afterAutospacing="1" w:line="240" w:lineRule="auto"/>
              <w:jc w:val="both"/>
              <w:rPr>
                <w:kern w:val="2"/>
                <w14:ligatures w14:val="standardContextual"/>
              </w:rPr>
            </w:pPr>
            <w:r>
              <w:rPr>
                <w:kern w:val="2"/>
                <w14:ligatures w14:val="standardContextual"/>
              </w:rPr>
              <w:t>Therefore, the public particularly the children shall not be allowed to come closer to the swing area of excavators or other equipment at site.</w:t>
            </w:r>
          </w:p>
          <w:p w14:paraId="1D32BCF6">
            <w:pPr>
              <w:tabs>
                <w:tab w:val="left" w:pos="709"/>
              </w:tabs>
              <w:spacing w:before="100" w:beforeAutospacing="1" w:after="100" w:afterAutospacing="1" w:line="240" w:lineRule="auto"/>
              <w:jc w:val="both"/>
              <w:rPr>
                <w:kern w:val="2"/>
                <w14:ligatures w14:val="standardContextual"/>
              </w:rPr>
            </w:pPr>
            <w:r>
              <w:rPr>
                <w:kern w:val="2"/>
                <w14:ligatures w14:val="standardContextual"/>
              </w:rPr>
              <w:t xml:space="preserve">In places where there are vehicles transporting construction materials and also at turning places towards the construction site, appropriate warning signage shall be posted. </w:t>
            </w:r>
          </w:p>
          <w:p w14:paraId="3E87ED7A">
            <w:pPr>
              <w:tabs>
                <w:tab w:val="left" w:pos="709"/>
              </w:tabs>
              <w:spacing w:before="100" w:beforeAutospacing="1" w:after="100" w:afterAutospacing="1" w:line="240" w:lineRule="auto"/>
              <w:jc w:val="both"/>
              <w:rPr>
                <w:kern w:val="2"/>
                <w14:ligatures w14:val="standardContextual"/>
              </w:rPr>
            </w:pPr>
            <w:r>
              <w:rPr>
                <w:kern w:val="2"/>
                <w14:ligatures w14:val="standardContextual"/>
              </w:rPr>
              <w:t xml:space="preserve">Sensitization and training of the surrounding communities regarding the risks associated with construction activities. </w:t>
            </w:r>
          </w:p>
          <w:p w14:paraId="5AC43E32">
            <w:pPr>
              <w:tabs>
                <w:tab w:val="left" w:pos="709"/>
              </w:tabs>
              <w:spacing w:before="100" w:beforeAutospacing="1" w:after="100" w:afterAutospacing="1" w:line="240" w:lineRule="auto"/>
              <w:jc w:val="both"/>
              <w:rPr>
                <w:kern w:val="2"/>
                <w14:ligatures w14:val="standardContextual"/>
              </w:rPr>
            </w:pPr>
            <w:r>
              <w:rPr>
                <w:kern w:val="2"/>
                <w14:ligatures w14:val="standardContextual"/>
              </w:rPr>
              <w:t>Constant surveillance from security to make sure that there are no “uninvited guests” in the project area</w:t>
            </w:r>
          </w:p>
        </w:tc>
        <w:tc>
          <w:tcPr>
            <w:tcW w:w="940" w:type="pct"/>
          </w:tcPr>
          <w:p w14:paraId="3592D8E9">
            <w:pPr>
              <w:tabs>
                <w:tab w:val="left" w:pos="709"/>
              </w:tabs>
              <w:spacing w:before="100" w:beforeAutospacing="1" w:after="100" w:afterAutospacing="1" w:line="240" w:lineRule="auto"/>
              <w:jc w:val="both"/>
              <w:rPr>
                <w:rFonts w:eastAsia="Times New Roman" w:cs="Times New Roman"/>
                <w:bCs/>
                <w:lang w:eastAsia="en-GB"/>
              </w:rPr>
            </w:pPr>
            <w:r>
              <w:rPr>
                <w:rFonts w:eastAsia="Times New Roman" w:cs="Times New Roman"/>
                <w:bCs/>
                <w:lang w:val="en-GB" w:eastAsia="en-GB"/>
              </w:rPr>
              <w:t xml:space="preserve">Number  of </w:t>
            </w:r>
            <w:r>
              <w:rPr>
                <w:rFonts w:eastAsia="Times New Roman" w:cs="Times New Roman"/>
                <w:bCs/>
                <w:lang w:eastAsia="en-GB"/>
              </w:rPr>
              <w:t>accidents recorded</w:t>
            </w:r>
          </w:p>
        </w:tc>
        <w:tc>
          <w:tcPr>
            <w:tcW w:w="673" w:type="pct"/>
          </w:tcPr>
          <w:p w14:paraId="5D9826D4">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WAJWASCO</w:t>
            </w:r>
          </w:p>
          <w:p w14:paraId="31167818">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Contactor</w:t>
            </w:r>
          </w:p>
          <w:p w14:paraId="460A0BD5">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Consultant</w:t>
            </w:r>
          </w:p>
        </w:tc>
        <w:tc>
          <w:tcPr>
            <w:tcW w:w="401" w:type="pct"/>
          </w:tcPr>
          <w:p w14:paraId="0A74BF6D">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Initial and Ongoing</w:t>
            </w:r>
          </w:p>
        </w:tc>
        <w:tc>
          <w:tcPr>
            <w:tcW w:w="412" w:type="pct"/>
          </w:tcPr>
          <w:p w14:paraId="3BE0724B">
            <w:pPr>
              <w:tabs>
                <w:tab w:val="left" w:pos="709"/>
              </w:tabs>
              <w:spacing w:before="100" w:beforeAutospacing="1" w:after="100" w:afterAutospacing="1" w:line="240" w:lineRule="auto"/>
              <w:jc w:val="both"/>
              <w:rPr>
                <w:rFonts w:eastAsia="Times New Roman" w:cs="Times New Roman"/>
                <w:bCs/>
                <w:lang w:val="en-GB" w:eastAsia="en-GB"/>
              </w:rPr>
            </w:pPr>
            <w:r>
              <w:rPr>
                <w:rFonts w:eastAsia="Times New Roman" w:cs="Times New Roman"/>
                <w:bCs/>
                <w:lang w:val="en-GB" w:eastAsia="en-GB"/>
              </w:rPr>
              <w:t>200,000.00</w:t>
            </w:r>
          </w:p>
        </w:tc>
      </w:tr>
    </w:tbl>
    <w:p w14:paraId="4486A102">
      <w:pPr>
        <w:tabs>
          <w:tab w:val="left" w:pos="709"/>
        </w:tabs>
        <w:spacing w:before="100" w:beforeAutospacing="1" w:after="100" w:afterAutospacing="1" w:line="240" w:lineRule="auto"/>
        <w:jc w:val="both"/>
        <w:rPr>
          <w:bCs/>
        </w:rPr>
        <w:sectPr>
          <w:headerReference r:id="rId31" w:type="default"/>
          <w:pgSz w:w="16838" w:h="11906" w:orient="landscape"/>
          <w:pgMar w:top="1440" w:right="1440" w:bottom="1440" w:left="1440" w:header="708" w:footer="708" w:gutter="0"/>
          <w:cols w:space="708" w:num="1"/>
          <w:docGrid w:linePitch="360" w:charSpace="0"/>
        </w:sectPr>
      </w:pPr>
    </w:p>
    <w:p w14:paraId="5F6530CD">
      <w:pPr>
        <w:pStyle w:val="4"/>
        <w:spacing w:before="100" w:beforeAutospacing="1" w:after="100" w:afterAutospacing="1"/>
      </w:pPr>
      <w:bookmarkStart w:id="534" w:name="_Toc170723039"/>
      <w:bookmarkStart w:id="535" w:name="_Toc179904106"/>
      <w:r>
        <w:t xml:space="preserve">9.4.3 </w:t>
      </w:r>
      <w:r>
        <w:tab/>
      </w:r>
      <w:r>
        <w:t>ESMMP for Operation Phase</w:t>
      </w:r>
      <w:bookmarkEnd w:id="534"/>
      <w:bookmarkEnd w:id="535"/>
      <w:r>
        <w:t xml:space="preserve"> </w:t>
      </w:r>
    </w:p>
    <w:tbl>
      <w:tblPr>
        <w:tblStyle w:val="12"/>
        <w:tblW w:w="5000" w:type="pct"/>
        <w:tblInd w:w="0" w:type="dxa"/>
        <w:tblLayout w:type="autofit"/>
        <w:tblCellMar>
          <w:top w:w="0" w:type="dxa"/>
          <w:left w:w="108" w:type="dxa"/>
          <w:bottom w:w="0" w:type="dxa"/>
          <w:right w:w="108" w:type="dxa"/>
        </w:tblCellMar>
      </w:tblPr>
      <w:tblGrid>
        <w:gridCol w:w="2157"/>
        <w:gridCol w:w="1004"/>
        <w:gridCol w:w="3606"/>
        <w:gridCol w:w="2500"/>
        <w:gridCol w:w="1724"/>
        <w:gridCol w:w="1593"/>
        <w:gridCol w:w="1590"/>
      </w:tblGrid>
      <w:tr w14:paraId="77C79C35">
        <w:tblPrEx>
          <w:tblCellMar>
            <w:top w:w="0" w:type="dxa"/>
            <w:left w:w="108" w:type="dxa"/>
            <w:bottom w:w="0" w:type="dxa"/>
            <w:right w:w="108" w:type="dxa"/>
          </w:tblCellMar>
        </w:tblPrEx>
        <w:trPr>
          <w:trHeight w:val="394" w:hRule="atLeast"/>
          <w:tblHeader/>
        </w:trPr>
        <w:tc>
          <w:tcPr>
            <w:tcW w:w="761" w:type="pct"/>
            <w:tcBorders>
              <w:top w:val="single" w:color="auto" w:sz="4" w:space="0"/>
              <w:left w:val="single" w:color="auto" w:sz="4" w:space="0"/>
              <w:bottom w:val="single" w:color="auto" w:sz="4" w:space="0"/>
              <w:right w:val="single" w:color="auto" w:sz="4" w:space="0"/>
            </w:tcBorders>
            <w:shd w:val="clear" w:color="auto" w:fill="5B9BD5" w:themeFill="accent1"/>
          </w:tcPr>
          <w:p w14:paraId="480E02D6">
            <w:pPr>
              <w:tabs>
                <w:tab w:val="left" w:pos="709"/>
              </w:tabs>
              <w:spacing w:after="0" w:line="240" w:lineRule="auto"/>
              <w:jc w:val="both"/>
              <w:rPr>
                <w:rFonts w:eastAsia="Times New Roman"/>
                <w:b/>
                <w:bCs/>
                <w:lang w:val="en-GB" w:eastAsia="en-GB"/>
              </w:rPr>
            </w:pPr>
            <w:r>
              <w:rPr>
                <w:rFonts w:eastAsia="Times New Roman"/>
                <w:b/>
                <w:bCs/>
                <w:lang w:val="en-GB" w:eastAsia="en-GB"/>
              </w:rPr>
              <w:t xml:space="preserve">Possible Impact, </w:t>
            </w:r>
          </w:p>
        </w:tc>
        <w:tc>
          <w:tcPr>
            <w:tcW w:w="354" w:type="pct"/>
            <w:tcBorders>
              <w:top w:val="single" w:color="auto" w:sz="4" w:space="0"/>
              <w:left w:val="single" w:color="auto" w:sz="4" w:space="0"/>
              <w:bottom w:val="single" w:color="auto" w:sz="4" w:space="0"/>
              <w:right w:val="single" w:color="auto" w:sz="4" w:space="0"/>
            </w:tcBorders>
            <w:shd w:val="clear" w:color="auto" w:fill="5B9BD5" w:themeFill="accent1"/>
          </w:tcPr>
          <w:p w14:paraId="5C8FA7D4">
            <w:pPr>
              <w:tabs>
                <w:tab w:val="left" w:pos="709"/>
              </w:tabs>
              <w:spacing w:after="0" w:line="240" w:lineRule="auto"/>
              <w:jc w:val="both"/>
              <w:rPr>
                <w:rFonts w:eastAsia="Times New Roman"/>
                <w:b/>
                <w:bCs/>
                <w:lang w:val="en-GB" w:eastAsia="en-GB"/>
              </w:rPr>
            </w:pPr>
            <w:r>
              <w:rPr>
                <w:rFonts w:eastAsia="Times New Roman"/>
                <w:b/>
                <w:bCs/>
                <w:lang w:val="en-GB" w:eastAsia="en-GB"/>
              </w:rPr>
              <w:t>Impact Rating Level</w:t>
            </w:r>
          </w:p>
        </w:tc>
        <w:tc>
          <w:tcPr>
            <w:tcW w:w="1272" w:type="pct"/>
            <w:tcBorders>
              <w:top w:val="single" w:color="auto" w:sz="4" w:space="0"/>
              <w:left w:val="single" w:color="auto" w:sz="4" w:space="0"/>
              <w:bottom w:val="single" w:color="auto" w:sz="4" w:space="0"/>
              <w:right w:val="single" w:color="auto" w:sz="4" w:space="0"/>
            </w:tcBorders>
            <w:shd w:val="clear" w:color="auto" w:fill="5B9BD5" w:themeFill="accent1"/>
          </w:tcPr>
          <w:p w14:paraId="0E2652ED">
            <w:pPr>
              <w:tabs>
                <w:tab w:val="left" w:pos="709"/>
              </w:tabs>
              <w:spacing w:after="0" w:line="240" w:lineRule="auto"/>
              <w:jc w:val="both"/>
              <w:rPr>
                <w:rFonts w:eastAsia="Times New Roman"/>
                <w:b/>
                <w:bCs/>
                <w:lang w:val="en-GB" w:eastAsia="en-GB"/>
              </w:rPr>
            </w:pPr>
            <w:r>
              <w:rPr>
                <w:rFonts w:eastAsia="Times New Roman"/>
                <w:b/>
                <w:bCs/>
                <w:lang w:val="en-GB" w:eastAsia="en-GB"/>
              </w:rPr>
              <w:t>Management Actions</w:t>
            </w:r>
          </w:p>
        </w:tc>
        <w:tc>
          <w:tcPr>
            <w:tcW w:w="882" w:type="pct"/>
            <w:tcBorders>
              <w:top w:val="single" w:color="auto" w:sz="4" w:space="0"/>
              <w:left w:val="single" w:color="auto" w:sz="4" w:space="0"/>
              <w:bottom w:val="single" w:color="auto" w:sz="4" w:space="0"/>
              <w:right w:val="single" w:color="auto" w:sz="4" w:space="0"/>
            </w:tcBorders>
            <w:shd w:val="clear" w:color="auto" w:fill="5B9BD5" w:themeFill="accent1"/>
          </w:tcPr>
          <w:p w14:paraId="6F47F894">
            <w:pPr>
              <w:tabs>
                <w:tab w:val="left" w:pos="709"/>
              </w:tabs>
              <w:spacing w:after="0" w:line="240" w:lineRule="auto"/>
              <w:jc w:val="both"/>
              <w:rPr>
                <w:rFonts w:eastAsia="Times New Roman"/>
                <w:b/>
                <w:bCs/>
                <w:lang w:val="en-GB" w:eastAsia="en-GB"/>
              </w:rPr>
            </w:pPr>
            <w:r>
              <w:rPr>
                <w:rFonts w:eastAsia="Times New Roman"/>
                <w:b/>
                <w:bCs/>
                <w:lang w:val="en-GB" w:eastAsia="en-GB"/>
              </w:rPr>
              <w:t>Monitoring Indicators</w:t>
            </w:r>
          </w:p>
        </w:tc>
        <w:tc>
          <w:tcPr>
            <w:tcW w:w="608" w:type="pct"/>
            <w:tcBorders>
              <w:top w:val="single" w:color="auto" w:sz="4" w:space="0"/>
              <w:left w:val="single" w:color="auto" w:sz="4" w:space="0"/>
              <w:bottom w:val="single" w:color="auto" w:sz="4" w:space="0"/>
              <w:right w:val="single" w:color="auto" w:sz="4" w:space="0"/>
            </w:tcBorders>
            <w:shd w:val="clear" w:color="auto" w:fill="5B9BD5" w:themeFill="accent1"/>
          </w:tcPr>
          <w:p w14:paraId="37184598">
            <w:pPr>
              <w:tabs>
                <w:tab w:val="left" w:pos="709"/>
              </w:tabs>
              <w:spacing w:after="0" w:line="240" w:lineRule="auto"/>
              <w:jc w:val="both"/>
              <w:rPr>
                <w:rFonts w:eastAsia="Times New Roman"/>
                <w:b/>
                <w:bCs/>
                <w:lang w:val="en-GB" w:eastAsia="en-GB"/>
              </w:rPr>
            </w:pPr>
            <w:r>
              <w:rPr>
                <w:rFonts w:eastAsia="Times New Roman"/>
                <w:b/>
                <w:bCs/>
                <w:lang w:val="en-GB" w:eastAsia="en-GB"/>
              </w:rPr>
              <w:t>Responsibilities</w:t>
            </w:r>
          </w:p>
        </w:tc>
        <w:tc>
          <w:tcPr>
            <w:tcW w:w="562" w:type="pct"/>
            <w:tcBorders>
              <w:top w:val="single" w:color="auto" w:sz="4" w:space="0"/>
              <w:left w:val="single" w:color="auto" w:sz="4" w:space="0"/>
              <w:bottom w:val="single" w:color="auto" w:sz="4" w:space="0"/>
              <w:right w:val="single" w:color="auto" w:sz="4" w:space="0"/>
            </w:tcBorders>
            <w:shd w:val="clear" w:color="auto" w:fill="5B9BD5" w:themeFill="accent1"/>
          </w:tcPr>
          <w:p w14:paraId="3932AD90">
            <w:pPr>
              <w:tabs>
                <w:tab w:val="left" w:pos="709"/>
              </w:tabs>
              <w:spacing w:after="0" w:line="240" w:lineRule="auto"/>
              <w:jc w:val="both"/>
              <w:rPr>
                <w:rFonts w:eastAsia="Times New Roman"/>
                <w:b/>
                <w:bCs/>
                <w:lang w:val="en-GB" w:eastAsia="en-GB"/>
              </w:rPr>
            </w:pPr>
            <w:r>
              <w:rPr>
                <w:rFonts w:eastAsia="Times New Roman"/>
                <w:b/>
                <w:bCs/>
                <w:lang w:val="en-GB" w:eastAsia="en-GB"/>
              </w:rPr>
              <w:t>Monitoring Frequency</w:t>
            </w:r>
          </w:p>
        </w:tc>
        <w:tc>
          <w:tcPr>
            <w:tcW w:w="561" w:type="pct"/>
            <w:tcBorders>
              <w:top w:val="single" w:color="auto" w:sz="4" w:space="0"/>
              <w:left w:val="single" w:color="auto" w:sz="4" w:space="0"/>
              <w:bottom w:val="single" w:color="auto" w:sz="4" w:space="0"/>
              <w:right w:val="single" w:color="auto" w:sz="4" w:space="0"/>
            </w:tcBorders>
            <w:shd w:val="clear" w:color="auto" w:fill="5B9BD5" w:themeFill="accent1"/>
          </w:tcPr>
          <w:p w14:paraId="683942E1">
            <w:pPr>
              <w:tabs>
                <w:tab w:val="left" w:pos="709"/>
              </w:tabs>
              <w:spacing w:after="0" w:line="240" w:lineRule="auto"/>
              <w:jc w:val="both"/>
              <w:rPr>
                <w:rFonts w:eastAsia="Times New Roman"/>
                <w:b/>
                <w:bCs/>
                <w:lang w:val="en-GB" w:eastAsia="en-GB"/>
              </w:rPr>
            </w:pPr>
            <w:r>
              <w:rPr>
                <w:b/>
                <w:bCs/>
              </w:rPr>
              <w:t>Estimated Budget</w:t>
            </w:r>
            <w:r>
              <w:rPr>
                <w:b/>
                <w:bCs/>
                <w:spacing w:val="-43"/>
              </w:rPr>
              <w:t xml:space="preserve"> </w:t>
            </w:r>
            <w:r>
              <w:rPr>
                <w:b/>
                <w:bCs/>
              </w:rPr>
              <w:t>(Kshs)</w:t>
            </w:r>
          </w:p>
        </w:tc>
      </w:tr>
      <w:tr w14:paraId="3300C02D">
        <w:tblPrEx>
          <w:tblCellMar>
            <w:top w:w="0" w:type="dxa"/>
            <w:left w:w="108" w:type="dxa"/>
            <w:bottom w:w="0" w:type="dxa"/>
            <w:right w:w="108" w:type="dxa"/>
          </w:tblCellMar>
        </w:tblPrEx>
        <w:trPr>
          <w:trHeight w:val="191" w:hRule="atLeast"/>
        </w:trPr>
        <w:tc>
          <w:tcPr>
            <w:tcW w:w="761" w:type="pct"/>
            <w:tcBorders>
              <w:top w:val="single" w:color="auto" w:sz="4" w:space="0"/>
              <w:left w:val="single" w:color="auto" w:sz="4" w:space="0"/>
              <w:bottom w:val="single" w:color="auto" w:sz="4" w:space="0"/>
              <w:right w:val="single" w:color="auto" w:sz="4" w:space="0"/>
            </w:tcBorders>
          </w:tcPr>
          <w:p w14:paraId="3FC0A1BA">
            <w:pPr>
              <w:tabs>
                <w:tab w:val="left" w:pos="709"/>
              </w:tabs>
              <w:spacing w:after="0" w:line="240" w:lineRule="auto"/>
              <w:jc w:val="both"/>
            </w:pPr>
            <w:r>
              <w:rPr>
                <w:kern w:val="2"/>
                <w14:ligatures w14:val="standardContextual"/>
              </w:rPr>
              <w:t xml:space="preserve">Gender-Based Violence and Sexual Exploitation and Abuse (SEA) and Sexual Harassment (SH) </w:t>
            </w:r>
          </w:p>
        </w:tc>
        <w:tc>
          <w:tcPr>
            <w:tcW w:w="354" w:type="pct"/>
            <w:tcBorders>
              <w:top w:val="single" w:color="auto" w:sz="4" w:space="0"/>
              <w:left w:val="single" w:color="auto" w:sz="4" w:space="0"/>
              <w:bottom w:val="single" w:color="auto" w:sz="4" w:space="0"/>
              <w:right w:val="single" w:color="auto" w:sz="4" w:space="0"/>
            </w:tcBorders>
          </w:tcPr>
          <w:p w14:paraId="5C093BCE">
            <w:pPr>
              <w:tabs>
                <w:tab w:val="left" w:pos="709"/>
              </w:tabs>
              <w:spacing w:after="0" w:line="240" w:lineRule="auto"/>
              <w:jc w:val="both"/>
              <w:rPr>
                <w:rFonts w:eastAsia="Times New Roman"/>
                <w:bCs/>
                <w:lang w:val="en-GB" w:eastAsia="en-GB"/>
              </w:rPr>
            </w:pPr>
            <w:r>
              <w:t>Medium high</w:t>
            </w:r>
          </w:p>
        </w:tc>
        <w:tc>
          <w:tcPr>
            <w:tcW w:w="1272" w:type="pct"/>
            <w:tcBorders>
              <w:top w:val="single" w:color="auto" w:sz="4" w:space="0"/>
              <w:left w:val="single" w:color="auto" w:sz="4" w:space="0"/>
              <w:bottom w:val="single" w:color="auto" w:sz="4" w:space="0"/>
              <w:right w:val="single" w:color="auto" w:sz="4" w:space="0"/>
            </w:tcBorders>
          </w:tcPr>
          <w:p w14:paraId="69482281">
            <w:pPr>
              <w:tabs>
                <w:tab w:val="left" w:pos="709"/>
              </w:tabs>
              <w:spacing w:after="0" w:line="240" w:lineRule="auto"/>
              <w:jc w:val="both"/>
              <w:rPr>
                <w:kern w:val="2"/>
                <w14:ligatures w14:val="standardContextual"/>
              </w:rPr>
            </w:pPr>
            <w:r>
              <w:rPr>
                <w:kern w:val="2"/>
                <w14:ligatures w14:val="standardContextual"/>
              </w:rPr>
              <w:t xml:space="preserve">Develop and implement a plan to manage the risk of SEA/SH. </w:t>
            </w:r>
          </w:p>
          <w:p w14:paraId="0F609272">
            <w:pPr>
              <w:tabs>
                <w:tab w:val="left" w:pos="709"/>
              </w:tabs>
              <w:spacing w:after="0" w:line="240" w:lineRule="auto"/>
              <w:jc w:val="both"/>
              <w:rPr>
                <w:kern w:val="2"/>
                <w14:ligatures w14:val="standardContextual"/>
              </w:rPr>
            </w:pPr>
            <w:r>
              <w:rPr>
                <w:kern w:val="2"/>
                <w14:ligatures w14:val="standardContextual"/>
              </w:rPr>
              <w:t>Map the GBV referral pathways and create awareness among women and men on the risk of SEA/SH.</w:t>
            </w:r>
          </w:p>
          <w:p w14:paraId="06DEE241">
            <w:pPr>
              <w:tabs>
                <w:tab w:val="left" w:pos="709"/>
              </w:tabs>
              <w:spacing w:after="0" w:line="240" w:lineRule="auto"/>
              <w:jc w:val="both"/>
              <w:rPr>
                <w:b/>
              </w:rPr>
            </w:pPr>
            <w:r>
              <w:rPr>
                <w:kern w:val="2"/>
                <w14:ligatures w14:val="standardContextual"/>
              </w:rPr>
              <w:t>Ensure the GRM is SEA/SH-responsive.</w:t>
            </w:r>
          </w:p>
        </w:tc>
        <w:tc>
          <w:tcPr>
            <w:tcW w:w="882" w:type="pct"/>
            <w:tcBorders>
              <w:top w:val="single" w:color="auto" w:sz="4" w:space="0"/>
              <w:left w:val="single" w:color="auto" w:sz="4" w:space="0"/>
              <w:bottom w:val="single" w:color="auto" w:sz="4" w:space="0"/>
              <w:right w:val="single" w:color="auto" w:sz="4" w:space="0"/>
            </w:tcBorders>
          </w:tcPr>
          <w:p w14:paraId="2F9A8BFD">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Number of GBV cases reported and solved.</w:t>
            </w:r>
          </w:p>
          <w:p w14:paraId="56F94179">
            <w:pPr>
              <w:tabs>
                <w:tab w:val="left" w:pos="709"/>
              </w:tabs>
              <w:spacing w:after="0" w:line="240" w:lineRule="auto"/>
              <w:jc w:val="both"/>
              <w:rPr>
                <w:rFonts w:eastAsia="Times New Roman"/>
                <w:bCs/>
                <w:lang w:val="en-GB" w:eastAsia="en-GB"/>
              </w:rPr>
            </w:pPr>
            <w:r>
              <w:rPr>
                <w:rFonts w:eastAsia="Times New Roman" w:cs="Times New Roman"/>
                <w:bCs/>
                <w:lang w:val="en-GB" w:eastAsia="en-GB"/>
              </w:rPr>
              <w:t>GBV Awareness trainings</w:t>
            </w:r>
          </w:p>
        </w:tc>
        <w:tc>
          <w:tcPr>
            <w:tcW w:w="608" w:type="pct"/>
            <w:tcBorders>
              <w:top w:val="single" w:color="auto" w:sz="4" w:space="0"/>
              <w:left w:val="single" w:color="auto" w:sz="4" w:space="0"/>
              <w:bottom w:val="single" w:color="auto" w:sz="4" w:space="0"/>
              <w:right w:val="single" w:color="auto" w:sz="4" w:space="0"/>
            </w:tcBorders>
          </w:tcPr>
          <w:p w14:paraId="3351B39F">
            <w:pPr>
              <w:tabs>
                <w:tab w:val="left" w:pos="709"/>
              </w:tabs>
              <w:spacing w:after="0" w:line="240" w:lineRule="auto"/>
              <w:jc w:val="both"/>
              <w:rPr>
                <w:rFonts w:eastAsia="Times New Roman"/>
                <w:bCs/>
                <w:lang w:eastAsia="en-GB"/>
              </w:rPr>
            </w:pPr>
            <w:r>
              <w:rPr>
                <w:rFonts w:eastAsia="Times New Roman"/>
                <w:bCs/>
                <w:lang w:val="en-GB" w:eastAsia="en-GB"/>
              </w:rPr>
              <w:t xml:space="preserve">County Government of Wajir; </w:t>
            </w:r>
            <w:r>
              <w:rPr>
                <w:rFonts w:eastAsia="Times New Roman" w:cs="Times New Roman"/>
                <w:bCs/>
                <w:lang w:val="en-GB" w:eastAsia="en-GB"/>
              </w:rPr>
              <w:t>Department of water and sanitation management</w:t>
            </w:r>
            <w:r>
              <w:rPr>
                <w:rFonts w:eastAsia="Times New Roman"/>
                <w:bCs/>
                <w:lang w:val="en-GB" w:eastAsia="en-GB"/>
              </w:rPr>
              <w:t xml:space="preserve">, </w:t>
            </w:r>
            <w:r>
              <w:rPr>
                <w:rFonts w:eastAsia="Times New Roman"/>
                <w:bCs/>
                <w:lang w:eastAsia="en-GB"/>
              </w:rPr>
              <w:t>WAJWASCO</w:t>
            </w:r>
          </w:p>
        </w:tc>
        <w:tc>
          <w:tcPr>
            <w:tcW w:w="562" w:type="pct"/>
            <w:tcBorders>
              <w:top w:val="single" w:color="auto" w:sz="4" w:space="0"/>
              <w:left w:val="single" w:color="auto" w:sz="4" w:space="0"/>
              <w:bottom w:val="single" w:color="auto" w:sz="4" w:space="0"/>
              <w:right w:val="single" w:color="auto" w:sz="4" w:space="0"/>
            </w:tcBorders>
          </w:tcPr>
          <w:p w14:paraId="6064AD7B">
            <w:pPr>
              <w:tabs>
                <w:tab w:val="left" w:pos="709"/>
              </w:tabs>
              <w:spacing w:after="0" w:line="240" w:lineRule="auto"/>
              <w:jc w:val="both"/>
              <w:rPr>
                <w:rFonts w:eastAsia="Times New Roman"/>
                <w:bCs/>
                <w:lang w:val="en-GB" w:eastAsia="en-GB"/>
              </w:rPr>
            </w:pPr>
            <w:r>
              <w:rPr>
                <w:rFonts w:eastAsia="Times New Roman"/>
                <w:bCs/>
                <w:lang w:val="en-GB" w:eastAsia="en-GB"/>
              </w:rPr>
              <w:t>Throughout Project</w:t>
            </w:r>
          </w:p>
        </w:tc>
        <w:tc>
          <w:tcPr>
            <w:tcW w:w="561" w:type="pct"/>
            <w:tcBorders>
              <w:top w:val="single" w:color="auto" w:sz="4" w:space="0"/>
              <w:left w:val="single" w:color="auto" w:sz="4" w:space="0"/>
              <w:bottom w:val="single" w:color="auto" w:sz="4" w:space="0"/>
              <w:right w:val="single" w:color="auto" w:sz="4" w:space="0"/>
            </w:tcBorders>
          </w:tcPr>
          <w:p w14:paraId="116035E8">
            <w:pPr>
              <w:tabs>
                <w:tab w:val="left" w:pos="709"/>
              </w:tabs>
              <w:spacing w:after="0" w:line="240" w:lineRule="auto"/>
              <w:jc w:val="both"/>
              <w:rPr>
                <w:rFonts w:eastAsia="Times New Roman"/>
                <w:bCs/>
                <w:lang w:val="en-GB" w:eastAsia="en-GB"/>
              </w:rPr>
            </w:pPr>
            <w:r>
              <w:rPr>
                <w:rFonts w:eastAsia="Times New Roman"/>
                <w:bCs/>
                <w:lang w:val="en-GB" w:eastAsia="en-GB"/>
              </w:rPr>
              <w:t>No additional cost</w:t>
            </w:r>
          </w:p>
        </w:tc>
      </w:tr>
      <w:tr w14:paraId="35418B9A">
        <w:tblPrEx>
          <w:tblCellMar>
            <w:top w:w="0" w:type="dxa"/>
            <w:left w:w="108" w:type="dxa"/>
            <w:bottom w:w="0" w:type="dxa"/>
            <w:right w:w="108" w:type="dxa"/>
          </w:tblCellMar>
        </w:tblPrEx>
        <w:trPr>
          <w:trHeight w:val="100" w:hRule="atLeast"/>
        </w:trPr>
        <w:tc>
          <w:tcPr>
            <w:tcW w:w="761" w:type="pct"/>
            <w:tcBorders>
              <w:top w:val="single" w:color="auto" w:sz="4" w:space="0"/>
              <w:left w:val="single" w:color="auto" w:sz="4" w:space="0"/>
              <w:bottom w:val="single" w:color="auto" w:sz="4" w:space="0"/>
              <w:right w:val="single" w:color="auto" w:sz="4" w:space="0"/>
            </w:tcBorders>
          </w:tcPr>
          <w:p w14:paraId="3ED94F58">
            <w:pPr>
              <w:tabs>
                <w:tab w:val="left" w:pos="709"/>
              </w:tabs>
              <w:spacing w:after="0" w:line="240" w:lineRule="auto"/>
              <w:jc w:val="both"/>
            </w:pPr>
            <w:r>
              <w:rPr>
                <w:kern w:val="2"/>
                <w14:ligatures w14:val="standardContextual"/>
              </w:rPr>
              <w:t>Water Pollution/Contamination</w:t>
            </w:r>
          </w:p>
        </w:tc>
        <w:tc>
          <w:tcPr>
            <w:tcW w:w="354" w:type="pct"/>
            <w:tcBorders>
              <w:top w:val="single" w:color="auto" w:sz="4" w:space="0"/>
              <w:left w:val="single" w:color="auto" w:sz="4" w:space="0"/>
              <w:bottom w:val="single" w:color="auto" w:sz="4" w:space="0"/>
              <w:right w:val="single" w:color="auto" w:sz="4" w:space="0"/>
            </w:tcBorders>
          </w:tcPr>
          <w:p w14:paraId="31C5CA5F">
            <w:pPr>
              <w:tabs>
                <w:tab w:val="left" w:pos="709"/>
              </w:tabs>
              <w:spacing w:after="0" w:line="240" w:lineRule="auto"/>
              <w:jc w:val="both"/>
              <w:rPr>
                <w:rFonts w:eastAsia="Times New Roman"/>
                <w:bCs/>
                <w:lang w:eastAsia="en-GB"/>
              </w:rPr>
            </w:pPr>
            <w:r>
              <w:rPr>
                <w:rFonts w:eastAsia="Times New Roman"/>
                <w:bCs/>
                <w:lang w:eastAsia="en-GB"/>
              </w:rPr>
              <w:t>Very High</w:t>
            </w:r>
          </w:p>
        </w:tc>
        <w:tc>
          <w:tcPr>
            <w:tcW w:w="1272" w:type="pct"/>
            <w:tcBorders>
              <w:top w:val="single" w:color="auto" w:sz="4" w:space="0"/>
              <w:left w:val="single" w:color="auto" w:sz="4" w:space="0"/>
              <w:bottom w:val="single" w:color="auto" w:sz="4" w:space="0"/>
              <w:right w:val="single" w:color="auto" w:sz="4" w:space="0"/>
            </w:tcBorders>
          </w:tcPr>
          <w:p w14:paraId="740FBF33">
            <w:pPr>
              <w:tabs>
                <w:tab w:val="left" w:pos="709"/>
              </w:tabs>
              <w:spacing w:after="0" w:line="240" w:lineRule="auto"/>
              <w:jc w:val="both"/>
              <w:rPr>
                <w:kern w:val="2"/>
                <w14:ligatures w14:val="standardContextual"/>
              </w:rPr>
            </w:pPr>
            <w:r>
              <w:rPr>
                <w:kern w:val="2"/>
                <w14:ligatures w14:val="standardContextual"/>
              </w:rPr>
              <w:t>Use impermeable liners in ponds or lagoons to prevent leachate from seeping into the soil and groundwater.</w:t>
            </w:r>
          </w:p>
          <w:p w14:paraId="1B26F17B">
            <w:pPr>
              <w:tabs>
                <w:tab w:val="left" w:pos="709"/>
              </w:tabs>
              <w:spacing w:after="0" w:line="240" w:lineRule="auto"/>
              <w:jc w:val="both"/>
              <w:rPr>
                <w:kern w:val="2"/>
                <w14:ligatures w14:val="standardContextual"/>
              </w:rPr>
            </w:pPr>
            <w:r>
              <w:rPr>
                <w:kern w:val="2"/>
                <w14:ligatures w14:val="standardContextual"/>
              </w:rPr>
              <w:t>Implement a system to collect and treat leachate before it is discharged.</w:t>
            </w:r>
          </w:p>
          <w:p w14:paraId="400AA92A">
            <w:pPr>
              <w:tabs>
                <w:tab w:val="left" w:pos="709"/>
              </w:tabs>
              <w:spacing w:after="0" w:line="240" w:lineRule="auto"/>
              <w:jc w:val="both"/>
              <w:rPr>
                <w:kern w:val="2"/>
                <w14:ligatures w14:val="standardContextual"/>
              </w:rPr>
            </w:pPr>
            <w:r>
              <w:rPr>
                <w:kern w:val="2"/>
                <w14:ligatures w14:val="standardContextual"/>
              </w:rPr>
              <w:t>Include sedimentation tanks to remove solids from the effluent before further treatment.</w:t>
            </w:r>
          </w:p>
          <w:p w14:paraId="740893E9">
            <w:pPr>
              <w:tabs>
                <w:tab w:val="left" w:pos="709"/>
              </w:tabs>
              <w:spacing w:after="0" w:line="240" w:lineRule="auto"/>
              <w:jc w:val="both"/>
              <w:rPr>
                <w:kern w:val="2"/>
                <w14:ligatures w14:val="standardContextual"/>
              </w:rPr>
            </w:pPr>
            <w:r>
              <w:rPr>
                <w:kern w:val="2"/>
                <w14:ligatures w14:val="standardContextual"/>
              </w:rPr>
              <w:t>Use wetlands to naturally treat effluent, utilizing plants to absorb and break down contaminants.</w:t>
            </w:r>
          </w:p>
          <w:p w14:paraId="081F41D1">
            <w:pPr>
              <w:tabs>
                <w:tab w:val="left" w:pos="709"/>
              </w:tabs>
              <w:spacing w:after="0" w:line="240" w:lineRule="auto"/>
              <w:jc w:val="both"/>
              <w:rPr>
                <w:kern w:val="2"/>
                <w14:ligatures w14:val="standardContextual"/>
              </w:rPr>
            </w:pPr>
            <w:r>
              <w:rPr>
                <w:kern w:val="2"/>
                <w14:ligatures w14:val="standardContextual"/>
              </w:rPr>
              <w:t>Chlorination or UV treatment shall be used to disinfect the treated effluent before discharge.</w:t>
            </w:r>
          </w:p>
          <w:p w14:paraId="322C9F41">
            <w:pPr>
              <w:tabs>
                <w:tab w:val="left" w:pos="709"/>
              </w:tabs>
              <w:spacing w:after="0" w:line="240" w:lineRule="auto"/>
              <w:jc w:val="both"/>
              <w:rPr>
                <w:kern w:val="2"/>
                <w14:ligatures w14:val="standardContextual"/>
              </w:rPr>
            </w:pPr>
            <w:r>
              <w:rPr>
                <w:kern w:val="2"/>
                <w14:ligatures w14:val="standardContextual"/>
              </w:rPr>
              <w:t>Regularly test nearby water sources to monitor for potential contamination.</w:t>
            </w:r>
          </w:p>
          <w:p w14:paraId="74E66085">
            <w:pPr>
              <w:tabs>
                <w:tab w:val="left" w:pos="709"/>
              </w:tabs>
              <w:spacing w:after="0" w:line="240" w:lineRule="auto"/>
              <w:jc w:val="both"/>
              <w:rPr>
                <w:kern w:val="2"/>
                <w14:ligatures w14:val="standardContextual"/>
              </w:rPr>
            </w:pPr>
            <w:r>
              <w:rPr>
                <w:kern w:val="2"/>
                <w14:ligatures w14:val="standardContextual"/>
              </w:rPr>
              <w:t>Ensure the treated effluent meets environmental standards before discharge.</w:t>
            </w:r>
          </w:p>
          <w:p w14:paraId="4511BB56">
            <w:pPr>
              <w:tabs>
                <w:tab w:val="left" w:pos="709"/>
              </w:tabs>
              <w:spacing w:after="0" w:line="240" w:lineRule="auto"/>
              <w:jc w:val="both"/>
              <w:rPr>
                <w:kern w:val="2"/>
                <w14:ligatures w14:val="standardContextual"/>
              </w:rPr>
            </w:pPr>
            <w:r>
              <w:rPr>
                <w:kern w:val="2"/>
                <w14:ligatures w14:val="standardContextual"/>
              </w:rPr>
              <w:t>Establish vegetation buffers around the plant to absorb and filter runoff.</w:t>
            </w:r>
          </w:p>
          <w:p w14:paraId="544CB72B">
            <w:pPr>
              <w:tabs>
                <w:tab w:val="left" w:pos="709"/>
              </w:tabs>
              <w:spacing w:after="0" w:line="240" w:lineRule="auto"/>
              <w:jc w:val="both"/>
              <w:rPr>
                <w:kern w:val="2"/>
                <w14:ligatures w14:val="standardContextual"/>
              </w:rPr>
            </w:pPr>
            <w:r>
              <w:rPr>
                <w:kern w:val="2"/>
                <w14:ligatures w14:val="standardContextual"/>
              </w:rPr>
              <w:t>Store sludge in covered facilities to prevent contamination from rainwater and minimize leachate.</w:t>
            </w:r>
          </w:p>
          <w:p w14:paraId="1E1BE02A">
            <w:pPr>
              <w:tabs>
                <w:tab w:val="left" w:pos="709"/>
              </w:tabs>
              <w:spacing w:after="0" w:line="240" w:lineRule="auto"/>
              <w:jc w:val="both"/>
              <w:rPr>
                <w:kern w:val="2"/>
                <w14:ligatures w14:val="standardContextual"/>
              </w:rPr>
            </w:pPr>
            <w:r>
              <w:rPr>
                <w:kern w:val="2"/>
                <w14:ligatures w14:val="standardContextual"/>
              </w:rPr>
              <w:t>Use lined drying beds with proper drainage to reduce the volume of sludge and safely manage any runoff.</w:t>
            </w:r>
          </w:p>
          <w:p w14:paraId="2E73622F">
            <w:pPr>
              <w:tabs>
                <w:tab w:val="left" w:pos="709"/>
              </w:tabs>
              <w:spacing w:after="0" w:line="240" w:lineRule="auto"/>
              <w:jc w:val="both"/>
              <w:rPr>
                <w:kern w:val="2"/>
                <w14:ligatures w14:val="standardContextual"/>
              </w:rPr>
            </w:pPr>
            <w:r>
              <w:rPr>
                <w:kern w:val="2"/>
                <w14:ligatures w14:val="standardContextual"/>
              </w:rPr>
              <w:t>Educate the community about the importance of the plant and how it operates to prevent accidental contamination.</w:t>
            </w:r>
          </w:p>
          <w:p w14:paraId="1B8A5E06">
            <w:pPr>
              <w:tabs>
                <w:tab w:val="left" w:pos="709"/>
              </w:tabs>
              <w:spacing w:after="0" w:line="240" w:lineRule="auto"/>
              <w:jc w:val="both"/>
              <w:rPr>
                <w:kern w:val="2"/>
                <w14:ligatures w14:val="standardContextual"/>
              </w:rPr>
            </w:pPr>
            <w:r>
              <w:rPr>
                <w:kern w:val="2"/>
                <w14:ligatures w14:val="standardContextual"/>
              </w:rPr>
              <w:t>Develop and communicate emergency response plans for potential spills or leaks.</w:t>
            </w:r>
          </w:p>
          <w:p w14:paraId="2645C175">
            <w:pPr>
              <w:tabs>
                <w:tab w:val="left" w:pos="709"/>
              </w:tabs>
              <w:spacing w:after="0" w:line="240" w:lineRule="auto"/>
              <w:jc w:val="both"/>
              <w:rPr>
                <w:kern w:val="2"/>
                <w14:ligatures w14:val="standardContextual"/>
              </w:rPr>
            </w:pPr>
            <w:r>
              <w:rPr>
                <w:kern w:val="2"/>
                <w14:ligatures w14:val="standardContextual"/>
              </w:rPr>
              <w:t>Construct the plant on a concrete or similarly impermeable base to prevent leachate infiltration.</w:t>
            </w:r>
          </w:p>
          <w:p w14:paraId="5D1B5E99">
            <w:pPr>
              <w:tabs>
                <w:tab w:val="left" w:pos="709"/>
              </w:tabs>
              <w:spacing w:after="0" w:line="240" w:lineRule="auto"/>
              <w:jc w:val="both"/>
              <w:rPr>
                <w:kern w:val="2"/>
                <w14:ligatures w14:val="standardContextual"/>
              </w:rPr>
            </w:pPr>
            <w:r>
              <w:rPr>
                <w:kern w:val="2"/>
                <w14:ligatures w14:val="standardContextual"/>
              </w:rPr>
              <w:t>Install groundwater monitoring wells around the plant to detect any potential contamination early.</w:t>
            </w:r>
          </w:p>
          <w:p w14:paraId="7E08FD27">
            <w:pPr>
              <w:tabs>
                <w:tab w:val="left" w:pos="709"/>
              </w:tabs>
              <w:spacing w:after="0" w:line="240" w:lineRule="auto"/>
              <w:jc w:val="both"/>
              <w:rPr>
                <w:kern w:val="2"/>
                <w14:ligatures w14:val="standardContextual"/>
              </w:rPr>
            </w:pPr>
            <w:r>
              <w:rPr>
                <w:kern w:val="2"/>
                <w14:ligatures w14:val="standardContextual"/>
              </w:rPr>
              <w:t>Regular maintenance of all equipment and infrastructure to prevent leaks and overflows.</w:t>
            </w:r>
          </w:p>
          <w:p w14:paraId="3C1312B5">
            <w:pPr>
              <w:tabs>
                <w:tab w:val="left" w:pos="709"/>
              </w:tabs>
              <w:spacing w:after="0" w:line="240" w:lineRule="auto"/>
              <w:jc w:val="both"/>
              <w:rPr>
                <w:b/>
              </w:rPr>
            </w:pPr>
            <w:r>
              <w:rPr>
                <w:kern w:val="2"/>
                <w14:ligatures w14:val="standardContextual"/>
              </w:rPr>
              <w:t>Train staff on best practices for operation and emergency procedures.</w:t>
            </w:r>
          </w:p>
        </w:tc>
        <w:tc>
          <w:tcPr>
            <w:tcW w:w="882" w:type="pct"/>
            <w:tcBorders>
              <w:top w:val="single" w:color="auto" w:sz="4" w:space="0"/>
              <w:left w:val="single" w:color="auto" w:sz="4" w:space="0"/>
              <w:bottom w:val="single" w:color="auto" w:sz="4" w:space="0"/>
              <w:right w:val="single" w:color="auto" w:sz="4" w:space="0"/>
            </w:tcBorders>
          </w:tcPr>
          <w:p w14:paraId="42C1847E">
            <w:pPr>
              <w:tabs>
                <w:tab w:val="left" w:pos="709"/>
              </w:tabs>
              <w:spacing w:after="0" w:line="240" w:lineRule="auto"/>
              <w:jc w:val="both"/>
              <w:rPr>
                <w:rFonts w:eastAsia="Times New Roman"/>
                <w:bCs/>
                <w:lang w:eastAsia="en-GB"/>
              </w:rPr>
            </w:pPr>
            <w:r>
              <w:rPr>
                <w:rFonts w:eastAsia="Times New Roman"/>
                <w:bCs/>
                <w:lang w:eastAsia="en-GB"/>
              </w:rPr>
              <w:t>Water quality standards and tests</w:t>
            </w:r>
          </w:p>
        </w:tc>
        <w:tc>
          <w:tcPr>
            <w:tcW w:w="608" w:type="pct"/>
            <w:tcBorders>
              <w:top w:val="single" w:color="auto" w:sz="4" w:space="0"/>
              <w:left w:val="single" w:color="auto" w:sz="4" w:space="0"/>
              <w:bottom w:val="single" w:color="auto" w:sz="4" w:space="0"/>
              <w:right w:val="single" w:color="auto" w:sz="4" w:space="0"/>
            </w:tcBorders>
          </w:tcPr>
          <w:p w14:paraId="1504AE57">
            <w:pPr>
              <w:tabs>
                <w:tab w:val="left" w:pos="709"/>
              </w:tabs>
              <w:spacing w:after="0" w:line="240" w:lineRule="auto"/>
              <w:jc w:val="both"/>
              <w:rPr>
                <w:rFonts w:eastAsia="Times New Roman"/>
                <w:bCs/>
                <w:lang w:eastAsia="en-GB"/>
              </w:rPr>
            </w:pPr>
            <w:r>
              <w:rPr>
                <w:rFonts w:eastAsia="Times New Roman"/>
                <w:bCs/>
                <w:lang w:eastAsia="en-GB"/>
              </w:rPr>
              <w:t xml:space="preserve">Local administration </w:t>
            </w:r>
          </w:p>
          <w:p w14:paraId="6FA10DE7">
            <w:pPr>
              <w:tabs>
                <w:tab w:val="left" w:pos="709"/>
              </w:tabs>
              <w:spacing w:after="0" w:line="240" w:lineRule="auto"/>
              <w:jc w:val="both"/>
              <w:rPr>
                <w:rFonts w:eastAsia="Times New Roman"/>
                <w:bCs/>
                <w:lang w:eastAsia="en-GB"/>
              </w:rPr>
            </w:pPr>
            <w:r>
              <w:rPr>
                <w:rFonts w:eastAsia="Times New Roman"/>
                <w:bCs/>
                <w:lang w:eastAsia="en-GB"/>
              </w:rPr>
              <w:t>WAJWASCO</w:t>
            </w:r>
          </w:p>
        </w:tc>
        <w:tc>
          <w:tcPr>
            <w:tcW w:w="562" w:type="pct"/>
            <w:tcBorders>
              <w:top w:val="single" w:color="auto" w:sz="4" w:space="0"/>
              <w:left w:val="single" w:color="auto" w:sz="4" w:space="0"/>
              <w:bottom w:val="single" w:color="auto" w:sz="4" w:space="0"/>
              <w:right w:val="single" w:color="auto" w:sz="4" w:space="0"/>
            </w:tcBorders>
          </w:tcPr>
          <w:p w14:paraId="109F5001">
            <w:pPr>
              <w:tabs>
                <w:tab w:val="left" w:pos="709"/>
              </w:tabs>
              <w:spacing w:after="0" w:line="240" w:lineRule="auto"/>
              <w:jc w:val="both"/>
              <w:rPr>
                <w:rFonts w:eastAsia="Times New Roman"/>
                <w:bCs/>
                <w:lang w:val="en-GB" w:eastAsia="en-GB"/>
              </w:rPr>
            </w:pPr>
            <w:r>
              <w:rPr>
                <w:rFonts w:eastAsia="Times New Roman"/>
                <w:bCs/>
                <w:lang w:val="en-GB" w:eastAsia="en-GB"/>
              </w:rPr>
              <w:t>Ongoing</w:t>
            </w:r>
          </w:p>
        </w:tc>
        <w:tc>
          <w:tcPr>
            <w:tcW w:w="561" w:type="pct"/>
            <w:tcBorders>
              <w:top w:val="single" w:color="auto" w:sz="4" w:space="0"/>
              <w:left w:val="single" w:color="auto" w:sz="4" w:space="0"/>
              <w:bottom w:val="single" w:color="auto" w:sz="4" w:space="0"/>
              <w:right w:val="single" w:color="auto" w:sz="4" w:space="0"/>
            </w:tcBorders>
          </w:tcPr>
          <w:p w14:paraId="4ACCFE38">
            <w:pPr>
              <w:tabs>
                <w:tab w:val="left" w:pos="709"/>
              </w:tabs>
              <w:spacing w:after="0" w:line="240" w:lineRule="auto"/>
              <w:jc w:val="both"/>
              <w:rPr>
                <w:rFonts w:eastAsia="Times New Roman"/>
                <w:bCs/>
                <w:lang w:val="en-GB" w:eastAsia="en-GB"/>
              </w:rPr>
            </w:pPr>
            <w:r>
              <w:rPr>
                <w:rFonts w:eastAsia="Times New Roman"/>
                <w:bCs/>
                <w:lang w:val="en-GB" w:eastAsia="en-GB"/>
              </w:rPr>
              <w:t>No additional cost</w:t>
            </w:r>
          </w:p>
        </w:tc>
      </w:tr>
      <w:tr w14:paraId="18BA6996">
        <w:tblPrEx>
          <w:tblCellMar>
            <w:top w:w="0" w:type="dxa"/>
            <w:left w:w="108" w:type="dxa"/>
            <w:bottom w:w="0" w:type="dxa"/>
            <w:right w:w="108" w:type="dxa"/>
          </w:tblCellMar>
        </w:tblPrEx>
        <w:trPr>
          <w:trHeight w:val="660" w:hRule="atLeast"/>
        </w:trPr>
        <w:tc>
          <w:tcPr>
            <w:tcW w:w="761" w:type="pct"/>
            <w:tcBorders>
              <w:top w:val="single" w:color="auto" w:sz="4" w:space="0"/>
              <w:left w:val="single" w:color="auto" w:sz="4" w:space="0"/>
              <w:bottom w:val="single" w:color="auto" w:sz="4" w:space="0"/>
              <w:right w:val="single" w:color="auto" w:sz="4" w:space="0"/>
            </w:tcBorders>
          </w:tcPr>
          <w:p w14:paraId="3427FBF4">
            <w:pPr>
              <w:tabs>
                <w:tab w:val="left" w:pos="709"/>
              </w:tabs>
              <w:spacing w:after="0" w:line="240" w:lineRule="auto"/>
              <w:jc w:val="both"/>
              <w:rPr>
                <w:kern w:val="2"/>
                <w14:ligatures w14:val="standardContextual"/>
              </w:rPr>
            </w:pPr>
            <w:r>
              <w:rPr>
                <w:kern w:val="2"/>
                <w14:ligatures w14:val="standardContextual"/>
              </w:rPr>
              <w:t>Inadequate stakeholder Engagement and Exclusion of disadvantaged and vulnerable groups</w:t>
            </w:r>
          </w:p>
        </w:tc>
        <w:tc>
          <w:tcPr>
            <w:tcW w:w="354" w:type="pct"/>
            <w:tcBorders>
              <w:top w:val="single" w:color="auto" w:sz="4" w:space="0"/>
              <w:left w:val="single" w:color="auto" w:sz="4" w:space="0"/>
              <w:bottom w:val="single" w:color="auto" w:sz="4" w:space="0"/>
              <w:right w:val="single" w:color="auto" w:sz="4" w:space="0"/>
            </w:tcBorders>
          </w:tcPr>
          <w:p w14:paraId="7CF98C97">
            <w:pPr>
              <w:tabs>
                <w:tab w:val="left" w:pos="709"/>
              </w:tabs>
              <w:spacing w:after="0" w:line="240" w:lineRule="auto"/>
              <w:jc w:val="both"/>
              <w:rPr>
                <w:rFonts w:eastAsia="Times New Roman"/>
                <w:bCs/>
                <w:lang w:val="en-GB" w:eastAsia="en-GB"/>
              </w:rPr>
            </w:pPr>
            <w:r>
              <w:t>Medium high</w:t>
            </w:r>
          </w:p>
        </w:tc>
        <w:tc>
          <w:tcPr>
            <w:tcW w:w="1272" w:type="pct"/>
            <w:tcBorders>
              <w:top w:val="single" w:color="auto" w:sz="4" w:space="0"/>
              <w:left w:val="nil"/>
              <w:bottom w:val="single" w:color="auto" w:sz="4" w:space="0"/>
              <w:right w:val="single" w:color="auto" w:sz="4" w:space="0"/>
            </w:tcBorders>
          </w:tcPr>
          <w:p w14:paraId="0C936B9A">
            <w:pPr>
              <w:tabs>
                <w:tab w:val="left" w:pos="709"/>
              </w:tabs>
              <w:spacing w:after="0" w:line="240" w:lineRule="auto"/>
              <w:jc w:val="both"/>
              <w:rPr>
                <w:kern w:val="2"/>
                <w14:ligatures w14:val="standardContextual"/>
              </w:rPr>
            </w:pPr>
            <w:r>
              <w:rPr>
                <w:kern w:val="2"/>
                <w14:ligatures w14:val="standardContextual"/>
              </w:rPr>
              <w:t>Share project information widely and in a timely manner through diverse, feasible and accessible channels of communication e.g., public forums.</w:t>
            </w:r>
          </w:p>
          <w:p w14:paraId="0E93B868">
            <w:pPr>
              <w:tabs>
                <w:tab w:val="left" w:pos="709"/>
              </w:tabs>
              <w:spacing w:after="0" w:line="240" w:lineRule="auto"/>
              <w:jc w:val="both"/>
              <w:rPr>
                <w:kern w:val="2"/>
                <w14:ligatures w14:val="standardContextual"/>
              </w:rPr>
            </w:pPr>
            <w:r>
              <w:rPr>
                <w:kern w:val="2"/>
                <w14:ligatures w14:val="standardContextual"/>
              </w:rPr>
              <w:t>Introduce measures for affirmative action that would ensure especially persons with disability, the elderly and women have access to job opportunities.</w:t>
            </w:r>
          </w:p>
          <w:p w14:paraId="54162FDE">
            <w:pPr>
              <w:tabs>
                <w:tab w:val="left" w:pos="709"/>
              </w:tabs>
              <w:spacing w:after="0" w:line="240" w:lineRule="auto"/>
              <w:jc w:val="both"/>
              <w:rPr>
                <w:kern w:val="2"/>
                <w14:ligatures w14:val="standardContextual"/>
              </w:rPr>
            </w:pPr>
            <w:r>
              <w:rPr>
                <w:kern w:val="2"/>
                <w14:ligatures w14:val="standardContextual"/>
              </w:rPr>
              <w:t>Undertake recruitment transparently, while ensuring the inclusion of disadvantaged groups.</w:t>
            </w:r>
          </w:p>
          <w:p w14:paraId="7237396D">
            <w:pPr>
              <w:tabs>
                <w:tab w:val="left" w:pos="709"/>
              </w:tabs>
              <w:spacing w:after="0" w:line="240" w:lineRule="auto"/>
              <w:jc w:val="both"/>
              <w:rPr>
                <w:kern w:val="2"/>
                <w14:ligatures w14:val="standardContextual"/>
              </w:rPr>
            </w:pPr>
            <w:r>
              <w:rPr>
                <w:kern w:val="2"/>
                <w14:ligatures w14:val="standardContextual"/>
              </w:rPr>
              <w:t>Develop and implementation of a stakeholder engagement plan.</w:t>
            </w:r>
          </w:p>
          <w:p w14:paraId="4BA30C60">
            <w:pPr>
              <w:tabs>
                <w:tab w:val="left" w:pos="709"/>
              </w:tabs>
              <w:spacing w:after="0" w:line="240" w:lineRule="auto"/>
              <w:jc w:val="both"/>
              <w:rPr>
                <w:rFonts w:eastAsia="Times New Roman"/>
                <w:bCs/>
                <w:lang w:val="en-GB" w:eastAsia="en-GB"/>
              </w:rPr>
            </w:pPr>
            <w:r>
              <w:rPr>
                <w:kern w:val="2"/>
                <w14:ligatures w14:val="standardContextual"/>
              </w:rPr>
              <w:t>Engage stakeholders throughout the project phase as guided by the approved stakeholder engagement plan.</w:t>
            </w:r>
          </w:p>
        </w:tc>
        <w:tc>
          <w:tcPr>
            <w:tcW w:w="882" w:type="pct"/>
            <w:tcBorders>
              <w:top w:val="single" w:color="auto" w:sz="4" w:space="0"/>
              <w:left w:val="nil"/>
              <w:bottom w:val="single" w:color="auto" w:sz="4" w:space="0"/>
              <w:right w:val="single" w:color="auto" w:sz="4" w:space="0"/>
            </w:tcBorders>
          </w:tcPr>
          <w:p w14:paraId="491E896E">
            <w:pPr>
              <w:tabs>
                <w:tab w:val="left" w:pos="709"/>
              </w:tabs>
              <w:spacing w:after="0" w:line="240" w:lineRule="auto"/>
              <w:jc w:val="both"/>
              <w:rPr>
                <w:rFonts w:eastAsia="Times New Roman"/>
                <w:bCs/>
                <w:lang w:eastAsia="en-GB"/>
              </w:rPr>
            </w:pPr>
            <w:r>
              <w:rPr>
                <w:rFonts w:eastAsia="Times New Roman" w:cs="Times New Roman"/>
                <w:bCs/>
                <w:lang w:val="en-GB" w:eastAsia="en-GB"/>
              </w:rPr>
              <w:t>Number of stakeholders involved and proof of their support.</w:t>
            </w:r>
          </w:p>
        </w:tc>
        <w:tc>
          <w:tcPr>
            <w:tcW w:w="608" w:type="pct"/>
            <w:tcBorders>
              <w:top w:val="single" w:color="auto" w:sz="4" w:space="0"/>
              <w:left w:val="single" w:color="auto" w:sz="4" w:space="0"/>
              <w:bottom w:val="single" w:color="auto" w:sz="4" w:space="0"/>
              <w:right w:val="single" w:color="auto" w:sz="4" w:space="0"/>
            </w:tcBorders>
          </w:tcPr>
          <w:p w14:paraId="338B1089">
            <w:pPr>
              <w:tabs>
                <w:tab w:val="left" w:pos="709"/>
              </w:tabs>
              <w:spacing w:after="0" w:line="240" w:lineRule="auto"/>
              <w:jc w:val="both"/>
              <w:rPr>
                <w:rFonts w:eastAsia="Times New Roman"/>
                <w:bCs/>
                <w:lang w:eastAsia="en-GB"/>
              </w:rPr>
            </w:pPr>
            <w:r>
              <w:rPr>
                <w:rFonts w:eastAsia="Times New Roman"/>
                <w:bCs/>
                <w:lang w:eastAsia="en-GB"/>
              </w:rPr>
              <w:t xml:space="preserve">Local administration </w:t>
            </w:r>
          </w:p>
          <w:p w14:paraId="79062DDC">
            <w:pPr>
              <w:tabs>
                <w:tab w:val="left" w:pos="709"/>
              </w:tabs>
              <w:spacing w:after="0" w:line="240" w:lineRule="auto"/>
              <w:jc w:val="both"/>
              <w:rPr>
                <w:rFonts w:eastAsia="Times New Roman"/>
                <w:bCs/>
                <w:lang w:val="en-GB" w:eastAsia="en-GB"/>
              </w:rPr>
            </w:pPr>
            <w:r>
              <w:rPr>
                <w:rFonts w:eastAsia="Times New Roman"/>
                <w:bCs/>
                <w:lang w:eastAsia="en-GB"/>
              </w:rPr>
              <w:t>WAJWASCO</w:t>
            </w:r>
          </w:p>
        </w:tc>
        <w:tc>
          <w:tcPr>
            <w:tcW w:w="562" w:type="pct"/>
            <w:tcBorders>
              <w:top w:val="single" w:color="auto" w:sz="4" w:space="0"/>
              <w:left w:val="nil"/>
              <w:bottom w:val="single" w:color="auto" w:sz="4" w:space="0"/>
              <w:right w:val="single" w:color="auto" w:sz="4" w:space="0"/>
            </w:tcBorders>
          </w:tcPr>
          <w:p w14:paraId="7D1A45CE">
            <w:pPr>
              <w:tabs>
                <w:tab w:val="left" w:pos="709"/>
              </w:tabs>
              <w:spacing w:after="0" w:line="240" w:lineRule="auto"/>
              <w:jc w:val="both"/>
              <w:rPr>
                <w:rFonts w:eastAsia="Times New Roman"/>
                <w:bCs/>
                <w:lang w:val="en-GB" w:eastAsia="en-GB"/>
              </w:rPr>
            </w:pPr>
            <w:r>
              <w:rPr>
                <w:rFonts w:eastAsia="Times New Roman"/>
                <w:bCs/>
                <w:lang w:val="en-GB" w:eastAsia="en-GB"/>
              </w:rPr>
              <w:t>Monthly</w:t>
            </w:r>
          </w:p>
        </w:tc>
        <w:tc>
          <w:tcPr>
            <w:tcW w:w="561" w:type="pct"/>
            <w:tcBorders>
              <w:top w:val="single" w:color="auto" w:sz="4" w:space="0"/>
              <w:left w:val="nil"/>
              <w:bottom w:val="single" w:color="auto" w:sz="4" w:space="0"/>
              <w:right w:val="single" w:color="auto" w:sz="4" w:space="0"/>
            </w:tcBorders>
          </w:tcPr>
          <w:p w14:paraId="73F4FDD2">
            <w:pPr>
              <w:tabs>
                <w:tab w:val="left" w:pos="709"/>
              </w:tabs>
              <w:spacing w:after="0" w:line="240" w:lineRule="auto"/>
              <w:jc w:val="both"/>
              <w:rPr>
                <w:rFonts w:eastAsia="Times New Roman"/>
                <w:bCs/>
                <w:lang w:val="en-GB" w:eastAsia="en-GB"/>
              </w:rPr>
            </w:pPr>
            <w:r>
              <w:rPr>
                <w:rFonts w:eastAsia="Times New Roman"/>
                <w:bCs/>
                <w:lang w:val="en-GB" w:eastAsia="en-GB"/>
              </w:rPr>
              <w:t>200,000.00</w:t>
            </w:r>
          </w:p>
        </w:tc>
      </w:tr>
      <w:tr w14:paraId="6D1B1F7A">
        <w:tblPrEx>
          <w:tblCellMar>
            <w:top w:w="0" w:type="dxa"/>
            <w:left w:w="108" w:type="dxa"/>
            <w:bottom w:w="0" w:type="dxa"/>
            <w:right w:w="108" w:type="dxa"/>
          </w:tblCellMar>
        </w:tblPrEx>
        <w:trPr>
          <w:trHeight w:val="660" w:hRule="atLeast"/>
        </w:trPr>
        <w:tc>
          <w:tcPr>
            <w:tcW w:w="761" w:type="pct"/>
            <w:tcBorders>
              <w:top w:val="single" w:color="auto" w:sz="4" w:space="0"/>
              <w:left w:val="single" w:color="auto" w:sz="4" w:space="0"/>
              <w:bottom w:val="single" w:color="auto" w:sz="4" w:space="0"/>
              <w:right w:val="single" w:color="auto" w:sz="4" w:space="0"/>
            </w:tcBorders>
          </w:tcPr>
          <w:p w14:paraId="4271628E">
            <w:pPr>
              <w:tabs>
                <w:tab w:val="left" w:pos="709"/>
              </w:tabs>
              <w:spacing w:after="0" w:line="240" w:lineRule="auto"/>
              <w:jc w:val="both"/>
              <w:rPr>
                <w:kern w:val="2"/>
                <w14:ligatures w14:val="standardContextual"/>
              </w:rPr>
            </w:pPr>
            <w:r>
              <w:rPr>
                <w:kern w:val="2"/>
                <w14:ligatures w14:val="standardContextual"/>
              </w:rPr>
              <w:t>Foul smell</w:t>
            </w:r>
          </w:p>
        </w:tc>
        <w:tc>
          <w:tcPr>
            <w:tcW w:w="354" w:type="pct"/>
            <w:tcBorders>
              <w:top w:val="single" w:color="auto" w:sz="4" w:space="0"/>
              <w:left w:val="single" w:color="auto" w:sz="4" w:space="0"/>
              <w:bottom w:val="single" w:color="auto" w:sz="4" w:space="0"/>
              <w:right w:val="single" w:color="auto" w:sz="4" w:space="0"/>
            </w:tcBorders>
          </w:tcPr>
          <w:p w14:paraId="12DEAADE">
            <w:pPr>
              <w:tabs>
                <w:tab w:val="left" w:pos="709"/>
              </w:tabs>
              <w:spacing w:after="0" w:line="240" w:lineRule="auto"/>
              <w:jc w:val="both"/>
            </w:pPr>
            <w:r>
              <w:t>Medium High</w:t>
            </w:r>
          </w:p>
        </w:tc>
        <w:tc>
          <w:tcPr>
            <w:tcW w:w="1272" w:type="pct"/>
            <w:tcBorders>
              <w:top w:val="single" w:color="auto" w:sz="4" w:space="0"/>
              <w:left w:val="nil"/>
              <w:bottom w:val="single" w:color="auto" w:sz="4" w:space="0"/>
              <w:right w:val="single" w:color="auto" w:sz="4" w:space="0"/>
            </w:tcBorders>
          </w:tcPr>
          <w:p w14:paraId="4B5B5184">
            <w:pPr>
              <w:tabs>
                <w:tab w:val="left" w:pos="709"/>
              </w:tabs>
              <w:spacing w:after="0" w:line="240" w:lineRule="auto"/>
              <w:jc w:val="both"/>
              <w:rPr>
                <w:kern w:val="2"/>
                <w14:ligatures w14:val="standardContextual"/>
              </w:rPr>
            </w:pPr>
            <w:r>
              <w:rPr>
                <w:kern w:val="2"/>
                <w14:ligatures w14:val="standardContextual"/>
              </w:rPr>
              <w:t>Install biofilters, which use natural biological processes to filter and neutralize odorous compounds from the air.</w:t>
            </w:r>
          </w:p>
          <w:p w14:paraId="09530415">
            <w:pPr>
              <w:tabs>
                <w:tab w:val="left" w:pos="709"/>
              </w:tabs>
              <w:spacing w:after="0" w:line="240" w:lineRule="auto"/>
              <w:jc w:val="both"/>
              <w:rPr>
                <w:kern w:val="2"/>
                <w14:ligatures w14:val="standardContextual"/>
              </w:rPr>
            </w:pPr>
            <w:r>
              <w:rPr>
                <w:kern w:val="2"/>
                <w14:ligatures w14:val="standardContextual"/>
              </w:rPr>
              <w:t>Transport sludge and other materials in enclosed conveyors or pipelines to prevent the escape of odors.</w:t>
            </w:r>
          </w:p>
          <w:p w14:paraId="50D045E9">
            <w:pPr>
              <w:tabs>
                <w:tab w:val="left" w:pos="709"/>
              </w:tabs>
              <w:spacing w:after="0" w:line="240" w:lineRule="auto"/>
              <w:jc w:val="both"/>
              <w:rPr>
                <w:kern w:val="2"/>
                <w14:ligatures w14:val="standardContextual"/>
              </w:rPr>
            </w:pPr>
            <w:r>
              <w:rPr>
                <w:kern w:val="2"/>
                <w14:ligatures w14:val="standardContextual"/>
              </w:rPr>
              <w:t>Minimize the time sludge spends in open-air conditions by quickly processing and covering it to reduce odor generation.</w:t>
            </w:r>
          </w:p>
          <w:p w14:paraId="6116E2E5">
            <w:pPr>
              <w:tabs>
                <w:tab w:val="left" w:pos="709"/>
              </w:tabs>
              <w:spacing w:after="0" w:line="240" w:lineRule="auto"/>
              <w:jc w:val="both"/>
              <w:rPr>
                <w:kern w:val="2"/>
                <w14:ligatures w14:val="standardContextual"/>
              </w:rPr>
            </w:pPr>
            <w:r>
              <w:rPr>
                <w:kern w:val="2"/>
                <w14:ligatures w14:val="standardContextual"/>
              </w:rPr>
              <w:t>Dewater and stabilize sludge as quickly as possible to reduce the biological activity that causes odors.</w:t>
            </w:r>
          </w:p>
          <w:p w14:paraId="460B5092">
            <w:pPr>
              <w:tabs>
                <w:tab w:val="left" w:pos="709"/>
              </w:tabs>
              <w:spacing w:after="0" w:line="240" w:lineRule="auto"/>
              <w:jc w:val="both"/>
              <w:rPr>
                <w:kern w:val="2"/>
                <w14:ligatures w14:val="standardContextual"/>
              </w:rPr>
            </w:pPr>
            <w:r>
              <w:rPr>
                <w:kern w:val="2"/>
                <w14:ligatures w14:val="standardContextual"/>
              </w:rPr>
              <w:t>Create buffer zones with green belts or vegetation around the plant to absorb and disperse odors.</w:t>
            </w:r>
          </w:p>
          <w:p w14:paraId="3B1EC1AA">
            <w:pPr>
              <w:tabs>
                <w:tab w:val="left" w:pos="709"/>
              </w:tabs>
              <w:spacing w:after="0" w:line="240" w:lineRule="auto"/>
              <w:jc w:val="both"/>
              <w:rPr>
                <w:kern w:val="2"/>
                <w14:ligatures w14:val="standardContextual"/>
              </w:rPr>
            </w:pPr>
            <w:r>
              <w:rPr>
                <w:kern w:val="2"/>
                <w14:ligatures w14:val="standardContextual"/>
              </w:rPr>
              <w:t>Place the most odor-intensive operations away from residential areas and near the center of the facility to minimize exposure to the community.</w:t>
            </w:r>
          </w:p>
          <w:p w14:paraId="25F85B52">
            <w:pPr>
              <w:tabs>
                <w:tab w:val="left" w:pos="709"/>
              </w:tabs>
              <w:spacing w:after="0" w:line="240" w:lineRule="auto"/>
              <w:jc w:val="both"/>
              <w:rPr>
                <w:kern w:val="2"/>
                <w14:ligatures w14:val="standardContextual"/>
              </w:rPr>
            </w:pPr>
            <w:r>
              <w:rPr>
                <w:kern w:val="2"/>
                <w14:ligatures w14:val="standardContextual"/>
              </w:rPr>
              <w:t>Implement regular cleaning schedules for all equipment and facilities to prevent the buildup of odorous materials.</w:t>
            </w:r>
          </w:p>
          <w:p w14:paraId="43D413FC">
            <w:pPr>
              <w:tabs>
                <w:tab w:val="left" w:pos="709"/>
              </w:tabs>
              <w:spacing w:after="0" w:line="240" w:lineRule="auto"/>
              <w:jc w:val="both"/>
              <w:rPr>
                <w:kern w:val="2"/>
                <w14:ligatures w14:val="standardContextual"/>
              </w:rPr>
            </w:pPr>
            <w:r>
              <w:rPr>
                <w:kern w:val="2"/>
                <w14:ligatures w14:val="standardContextual"/>
              </w:rPr>
              <w:t>Quickly repair any leaks, overflows, or broken equipment that could lead to increased odor emissions.</w:t>
            </w:r>
          </w:p>
          <w:p w14:paraId="3A0F710E">
            <w:pPr>
              <w:tabs>
                <w:tab w:val="left" w:pos="709"/>
              </w:tabs>
              <w:spacing w:after="0" w:line="240" w:lineRule="auto"/>
              <w:jc w:val="both"/>
              <w:rPr>
                <w:kern w:val="2"/>
                <w14:ligatures w14:val="standardContextual"/>
              </w:rPr>
            </w:pPr>
            <w:r>
              <w:rPr>
                <w:kern w:val="2"/>
                <w14:ligatures w14:val="standardContextual"/>
              </w:rPr>
              <w:t>Regularly monitor odor levels in and around the plant and share the results with the community.</w:t>
            </w:r>
          </w:p>
          <w:p w14:paraId="7D70FD00">
            <w:pPr>
              <w:tabs>
                <w:tab w:val="left" w:pos="709"/>
              </w:tabs>
              <w:spacing w:after="0" w:line="240" w:lineRule="auto"/>
              <w:jc w:val="both"/>
              <w:rPr>
                <w:kern w:val="2"/>
                <w14:ligatures w14:val="standardContextual"/>
              </w:rPr>
            </w:pPr>
            <w:r>
              <w:rPr>
                <w:kern w:val="2"/>
                <w14:ligatures w14:val="standardContextual"/>
              </w:rPr>
              <w:t>Establish a system for the community to report odors and ensure a rapid response to any issues raised.</w:t>
            </w:r>
          </w:p>
          <w:p w14:paraId="72A6DDCF">
            <w:pPr>
              <w:tabs>
                <w:tab w:val="left" w:pos="709"/>
              </w:tabs>
              <w:spacing w:after="0" w:line="240" w:lineRule="auto"/>
              <w:jc w:val="both"/>
              <w:rPr>
                <w:kern w:val="2"/>
                <w14:ligatures w14:val="standardContextual"/>
              </w:rPr>
            </w:pPr>
            <w:r>
              <w:rPr>
                <w:kern w:val="2"/>
                <w14:ligatures w14:val="standardContextual"/>
              </w:rPr>
              <w:t>Use trees and plants known for their odor-absorbing properties around the facility.</w:t>
            </w:r>
          </w:p>
          <w:p w14:paraId="0698554C">
            <w:pPr>
              <w:tabs>
                <w:tab w:val="left" w:pos="709"/>
              </w:tabs>
              <w:spacing w:after="0" w:line="240" w:lineRule="auto"/>
              <w:jc w:val="both"/>
              <w:rPr>
                <w:kern w:val="2"/>
                <w14:ligatures w14:val="standardContextual"/>
              </w:rPr>
            </w:pPr>
            <w:r>
              <w:rPr>
                <w:kern w:val="2"/>
                <w14:ligatures w14:val="standardContextual"/>
              </w:rPr>
              <w:t>Avoid overloading treatment systems, as this can lead to incomplete processing and higher odor emissions.</w:t>
            </w:r>
          </w:p>
          <w:p w14:paraId="5B9EC49E">
            <w:pPr>
              <w:tabs>
                <w:tab w:val="left" w:pos="709"/>
              </w:tabs>
              <w:spacing w:after="0" w:line="240" w:lineRule="auto"/>
              <w:jc w:val="both"/>
              <w:rPr>
                <w:kern w:val="2"/>
                <w14:ligatures w14:val="standardContextual"/>
              </w:rPr>
            </w:pPr>
            <w:r>
              <w:rPr>
                <w:kern w:val="2"/>
                <w14:ligatures w14:val="standardContextual"/>
              </w:rPr>
              <w:t>Adjust operations during hot seasons when odor emissions might be higher due to increased microbial activity.</w:t>
            </w:r>
          </w:p>
        </w:tc>
        <w:tc>
          <w:tcPr>
            <w:tcW w:w="882" w:type="pct"/>
            <w:tcBorders>
              <w:top w:val="single" w:color="auto" w:sz="4" w:space="0"/>
              <w:left w:val="nil"/>
              <w:bottom w:val="single" w:color="auto" w:sz="4" w:space="0"/>
              <w:right w:val="single" w:color="auto" w:sz="4" w:space="0"/>
            </w:tcBorders>
          </w:tcPr>
          <w:p w14:paraId="74E9CFEB">
            <w:pPr>
              <w:tabs>
                <w:tab w:val="left" w:pos="709"/>
              </w:tabs>
              <w:spacing w:after="0" w:line="240" w:lineRule="auto"/>
              <w:jc w:val="both"/>
              <w:rPr>
                <w:rFonts w:eastAsia="Times New Roman" w:cs="Times New Roman"/>
                <w:bCs/>
                <w:lang w:eastAsia="en-GB"/>
              </w:rPr>
            </w:pPr>
            <w:r>
              <w:rPr>
                <w:rFonts w:eastAsia="Times New Roman" w:cs="Times New Roman"/>
                <w:bCs/>
                <w:lang w:eastAsia="en-GB"/>
              </w:rPr>
              <w:t>-</w:t>
            </w:r>
          </w:p>
        </w:tc>
        <w:tc>
          <w:tcPr>
            <w:tcW w:w="608" w:type="pct"/>
            <w:tcBorders>
              <w:top w:val="single" w:color="auto" w:sz="4" w:space="0"/>
              <w:left w:val="single" w:color="auto" w:sz="4" w:space="0"/>
              <w:bottom w:val="single" w:color="auto" w:sz="4" w:space="0"/>
              <w:right w:val="single" w:color="auto" w:sz="4" w:space="0"/>
            </w:tcBorders>
          </w:tcPr>
          <w:p w14:paraId="48DA5824">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WAJWASCO</w:t>
            </w:r>
          </w:p>
          <w:p w14:paraId="7B743AF6">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Contactor</w:t>
            </w:r>
          </w:p>
          <w:p w14:paraId="3506E00F">
            <w:pPr>
              <w:tabs>
                <w:tab w:val="left" w:pos="709"/>
              </w:tabs>
              <w:spacing w:after="0" w:line="240" w:lineRule="auto"/>
              <w:jc w:val="both"/>
              <w:rPr>
                <w:rFonts w:eastAsia="Times New Roman"/>
                <w:bCs/>
                <w:lang w:eastAsia="en-GB"/>
              </w:rPr>
            </w:pPr>
            <w:r>
              <w:rPr>
                <w:rFonts w:eastAsia="Times New Roman" w:cs="Times New Roman"/>
                <w:bCs/>
                <w:lang w:val="en-GB" w:eastAsia="en-GB"/>
              </w:rPr>
              <w:t>Consultant</w:t>
            </w:r>
          </w:p>
        </w:tc>
        <w:tc>
          <w:tcPr>
            <w:tcW w:w="562" w:type="pct"/>
            <w:tcBorders>
              <w:top w:val="single" w:color="auto" w:sz="4" w:space="0"/>
              <w:left w:val="nil"/>
              <w:bottom w:val="single" w:color="auto" w:sz="4" w:space="0"/>
              <w:right w:val="single" w:color="auto" w:sz="4" w:space="0"/>
            </w:tcBorders>
          </w:tcPr>
          <w:p w14:paraId="63CE807B">
            <w:pPr>
              <w:tabs>
                <w:tab w:val="left" w:pos="709"/>
              </w:tabs>
              <w:spacing w:after="0" w:line="240" w:lineRule="auto"/>
              <w:jc w:val="both"/>
              <w:rPr>
                <w:rFonts w:eastAsia="Times New Roman"/>
                <w:bCs/>
                <w:lang w:eastAsia="en-GB"/>
              </w:rPr>
            </w:pPr>
            <w:r>
              <w:rPr>
                <w:rFonts w:eastAsia="Times New Roman"/>
                <w:bCs/>
                <w:lang w:eastAsia="en-GB"/>
              </w:rPr>
              <w:t>Daily</w:t>
            </w:r>
          </w:p>
        </w:tc>
        <w:tc>
          <w:tcPr>
            <w:tcW w:w="561" w:type="pct"/>
            <w:tcBorders>
              <w:top w:val="single" w:color="auto" w:sz="4" w:space="0"/>
              <w:left w:val="nil"/>
              <w:bottom w:val="single" w:color="auto" w:sz="4" w:space="0"/>
              <w:right w:val="single" w:color="auto" w:sz="4" w:space="0"/>
            </w:tcBorders>
          </w:tcPr>
          <w:p w14:paraId="0423D125">
            <w:pPr>
              <w:tabs>
                <w:tab w:val="left" w:pos="709"/>
              </w:tabs>
              <w:spacing w:after="0" w:line="240" w:lineRule="auto"/>
              <w:jc w:val="both"/>
              <w:rPr>
                <w:rFonts w:eastAsia="Times New Roman"/>
                <w:bCs/>
                <w:lang w:eastAsia="en-GB"/>
              </w:rPr>
            </w:pPr>
            <w:r>
              <w:rPr>
                <w:rFonts w:eastAsia="Times New Roman"/>
                <w:bCs/>
                <w:lang w:eastAsia="en-GB"/>
              </w:rPr>
              <w:t>100,000</w:t>
            </w:r>
          </w:p>
        </w:tc>
      </w:tr>
      <w:tr w14:paraId="09A5B2BA">
        <w:tblPrEx>
          <w:tblCellMar>
            <w:top w:w="0" w:type="dxa"/>
            <w:left w:w="108" w:type="dxa"/>
            <w:bottom w:w="0" w:type="dxa"/>
            <w:right w:w="108" w:type="dxa"/>
          </w:tblCellMar>
        </w:tblPrEx>
        <w:trPr>
          <w:trHeight w:val="660" w:hRule="atLeast"/>
        </w:trPr>
        <w:tc>
          <w:tcPr>
            <w:tcW w:w="761" w:type="pct"/>
            <w:tcBorders>
              <w:top w:val="single" w:color="auto" w:sz="4" w:space="0"/>
              <w:left w:val="single" w:color="auto" w:sz="4" w:space="0"/>
              <w:bottom w:val="single" w:color="auto" w:sz="4" w:space="0"/>
              <w:right w:val="single" w:color="auto" w:sz="4" w:space="0"/>
            </w:tcBorders>
          </w:tcPr>
          <w:p w14:paraId="44937D83">
            <w:pPr>
              <w:tabs>
                <w:tab w:val="left" w:pos="709"/>
              </w:tabs>
              <w:spacing w:after="0" w:line="240" w:lineRule="auto"/>
              <w:jc w:val="both"/>
              <w:rPr>
                <w:kern w:val="2"/>
                <w14:ligatures w14:val="standardContextual"/>
              </w:rPr>
            </w:pPr>
            <w:r>
              <w:rPr>
                <w:kern w:val="2"/>
                <w14:ligatures w14:val="standardContextual"/>
              </w:rPr>
              <w:t>Mosquito nuisance</w:t>
            </w:r>
          </w:p>
        </w:tc>
        <w:tc>
          <w:tcPr>
            <w:tcW w:w="354" w:type="pct"/>
            <w:tcBorders>
              <w:top w:val="single" w:color="auto" w:sz="4" w:space="0"/>
              <w:left w:val="single" w:color="auto" w:sz="4" w:space="0"/>
              <w:bottom w:val="single" w:color="auto" w:sz="4" w:space="0"/>
              <w:right w:val="single" w:color="auto" w:sz="4" w:space="0"/>
            </w:tcBorders>
          </w:tcPr>
          <w:p w14:paraId="6942DD89">
            <w:pPr>
              <w:tabs>
                <w:tab w:val="left" w:pos="709"/>
              </w:tabs>
              <w:spacing w:after="0" w:line="240" w:lineRule="auto"/>
              <w:jc w:val="both"/>
            </w:pPr>
            <w:r>
              <w:t>Very High</w:t>
            </w:r>
          </w:p>
        </w:tc>
        <w:tc>
          <w:tcPr>
            <w:tcW w:w="1272" w:type="pct"/>
            <w:tcBorders>
              <w:top w:val="single" w:color="auto" w:sz="4" w:space="0"/>
              <w:left w:val="nil"/>
              <w:bottom w:val="single" w:color="auto" w:sz="4" w:space="0"/>
              <w:right w:val="single" w:color="auto" w:sz="4" w:space="0"/>
            </w:tcBorders>
          </w:tcPr>
          <w:p w14:paraId="07E121F6">
            <w:pPr>
              <w:tabs>
                <w:tab w:val="left" w:pos="709"/>
              </w:tabs>
              <w:spacing w:after="0" w:line="240" w:lineRule="auto"/>
              <w:jc w:val="both"/>
              <w:rPr>
                <w:kern w:val="2"/>
                <w14:ligatures w14:val="standardContextual"/>
              </w:rPr>
            </w:pPr>
            <w:r>
              <w:rPr>
                <w:kern w:val="2"/>
                <w14:ligatures w14:val="standardContextual"/>
              </w:rPr>
              <w:t xml:space="preserve">Regular maintenance of the facility, including avoidance of pools of dirty stagnant waters and spills. </w:t>
            </w:r>
          </w:p>
          <w:p w14:paraId="50C30F4D">
            <w:pPr>
              <w:tabs>
                <w:tab w:val="left" w:pos="709"/>
              </w:tabs>
              <w:spacing w:after="0" w:line="240" w:lineRule="auto"/>
              <w:jc w:val="both"/>
              <w:rPr>
                <w:kern w:val="2"/>
                <w14:ligatures w14:val="standardContextual"/>
              </w:rPr>
            </w:pPr>
            <w:r>
              <w:rPr>
                <w:kern w:val="2"/>
                <w14:ligatures w14:val="standardContextual"/>
              </w:rPr>
              <w:t>Covering swampy parts of the settlement and drying beds with a layer of earth or sand.</w:t>
            </w:r>
          </w:p>
        </w:tc>
        <w:tc>
          <w:tcPr>
            <w:tcW w:w="882" w:type="pct"/>
            <w:tcBorders>
              <w:top w:val="single" w:color="auto" w:sz="4" w:space="0"/>
              <w:left w:val="nil"/>
              <w:bottom w:val="single" w:color="auto" w:sz="4" w:space="0"/>
              <w:right w:val="single" w:color="auto" w:sz="4" w:space="0"/>
            </w:tcBorders>
          </w:tcPr>
          <w:p w14:paraId="662ECF18">
            <w:pPr>
              <w:tabs>
                <w:tab w:val="left" w:pos="709"/>
              </w:tabs>
              <w:spacing w:after="0" w:line="240" w:lineRule="auto"/>
              <w:jc w:val="both"/>
              <w:rPr>
                <w:rFonts w:eastAsia="Times New Roman" w:cs="Times New Roman"/>
                <w:bCs/>
                <w:lang w:eastAsia="en-GB"/>
              </w:rPr>
            </w:pPr>
            <w:r>
              <w:rPr>
                <w:rFonts w:eastAsia="Times New Roman" w:cs="Times New Roman"/>
                <w:bCs/>
                <w:lang w:eastAsia="en-GB"/>
              </w:rPr>
              <w:t>Number of malaria cases recorded</w:t>
            </w:r>
          </w:p>
        </w:tc>
        <w:tc>
          <w:tcPr>
            <w:tcW w:w="608" w:type="pct"/>
            <w:tcBorders>
              <w:top w:val="single" w:color="auto" w:sz="4" w:space="0"/>
              <w:left w:val="single" w:color="auto" w:sz="4" w:space="0"/>
              <w:bottom w:val="single" w:color="auto" w:sz="4" w:space="0"/>
              <w:right w:val="single" w:color="auto" w:sz="4" w:space="0"/>
            </w:tcBorders>
          </w:tcPr>
          <w:p w14:paraId="2CCBA88E">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WAJWASCO</w:t>
            </w:r>
          </w:p>
          <w:p w14:paraId="1C0E2B73">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Contactor</w:t>
            </w:r>
          </w:p>
          <w:p w14:paraId="66A5A8C7">
            <w:pPr>
              <w:tabs>
                <w:tab w:val="left" w:pos="709"/>
              </w:tabs>
              <w:spacing w:after="0" w:line="240" w:lineRule="auto"/>
              <w:jc w:val="both"/>
              <w:rPr>
                <w:rFonts w:eastAsia="Times New Roman"/>
                <w:bCs/>
                <w:lang w:eastAsia="en-GB"/>
              </w:rPr>
            </w:pPr>
            <w:r>
              <w:rPr>
                <w:rFonts w:eastAsia="Times New Roman" w:cs="Times New Roman"/>
                <w:bCs/>
                <w:lang w:val="en-GB" w:eastAsia="en-GB"/>
              </w:rPr>
              <w:t>Consultant</w:t>
            </w:r>
          </w:p>
        </w:tc>
        <w:tc>
          <w:tcPr>
            <w:tcW w:w="562" w:type="pct"/>
            <w:tcBorders>
              <w:top w:val="single" w:color="auto" w:sz="4" w:space="0"/>
              <w:left w:val="nil"/>
              <w:bottom w:val="single" w:color="auto" w:sz="4" w:space="0"/>
              <w:right w:val="single" w:color="auto" w:sz="4" w:space="0"/>
            </w:tcBorders>
          </w:tcPr>
          <w:p w14:paraId="7C48B780">
            <w:pPr>
              <w:tabs>
                <w:tab w:val="left" w:pos="709"/>
              </w:tabs>
              <w:spacing w:after="0" w:line="240" w:lineRule="auto"/>
              <w:jc w:val="both"/>
              <w:rPr>
                <w:rFonts w:eastAsia="Times New Roman"/>
                <w:bCs/>
                <w:lang w:eastAsia="en-GB"/>
              </w:rPr>
            </w:pPr>
            <w:r>
              <w:rPr>
                <w:rFonts w:eastAsia="Times New Roman"/>
                <w:bCs/>
                <w:lang w:eastAsia="en-GB"/>
              </w:rPr>
              <w:t>Daily</w:t>
            </w:r>
          </w:p>
        </w:tc>
        <w:tc>
          <w:tcPr>
            <w:tcW w:w="561" w:type="pct"/>
            <w:tcBorders>
              <w:top w:val="single" w:color="auto" w:sz="4" w:space="0"/>
              <w:left w:val="nil"/>
              <w:bottom w:val="single" w:color="auto" w:sz="4" w:space="0"/>
              <w:right w:val="single" w:color="auto" w:sz="4" w:space="0"/>
            </w:tcBorders>
          </w:tcPr>
          <w:p w14:paraId="0CB4A835">
            <w:pPr>
              <w:tabs>
                <w:tab w:val="left" w:pos="709"/>
              </w:tabs>
              <w:spacing w:after="0" w:line="240" w:lineRule="auto"/>
              <w:jc w:val="both"/>
              <w:rPr>
                <w:rFonts w:eastAsia="Times New Roman"/>
                <w:bCs/>
                <w:lang w:eastAsia="en-GB"/>
              </w:rPr>
            </w:pPr>
            <w:r>
              <w:rPr>
                <w:rFonts w:eastAsia="Times New Roman"/>
                <w:bCs/>
                <w:lang w:eastAsia="en-GB"/>
              </w:rPr>
              <w:t>200,000</w:t>
            </w:r>
          </w:p>
        </w:tc>
      </w:tr>
      <w:tr w14:paraId="1E46D1BD">
        <w:tblPrEx>
          <w:tblCellMar>
            <w:top w:w="0" w:type="dxa"/>
            <w:left w:w="108" w:type="dxa"/>
            <w:bottom w:w="0" w:type="dxa"/>
            <w:right w:w="108" w:type="dxa"/>
          </w:tblCellMar>
        </w:tblPrEx>
        <w:trPr>
          <w:trHeight w:val="660" w:hRule="atLeast"/>
        </w:trPr>
        <w:tc>
          <w:tcPr>
            <w:tcW w:w="761" w:type="pct"/>
            <w:tcBorders>
              <w:top w:val="single" w:color="auto" w:sz="4" w:space="0"/>
              <w:left w:val="single" w:color="auto" w:sz="4" w:space="0"/>
              <w:bottom w:val="single" w:color="auto" w:sz="4" w:space="0"/>
              <w:right w:val="single" w:color="auto" w:sz="4" w:space="0"/>
            </w:tcBorders>
          </w:tcPr>
          <w:p w14:paraId="1A6D5EA4">
            <w:pPr>
              <w:tabs>
                <w:tab w:val="left" w:pos="709"/>
              </w:tabs>
              <w:spacing w:after="0" w:line="240" w:lineRule="auto"/>
              <w:jc w:val="both"/>
              <w:rPr>
                <w:kern w:val="2"/>
                <w14:ligatures w14:val="standardContextual"/>
              </w:rPr>
            </w:pPr>
            <w:bookmarkStart w:id="536" w:name="_Hlk175522205"/>
            <w:r>
              <w:rPr>
                <w:kern w:val="2"/>
                <w14:ligatures w14:val="standardContextual"/>
              </w:rPr>
              <w:t>Spill of septage during transportation to the FSTP</w:t>
            </w:r>
          </w:p>
        </w:tc>
        <w:tc>
          <w:tcPr>
            <w:tcW w:w="354" w:type="pct"/>
            <w:tcBorders>
              <w:top w:val="single" w:color="auto" w:sz="4" w:space="0"/>
              <w:left w:val="single" w:color="auto" w:sz="4" w:space="0"/>
              <w:bottom w:val="single" w:color="auto" w:sz="4" w:space="0"/>
              <w:right w:val="single" w:color="auto" w:sz="4" w:space="0"/>
            </w:tcBorders>
          </w:tcPr>
          <w:p w14:paraId="70D48687">
            <w:pPr>
              <w:tabs>
                <w:tab w:val="left" w:pos="709"/>
              </w:tabs>
              <w:spacing w:after="0" w:line="240" w:lineRule="auto"/>
              <w:jc w:val="both"/>
            </w:pPr>
            <w:r>
              <w:t>Low medium</w:t>
            </w:r>
          </w:p>
        </w:tc>
        <w:tc>
          <w:tcPr>
            <w:tcW w:w="1272" w:type="pct"/>
            <w:tcBorders>
              <w:top w:val="single" w:color="auto" w:sz="4" w:space="0"/>
              <w:left w:val="nil"/>
              <w:bottom w:val="single" w:color="auto" w:sz="4" w:space="0"/>
              <w:right w:val="single" w:color="auto" w:sz="4" w:space="0"/>
            </w:tcBorders>
          </w:tcPr>
          <w:p w14:paraId="7C6EEA99">
            <w:pPr>
              <w:tabs>
                <w:tab w:val="left" w:pos="709"/>
              </w:tabs>
              <w:spacing w:after="0"/>
              <w:rPr>
                <w:kern w:val="2"/>
                <w14:ligatures w14:val="standardContextual"/>
              </w:rPr>
            </w:pPr>
            <w:r>
              <w:rPr>
                <w:rFonts w:cstheme="minorHAnsi"/>
              </w:rPr>
              <w:t xml:space="preserve"> </w:t>
            </w:r>
            <w:r>
              <w:rPr>
                <w:kern w:val="2"/>
                <w14:ligatures w14:val="standardContextual"/>
              </w:rPr>
              <w:t>Ensure that all vehicles used for transporting septage are regularly inspected for leaks, wear and tear, and proper sealing.</w:t>
            </w:r>
          </w:p>
          <w:p w14:paraId="462AF0AF">
            <w:pPr>
              <w:tabs>
                <w:tab w:val="left" w:pos="709"/>
              </w:tabs>
              <w:spacing w:after="0" w:line="240" w:lineRule="auto"/>
              <w:jc w:val="both"/>
              <w:rPr>
                <w:kern w:val="2"/>
                <w14:ligatures w14:val="standardContextual"/>
              </w:rPr>
            </w:pPr>
            <w:r>
              <w:rPr>
                <w:kern w:val="2"/>
                <w14:ligatures w14:val="standardContextual"/>
              </w:rPr>
              <w:t>Use tanks with tight, secure seals to prevent spills during transit. Inspect seals frequently to ensure they are in good condition.</w:t>
            </w:r>
          </w:p>
          <w:p w14:paraId="78604236">
            <w:pPr>
              <w:tabs>
                <w:tab w:val="left" w:pos="709"/>
              </w:tabs>
              <w:spacing w:after="0" w:line="240" w:lineRule="auto"/>
              <w:jc w:val="both"/>
              <w:rPr>
                <w:kern w:val="2"/>
                <w14:ligatures w14:val="standardContextual"/>
              </w:rPr>
            </w:pPr>
            <w:r>
              <w:rPr>
                <w:kern w:val="2"/>
                <w14:ligatures w14:val="standardContextual"/>
              </w:rPr>
              <w:t>Equip vehicles with secondary containment systems like drip trays or double-walled tanks to catch any leaks or spills.</w:t>
            </w:r>
          </w:p>
          <w:p w14:paraId="1FD90D40">
            <w:pPr>
              <w:tabs>
                <w:tab w:val="left" w:pos="709"/>
              </w:tabs>
              <w:spacing w:after="0" w:line="240" w:lineRule="auto"/>
              <w:jc w:val="both"/>
              <w:rPr>
                <w:kern w:val="2"/>
                <w14:ligatures w14:val="standardContextual"/>
              </w:rPr>
            </w:pPr>
            <w:r>
              <w:rPr>
                <w:kern w:val="2"/>
                <w14:ligatures w14:val="standardContextual"/>
              </w:rPr>
              <w:t>Provide each vehicle with an emergency spill kit that includes absorbent materials, containment booms, and personal protective equipment (PPE).</w:t>
            </w:r>
          </w:p>
          <w:p w14:paraId="64DE1EFF">
            <w:pPr>
              <w:tabs>
                <w:tab w:val="left" w:pos="709"/>
              </w:tabs>
              <w:spacing w:after="0" w:line="240" w:lineRule="auto"/>
              <w:jc w:val="both"/>
              <w:rPr>
                <w:kern w:val="2"/>
                <w14:ligatures w14:val="standardContextual"/>
              </w:rPr>
            </w:pPr>
            <w:r>
              <w:rPr>
                <w:kern w:val="2"/>
                <w14:ligatures w14:val="standardContextual"/>
              </w:rPr>
              <w:t>Train drivers on safe handling, transportation practices, and spill response procedures.</w:t>
            </w:r>
          </w:p>
          <w:p w14:paraId="3858192B">
            <w:pPr>
              <w:tabs>
                <w:tab w:val="left" w:pos="709"/>
              </w:tabs>
              <w:spacing w:after="0" w:line="240" w:lineRule="auto"/>
              <w:jc w:val="both"/>
              <w:rPr>
                <w:kern w:val="2"/>
                <w14:ligatures w14:val="standardContextual"/>
              </w:rPr>
            </w:pPr>
            <w:r>
              <w:rPr>
                <w:kern w:val="2"/>
                <w14:ligatures w14:val="standardContextual"/>
              </w:rPr>
              <w:t>Implement strict speed limits and plan routes to avoid rough roads or sharp turns that could cause spills.</w:t>
            </w:r>
          </w:p>
          <w:p w14:paraId="2439D7CA">
            <w:pPr>
              <w:tabs>
                <w:tab w:val="left" w:pos="709"/>
              </w:tabs>
              <w:spacing w:after="0" w:line="240" w:lineRule="auto"/>
              <w:jc w:val="both"/>
              <w:rPr>
                <w:kern w:val="2"/>
                <w14:ligatures w14:val="standardContextual"/>
              </w:rPr>
            </w:pPr>
            <w:r>
              <w:rPr>
                <w:kern w:val="2"/>
                <w14:ligatures w14:val="standardContextual"/>
              </w:rPr>
              <w:t>Ensure that septage is loaded properly and that tanks are not overfilled. Use secure connections when loading and unloading to prevent spills.</w:t>
            </w:r>
          </w:p>
        </w:tc>
        <w:tc>
          <w:tcPr>
            <w:tcW w:w="882" w:type="pct"/>
            <w:tcBorders>
              <w:top w:val="single" w:color="auto" w:sz="4" w:space="0"/>
              <w:left w:val="nil"/>
              <w:bottom w:val="single" w:color="auto" w:sz="4" w:space="0"/>
              <w:right w:val="single" w:color="auto" w:sz="4" w:space="0"/>
            </w:tcBorders>
          </w:tcPr>
          <w:p w14:paraId="5A1825D7">
            <w:pPr>
              <w:tabs>
                <w:tab w:val="left" w:pos="709"/>
              </w:tabs>
              <w:spacing w:after="0" w:line="240" w:lineRule="auto"/>
              <w:jc w:val="both"/>
              <w:rPr>
                <w:rFonts w:eastAsia="Times New Roman" w:cs="Times New Roman"/>
                <w:bCs/>
                <w:lang w:eastAsia="en-GB"/>
              </w:rPr>
            </w:pPr>
            <w:r>
              <w:rPr>
                <w:rFonts w:eastAsia="Times New Roman" w:cs="Times New Roman"/>
                <w:bCs/>
                <w:lang w:eastAsia="en-GB"/>
              </w:rPr>
              <w:t>Incidences of spillages experienced.</w:t>
            </w:r>
          </w:p>
        </w:tc>
        <w:tc>
          <w:tcPr>
            <w:tcW w:w="608" w:type="pct"/>
            <w:tcBorders>
              <w:top w:val="single" w:color="auto" w:sz="4" w:space="0"/>
              <w:left w:val="single" w:color="auto" w:sz="4" w:space="0"/>
              <w:bottom w:val="single" w:color="auto" w:sz="4" w:space="0"/>
              <w:right w:val="single" w:color="auto" w:sz="4" w:space="0"/>
            </w:tcBorders>
          </w:tcPr>
          <w:p w14:paraId="2139153E">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WAJWASCO</w:t>
            </w:r>
          </w:p>
          <w:p w14:paraId="6B70918E">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Contractor</w:t>
            </w:r>
          </w:p>
        </w:tc>
        <w:tc>
          <w:tcPr>
            <w:tcW w:w="562" w:type="pct"/>
            <w:tcBorders>
              <w:top w:val="single" w:color="auto" w:sz="4" w:space="0"/>
              <w:left w:val="nil"/>
              <w:bottom w:val="single" w:color="auto" w:sz="4" w:space="0"/>
              <w:right w:val="single" w:color="auto" w:sz="4" w:space="0"/>
            </w:tcBorders>
          </w:tcPr>
          <w:p w14:paraId="588CD65E">
            <w:pPr>
              <w:tabs>
                <w:tab w:val="left" w:pos="709"/>
              </w:tabs>
              <w:spacing w:after="0" w:line="240" w:lineRule="auto"/>
              <w:jc w:val="both"/>
              <w:rPr>
                <w:rFonts w:eastAsia="Times New Roman"/>
                <w:bCs/>
                <w:lang w:eastAsia="en-GB"/>
              </w:rPr>
            </w:pPr>
            <w:r>
              <w:rPr>
                <w:rFonts w:eastAsia="Times New Roman"/>
                <w:bCs/>
                <w:lang w:eastAsia="en-GB"/>
              </w:rPr>
              <w:t>Throughout project operation</w:t>
            </w:r>
          </w:p>
        </w:tc>
        <w:tc>
          <w:tcPr>
            <w:tcW w:w="561" w:type="pct"/>
            <w:tcBorders>
              <w:top w:val="single" w:color="auto" w:sz="4" w:space="0"/>
              <w:left w:val="nil"/>
              <w:bottom w:val="single" w:color="auto" w:sz="4" w:space="0"/>
              <w:right w:val="single" w:color="auto" w:sz="4" w:space="0"/>
            </w:tcBorders>
          </w:tcPr>
          <w:p w14:paraId="2E08AFA3">
            <w:pPr>
              <w:tabs>
                <w:tab w:val="left" w:pos="709"/>
              </w:tabs>
              <w:spacing w:after="0" w:line="240" w:lineRule="auto"/>
              <w:jc w:val="both"/>
              <w:rPr>
                <w:rFonts w:eastAsia="Times New Roman"/>
                <w:bCs/>
                <w:lang w:eastAsia="en-GB"/>
              </w:rPr>
            </w:pPr>
            <w:r>
              <w:rPr>
                <w:rFonts w:eastAsia="Times New Roman"/>
                <w:bCs/>
                <w:lang w:eastAsia="en-GB"/>
              </w:rPr>
              <w:t>250,000</w:t>
            </w:r>
          </w:p>
        </w:tc>
      </w:tr>
      <w:bookmarkEnd w:id="536"/>
      <w:tr w14:paraId="49D452DB">
        <w:tblPrEx>
          <w:tblCellMar>
            <w:top w:w="0" w:type="dxa"/>
            <w:left w:w="108" w:type="dxa"/>
            <w:bottom w:w="0" w:type="dxa"/>
            <w:right w:w="108" w:type="dxa"/>
          </w:tblCellMar>
        </w:tblPrEx>
        <w:trPr>
          <w:trHeight w:val="2212" w:hRule="atLeast"/>
        </w:trPr>
        <w:tc>
          <w:tcPr>
            <w:tcW w:w="761" w:type="pct"/>
            <w:tcBorders>
              <w:top w:val="single" w:color="auto" w:sz="4" w:space="0"/>
              <w:left w:val="single" w:color="auto" w:sz="4" w:space="0"/>
              <w:bottom w:val="single" w:color="auto" w:sz="4" w:space="0"/>
              <w:right w:val="single" w:color="auto" w:sz="4" w:space="0"/>
            </w:tcBorders>
          </w:tcPr>
          <w:p w14:paraId="6055AC55">
            <w:pPr>
              <w:tabs>
                <w:tab w:val="left" w:pos="709"/>
              </w:tabs>
              <w:spacing w:after="0" w:line="240" w:lineRule="auto"/>
              <w:jc w:val="both"/>
              <w:rPr>
                <w:kern w:val="2"/>
                <w14:ligatures w14:val="standardContextual"/>
              </w:rPr>
            </w:pPr>
            <w:r>
              <w:rPr>
                <w:kern w:val="2"/>
                <w14:ligatures w14:val="standardContextual"/>
              </w:rPr>
              <w:t>Exposure of workers to disease causing pathogens</w:t>
            </w:r>
          </w:p>
        </w:tc>
        <w:tc>
          <w:tcPr>
            <w:tcW w:w="354" w:type="pct"/>
            <w:tcBorders>
              <w:top w:val="single" w:color="auto" w:sz="4" w:space="0"/>
              <w:left w:val="single" w:color="auto" w:sz="4" w:space="0"/>
              <w:bottom w:val="single" w:color="auto" w:sz="4" w:space="0"/>
              <w:right w:val="single" w:color="auto" w:sz="4" w:space="0"/>
            </w:tcBorders>
          </w:tcPr>
          <w:p w14:paraId="51C13017">
            <w:pPr>
              <w:tabs>
                <w:tab w:val="left" w:pos="709"/>
              </w:tabs>
              <w:spacing w:after="0" w:line="240" w:lineRule="auto"/>
              <w:jc w:val="both"/>
            </w:pPr>
            <w:r>
              <w:t>Low medium</w:t>
            </w:r>
          </w:p>
        </w:tc>
        <w:tc>
          <w:tcPr>
            <w:tcW w:w="1272" w:type="pct"/>
            <w:tcBorders>
              <w:top w:val="single" w:color="auto" w:sz="4" w:space="0"/>
              <w:left w:val="nil"/>
              <w:bottom w:val="single" w:color="auto" w:sz="4" w:space="0"/>
              <w:right w:val="single" w:color="auto" w:sz="4" w:space="0"/>
            </w:tcBorders>
          </w:tcPr>
          <w:p w14:paraId="130AFCAB">
            <w:pPr>
              <w:tabs>
                <w:tab w:val="left" w:pos="709"/>
              </w:tabs>
              <w:spacing w:after="0"/>
            </w:pPr>
            <w:r>
              <w:t>Provide PPE, enforce hygiene practices, and ensure workers are vaccinated against common diseases.</w:t>
            </w:r>
          </w:p>
          <w:p w14:paraId="278BE13F">
            <w:pPr>
              <w:tabs>
                <w:tab w:val="left" w:pos="709"/>
              </w:tabs>
              <w:spacing w:after="0"/>
            </w:pPr>
            <w:r>
              <w:t>Train workers on chemical safety, use gas detection systems, and ensure proper ventilation.</w:t>
            </w:r>
          </w:p>
          <w:p w14:paraId="3C4CFF69">
            <w:pPr>
              <w:tabs>
                <w:tab w:val="left" w:pos="709"/>
              </w:tabs>
              <w:spacing w:after="0"/>
            </w:pPr>
            <w:r>
              <w:t>Use mechanical aids, provide ergonomic training, and rotate tasks to prevent repetitive strain injuries.</w:t>
            </w:r>
          </w:p>
          <w:p w14:paraId="70EF2A98">
            <w:pPr>
              <w:tabs>
                <w:tab w:val="left" w:pos="709"/>
              </w:tabs>
              <w:spacing w:after="0"/>
            </w:pPr>
            <w:r>
              <w:t>Install slip-resistant flooring, ensure proper drainage, and maintain clear signage and lighting.</w:t>
            </w:r>
          </w:p>
          <w:p w14:paraId="2242060D">
            <w:pPr>
              <w:tabs>
                <w:tab w:val="left" w:pos="709"/>
              </w:tabs>
              <w:spacing w:after="0"/>
            </w:pPr>
            <w:r>
              <w:t>Provide specialized training, monitor and ventilate confined spaces, and have rescue plans in place.</w:t>
            </w:r>
          </w:p>
          <w:p w14:paraId="59EEEBE0">
            <w:pPr>
              <w:tabs>
                <w:tab w:val="left" w:pos="709"/>
              </w:tabs>
              <w:spacing w:after="0"/>
            </w:pPr>
            <w:r>
              <w:t>Provide hearing protection, control noise levels, and conduct regular hearing checks.</w:t>
            </w:r>
          </w:p>
          <w:p w14:paraId="3DDBD155">
            <w:pPr>
              <w:tabs>
                <w:tab w:val="left" w:pos="709"/>
              </w:tabs>
              <w:spacing w:after="0"/>
            </w:pPr>
            <w:r>
              <w:t>Regularly inspect equipment, use GFCIs, and train workers in electrical safety.</w:t>
            </w:r>
          </w:p>
          <w:p w14:paraId="34FA855E">
            <w:pPr>
              <w:tabs>
                <w:tab w:val="left" w:pos="709"/>
              </w:tabs>
              <w:spacing w:after="0"/>
            </w:pPr>
            <w:r>
              <w:t>Ensure access to hydration, rest breaks, and shaded areas, and schedule demanding tasks during cooler times.</w:t>
            </w:r>
          </w:p>
          <w:p w14:paraId="09DB38AD">
            <w:pPr>
              <w:tabs>
                <w:tab w:val="left" w:pos="709"/>
              </w:tabs>
              <w:spacing w:after="0"/>
            </w:pPr>
            <w:r>
              <w:t>Implement pest control, manage waste properly, and provide insect repellent.</w:t>
            </w:r>
          </w:p>
          <w:p w14:paraId="3A19E9F0">
            <w:pPr>
              <w:tabs>
                <w:tab w:val="left" w:pos="709"/>
              </w:tabs>
              <w:spacing w:after="0"/>
            </w:pPr>
            <w:r>
              <w:t>Use machine guards, enforce lockout/tag out procedures, and provide safe operating procedures.</w:t>
            </w:r>
          </w:p>
          <w:p w14:paraId="0F3072A8">
            <w:pPr>
              <w:tabs>
                <w:tab w:val="left" w:pos="709"/>
              </w:tabs>
              <w:spacing w:after="0"/>
            </w:pPr>
            <w:r>
              <w:t>Use secondary containment, install emergency showers, and train workers in spill response.</w:t>
            </w:r>
          </w:p>
          <w:p w14:paraId="7B5EBBD1">
            <w:pPr>
              <w:tabs>
                <w:tab w:val="left" w:pos="709"/>
              </w:tabs>
              <w:spacing w:after="0"/>
              <w:rPr>
                <w:sz w:val="24"/>
                <w:szCs w:val="24"/>
              </w:rPr>
            </w:pPr>
            <w:r>
              <w:t>Upgrade ventilation systems and regularly monitor air quality</w:t>
            </w:r>
            <w:r>
              <w:rPr>
                <w:sz w:val="24"/>
                <w:szCs w:val="24"/>
              </w:rPr>
              <w:t>.</w:t>
            </w:r>
          </w:p>
        </w:tc>
        <w:tc>
          <w:tcPr>
            <w:tcW w:w="882" w:type="pct"/>
            <w:tcBorders>
              <w:top w:val="single" w:color="auto" w:sz="4" w:space="0"/>
              <w:left w:val="nil"/>
              <w:bottom w:val="single" w:color="auto" w:sz="4" w:space="0"/>
              <w:right w:val="single" w:color="auto" w:sz="4" w:space="0"/>
            </w:tcBorders>
          </w:tcPr>
          <w:p w14:paraId="31E5EEA9">
            <w:pPr>
              <w:tabs>
                <w:tab w:val="left" w:pos="709"/>
              </w:tabs>
              <w:spacing w:after="0" w:line="240" w:lineRule="auto"/>
              <w:jc w:val="both"/>
              <w:rPr>
                <w:rFonts w:eastAsia="Times New Roman" w:cs="Times New Roman"/>
                <w:bCs/>
                <w:lang w:eastAsia="en-GB"/>
              </w:rPr>
            </w:pPr>
            <w:r>
              <w:rPr>
                <w:rFonts w:eastAsia="Times New Roman" w:cs="Times New Roman"/>
                <w:bCs/>
                <w:lang w:eastAsia="en-GB"/>
              </w:rPr>
              <w:t>Number of cases recorded</w:t>
            </w:r>
          </w:p>
          <w:p w14:paraId="7C583C7B">
            <w:pPr>
              <w:tabs>
                <w:tab w:val="left" w:pos="709"/>
              </w:tabs>
              <w:spacing w:after="0" w:line="240" w:lineRule="auto"/>
              <w:jc w:val="both"/>
              <w:rPr>
                <w:rFonts w:eastAsia="Times New Roman" w:cs="Times New Roman"/>
                <w:bCs/>
                <w:lang w:eastAsia="en-GB"/>
              </w:rPr>
            </w:pPr>
            <w:r>
              <w:rPr>
                <w:rFonts w:eastAsia="Times New Roman" w:cs="Times New Roman"/>
                <w:bCs/>
                <w:lang w:eastAsia="en-GB"/>
              </w:rPr>
              <w:t>Number of workers affected during and after project operation activities</w:t>
            </w:r>
          </w:p>
        </w:tc>
        <w:tc>
          <w:tcPr>
            <w:tcW w:w="608" w:type="pct"/>
            <w:tcBorders>
              <w:top w:val="single" w:color="auto" w:sz="4" w:space="0"/>
              <w:left w:val="single" w:color="auto" w:sz="4" w:space="0"/>
              <w:bottom w:val="single" w:color="auto" w:sz="4" w:space="0"/>
              <w:right w:val="single" w:color="auto" w:sz="4" w:space="0"/>
            </w:tcBorders>
          </w:tcPr>
          <w:p w14:paraId="37FAC812">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WAJWASCO</w:t>
            </w:r>
          </w:p>
          <w:p w14:paraId="601528C0">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Contractor</w:t>
            </w:r>
          </w:p>
        </w:tc>
        <w:tc>
          <w:tcPr>
            <w:tcW w:w="562" w:type="pct"/>
            <w:tcBorders>
              <w:top w:val="single" w:color="auto" w:sz="4" w:space="0"/>
              <w:left w:val="nil"/>
              <w:bottom w:val="single" w:color="auto" w:sz="4" w:space="0"/>
              <w:right w:val="single" w:color="auto" w:sz="4" w:space="0"/>
            </w:tcBorders>
          </w:tcPr>
          <w:p w14:paraId="26C94783">
            <w:pPr>
              <w:tabs>
                <w:tab w:val="left" w:pos="709"/>
              </w:tabs>
              <w:spacing w:after="0" w:line="240" w:lineRule="auto"/>
              <w:jc w:val="both"/>
              <w:rPr>
                <w:rFonts w:eastAsia="Times New Roman"/>
                <w:bCs/>
                <w:lang w:eastAsia="en-GB"/>
              </w:rPr>
            </w:pPr>
            <w:r>
              <w:rPr>
                <w:rFonts w:eastAsia="Times New Roman"/>
                <w:bCs/>
                <w:lang w:eastAsia="en-GB"/>
              </w:rPr>
              <w:t>Throughout project operation</w:t>
            </w:r>
          </w:p>
        </w:tc>
        <w:tc>
          <w:tcPr>
            <w:tcW w:w="561" w:type="pct"/>
            <w:tcBorders>
              <w:top w:val="single" w:color="auto" w:sz="4" w:space="0"/>
              <w:left w:val="nil"/>
              <w:bottom w:val="single" w:color="auto" w:sz="4" w:space="0"/>
              <w:right w:val="single" w:color="auto" w:sz="4" w:space="0"/>
            </w:tcBorders>
          </w:tcPr>
          <w:p w14:paraId="12C92670">
            <w:pPr>
              <w:tabs>
                <w:tab w:val="left" w:pos="709"/>
              </w:tabs>
              <w:spacing w:after="0" w:line="240" w:lineRule="auto"/>
              <w:jc w:val="both"/>
              <w:rPr>
                <w:rFonts w:eastAsia="Times New Roman"/>
                <w:bCs/>
                <w:lang w:eastAsia="en-GB"/>
              </w:rPr>
            </w:pPr>
            <w:r>
              <w:rPr>
                <w:rFonts w:eastAsia="Times New Roman"/>
                <w:bCs/>
                <w:lang w:eastAsia="en-GB"/>
              </w:rPr>
              <w:t>100,000</w:t>
            </w:r>
          </w:p>
        </w:tc>
      </w:tr>
      <w:tr w14:paraId="34AF35CF">
        <w:tblPrEx>
          <w:tblCellMar>
            <w:top w:w="0" w:type="dxa"/>
            <w:left w:w="108" w:type="dxa"/>
            <w:bottom w:w="0" w:type="dxa"/>
            <w:right w:w="108" w:type="dxa"/>
          </w:tblCellMar>
        </w:tblPrEx>
        <w:trPr>
          <w:trHeight w:val="1078" w:hRule="atLeast"/>
        </w:trPr>
        <w:tc>
          <w:tcPr>
            <w:tcW w:w="761" w:type="pct"/>
            <w:tcBorders>
              <w:top w:val="single" w:color="auto" w:sz="4" w:space="0"/>
              <w:left w:val="single" w:color="auto" w:sz="4" w:space="0"/>
              <w:bottom w:val="single" w:color="auto" w:sz="4" w:space="0"/>
              <w:right w:val="single" w:color="auto" w:sz="4" w:space="0"/>
            </w:tcBorders>
          </w:tcPr>
          <w:p w14:paraId="396407FC">
            <w:pPr>
              <w:tabs>
                <w:tab w:val="left" w:pos="709"/>
              </w:tabs>
              <w:spacing w:after="0" w:line="240" w:lineRule="auto"/>
              <w:jc w:val="both"/>
              <w:rPr>
                <w:kern w:val="2"/>
                <w14:ligatures w14:val="standardContextual"/>
              </w:rPr>
            </w:pPr>
            <w:r>
              <w:rPr>
                <w:kern w:val="2"/>
                <w14:ligatures w14:val="standardContextual"/>
              </w:rPr>
              <w:t>Attraction of Scavengers fauna (birds and small rodents)</w:t>
            </w:r>
          </w:p>
        </w:tc>
        <w:tc>
          <w:tcPr>
            <w:tcW w:w="354" w:type="pct"/>
            <w:tcBorders>
              <w:top w:val="single" w:color="auto" w:sz="4" w:space="0"/>
              <w:left w:val="single" w:color="auto" w:sz="4" w:space="0"/>
              <w:bottom w:val="single" w:color="auto" w:sz="4" w:space="0"/>
              <w:right w:val="single" w:color="auto" w:sz="4" w:space="0"/>
            </w:tcBorders>
          </w:tcPr>
          <w:p w14:paraId="4D932E28">
            <w:pPr>
              <w:tabs>
                <w:tab w:val="left" w:pos="709"/>
              </w:tabs>
              <w:spacing w:after="0" w:line="240" w:lineRule="auto"/>
              <w:jc w:val="both"/>
            </w:pPr>
          </w:p>
        </w:tc>
        <w:tc>
          <w:tcPr>
            <w:tcW w:w="1272" w:type="pct"/>
            <w:tcBorders>
              <w:top w:val="single" w:color="auto" w:sz="4" w:space="0"/>
              <w:left w:val="nil"/>
              <w:bottom w:val="single" w:color="auto" w:sz="4" w:space="0"/>
              <w:right w:val="single" w:color="auto" w:sz="4" w:space="0"/>
            </w:tcBorders>
          </w:tcPr>
          <w:p w14:paraId="06635D2D">
            <w:pPr>
              <w:tabs>
                <w:tab w:val="left" w:pos="709"/>
              </w:tabs>
              <w:spacing w:after="0"/>
              <w:rPr>
                <w:rFonts w:eastAsia="Times New Roman" w:cs="Times New Roman"/>
              </w:rPr>
            </w:pPr>
            <w:r>
              <w:rPr>
                <w:rFonts w:eastAsia="Times New Roman" w:cs="Times New Roman"/>
              </w:rPr>
              <w:t>Maintain proper drainage to prevent stagnant water and reduce moist environments.</w:t>
            </w:r>
          </w:p>
          <w:p w14:paraId="2CFA464A">
            <w:pPr>
              <w:tabs>
                <w:tab w:val="left" w:pos="709"/>
              </w:tabs>
              <w:spacing w:after="0"/>
              <w:rPr>
                <w:rFonts w:eastAsia="Times New Roman" w:cs="Times New Roman"/>
              </w:rPr>
            </w:pPr>
            <w:r>
              <w:rPr>
                <w:rFonts w:eastAsia="Times New Roman" w:cs="Times New Roman"/>
              </w:rPr>
              <w:t>Seal gaps in structures, maintain equipment, and avoid creating shelters or nesting sites.</w:t>
            </w:r>
          </w:p>
          <w:p w14:paraId="18674E8A">
            <w:pPr>
              <w:tabs>
                <w:tab w:val="left" w:pos="709"/>
              </w:tabs>
              <w:spacing w:after="0"/>
              <w:rPr>
                <w:rFonts w:eastAsia="Times New Roman" w:cs="Times New Roman"/>
              </w:rPr>
            </w:pPr>
            <w:r>
              <w:rPr>
                <w:rFonts w:eastAsia="Times New Roman" w:cs="Times New Roman"/>
              </w:rPr>
              <w:t>Implement odor control measures such as covering sludge and using odor-neutralizing agents.</w:t>
            </w:r>
          </w:p>
          <w:p w14:paraId="225E85AE">
            <w:pPr>
              <w:tabs>
                <w:tab w:val="left" w:pos="709"/>
              </w:tabs>
              <w:spacing w:after="0"/>
              <w:rPr>
                <w:kern w:val="2"/>
                <w14:ligatures w14:val="standardContextual"/>
              </w:rPr>
            </w:pPr>
            <w:r>
              <w:rPr>
                <w:rFonts w:eastAsia="Times New Roman" w:cs="Times New Roman"/>
              </w:rPr>
              <w:t>Maintain landscaping to reduce potential shelter for animals and birds.</w:t>
            </w:r>
          </w:p>
        </w:tc>
        <w:tc>
          <w:tcPr>
            <w:tcW w:w="882" w:type="pct"/>
            <w:tcBorders>
              <w:top w:val="single" w:color="auto" w:sz="4" w:space="0"/>
              <w:left w:val="nil"/>
              <w:bottom w:val="single" w:color="auto" w:sz="4" w:space="0"/>
              <w:right w:val="single" w:color="auto" w:sz="4" w:space="0"/>
            </w:tcBorders>
          </w:tcPr>
          <w:p w14:paraId="1F3B3330">
            <w:pPr>
              <w:tabs>
                <w:tab w:val="left" w:pos="709"/>
              </w:tabs>
              <w:spacing w:after="0" w:line="240" w:lineRule="auto"/>
              <w:jc w:val="both"/>
              <w:rPr>
                <w:rFonts w:eastAsia="Times New Roman" w:cs="Times New Roman"/>
                <w:bCs/>
                <w:lang w:eastAsia="en-GB"/>
              </w:rPr>
            </w:pPr>
            <w:r>
              <w:rPr>
                <w:rFonts w:eastAsia="Times New Roman" w:cs="Times New Roman"/>
                <w:bCs/>
                <w:lang w:eastAsia="en-GB"/>
              </w:rPr>
              <w:t>Number of birds and animals in the site</w:t>
            </w:r>
          </w:p>
        </w:tc>
        <w:tc>
          <w:tcPr>
            <w:tcW w:w="608" w:type="pct"/>
            <w:tcBorders>
              <w:top w:val="single" w:color="auto" w:sz="4" w:space="0"/>
              <w:left w:val="single" w:color="auto" w:sz="4" w:space="0"/>
              <w:bottom w:val="single" w:color="auto" w:sz="4" w:space="0"/>
              <w:right w:val="single" w:color="auto" w:sz="4" w:space="0"/>
            </w:tcBorders>
          </w:tcPr>
          <w:p w14:paraId="7D2C03D7">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WAJWASCO</w:t>
            </w:r>
          </w:p>
          <w:p w14:paraId="3D277D26">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Contractor</w:t>
            </w:r>
          </w:p>
        </w:tc>
        <w:tc>
          <w:tcPr>
            <w:tcW w:w="562" w:type="pct"/>
            <w:tcBorders>
              <w:top w:val="single" w:color="auto" w:sz="4" w:space="0"/>
              <w:left w:val="nil"/>
              <w:bottom w:val="single" w:color="auto" w:sz="4" w:space="0"/>
              <w:right w:val="single" w:color="auto" w:sz="4" w:space="0"/>
            </w:tcBorders>
          </w:tcPr>
          <w:p w14:paraId="2EF8E3F0">
            <w:pPr>
              <w:tabs>
                <w:tab w:val="left" w:pos="709"/>
              </w:tabs>
              <w:spacing w:after="0" w:line="240" w:lineRule="auto"/>
              <w:jc w:val="both"/>
              <w:rPr>
                <w:rFonts w:eastAsia="Times New Roman"/>
                <w:bCs/>
                <w:lang w:eastAsia="en-GB"/>
              </w:rPr>
            </w:pPr>
            <w:r>
              <w:rPr>
                <w:rFonts w:eastAsia="Times New Roman"/>
                <w:bCs/>
                <w:lang w:eastAsia="en-GB"/>
              </w:rPr>
              <w:t>Throughout project operation</w:t>
            </w:r>
          </w:p>
        </w:tc>
        <w:tc>
          <w:tcPr>
            <w:tcW w:w="561" w:type="pct"/>
            <w:tcBorders>
              <w:top w:val="single" w:color="auto" w:sz="4" w:space="0"/>
              <w:left w:val="nil"/>
              <w:bottom w:val="single" w:color="auto" w:sz="4" w:space="0"/>
              <w:right w:val="single" w:color="auto" w:sz="4" w:space="0"/>
            </w:tcBorders>
          </w:tcPr>
          <w:p w14:paraId="1D4D2C75">
            <w:pPr>
              <w:tabs>
                <w:tab w:val="left" w:pos="709"/>
              </w:tabs>
              <w:spacing w:after="0" w:line="240" w:lineRule="auto"/>
              <w:jc w:val="both"/>
              <w:rPr>
                <w:rFonts w:eastAsia="Times New Roman"/>
                <w:bCs/>
                <w:lang w:eastAsia="en-GB"/>
              </w:rPr>
            </w:pPr>
            <w:r>
              <w:rPr>
                <w:rFonts w:eastAsia="Times New Roman"/>
                <w:bCs/>
                <w:lang w:eastAsia="en-GB"/>
              </w:rPr>
              <w:t>200,000</w:t>
            </w:r>
          </w:p>
        </w:tc>
      </w:tr>
      <w:tr w14:paraId="541C49B6">
        <w:tblPrEx>
          <w:tblCellMar>
            <w:top w:w="0" w:type="dxa"/>
            <w:left w:w="108" w:type="dxa"/>
            <w:bottom w:w="0" w:type="dxa"/>
            <w:right w:w="108" w:type="dxa"/>
          </w:tblCellMar>
        </w:tblPrEx>
        <w:trPr>
          <w:trHeight w:val="1078" w:hRule="atLeast"/>
        </w:trPr>
        <w:tc>
          <w:tcPr>
            <w:tcW w:w="761" w:type="pct"/>
            <w:tcBorders>
              <w:top w:val="single" w:color="auto" w:sz="4" w:space="0"/>
              <w:left w:val="single" w:color="auto" w:sz="4" w:space="0"/>
              <w:bottom w:val="single" w:color="auto" w:sz="4" w:space="0"/>
              <w:right w:val="single" w:color="auto" w:sz="4" w:space="0"/>
            </w:tcBorders>
          </w:tcPr>
          <w:p w14:paraId="7BD08B28">
            <w:pPr>
              <w:tabs>
                <w:tab w:val="left" w:pos="709"/>
              </w:tabs>
              <w:spacing w:after="0" w:line="240" w:lineRule="auto"/>
              <w:jc w:val="both"/>
              <w:rPr>
                <w:kern w:val="2"/>
                <w14:ligatures w14:val="standardContextual"/>
              </w:rPr>
            </w:pPr>
            <w:r>
              <w:rPr>
                <w:kern w:val="2"/>
                <w14:ligatures w14:val="standardContextual"/>
              </w:rPr>
              <w:t>Emission of Greenhouse gases e.g. Methane</w:t>
            </w:r>
          </w:p>
        </w:tc>
        <w:tc>
          <w:tcPr>
            <w:tcW w:w="354" w:type="pct"/>
            <w:tcBorders>
              <w:top w:val="single" w:color="auto" w:sz="4" w:space="0"/>
              <w:left w:val="single" w:color="auto" w:sz="4" w:space="0"/>
              <w:bottom w:val="single" w:color="auto" w:sz="4" w:space="0"/>
              <w:right w:val="single" w:color="auto" w:sz="4" w:space="0"/>
            </w:tcBorders>
          </w:tcPr>
          <w:p w14:paraId="0A77859B">
            <w:pPr>
              <w:tabs>
                <w:tab w:val="left" w:pos="709"/>
              </w:tabs>
              <w:spacing w:after="0" w:line="240" w:lineRule="auto"/>
              <w:jc w:val="both"/>
            </w:pPr>
          </w:p>
        </w:tc>
        <w:tc>
          <w:tcPr>
            <w:tcW w:w="1272" w:type="pct"/>
            <w:tcBorders>
              <w:top w:val="single" w:color="auto" w:sz="4" w:space="0"/>
              <w:left w:val="nil"/>
              <w:bottom w:val="single" w:color="auto" w:sz="4" w:space="0"/>
              <w:right w:val="single" w:color="auto" w:sz="4" w:space="0"/>
            </w:tcBorders>
          </w:tcPr>
          <w:p w14:paraId="67304F3D">
            <w:pPr>
              <w:tabs>
                <w:tab w:val="left" w:pos="709"/>
              </w:tabs>
              <w:spacing w:after="0"/>
              <w:jc w:val="both"/>
              <w:rPr>
                <w:rFonts w:eastAsia="Times New Roman" w:cs="Times New Roman"/>
              </w:rPr>
            </w:pPr>
            <w:r>
              <w:rPr>
                <w:rFonts w:eastAsia="Times New Roman" w:cs="Times New Roman"/>
              </w:rPr>
              <w:t>Install systems to capture and utilize methane for energy or flare it safely.</w:t>
            </w:r>
          </w:p>
          <w:p w14:paraId="435CC348">
            <w:pPr>
              <w:tabs>
                <w:tab w:val="left" w:pos="709"/>
              </w:tabs>
              <w:spacing w:after="0"/>
              <w:jc w:val="both"/>
              <w:rPr>
                <w:rFonts w:eastAsia="Times New Roman" w:cs="Times New Roman"/>
              </w:rPr>
            </w:pPr>
            <w:r>
              <w:rPr>
                <w:rFonts w:eastAsia="Times New Roman" w:cs="Times New Roman"/>
              </w:rPr>
              <w:t>Improve anaerobic digestion processes and maintain equipment to enhance efficiency and prevent leaks.</w:t>
            </w:r>
          </w:p>
          <w:p w14:paraId="58BC7F1D">
            <w:pPr>
              <w:tabs>
                <w:tab w:val="left" w:pos="709"/>
              </w:tabs>
              <w:spacing w:after="0"/>
              <w:jc w:val="both"/>
              <w:rPr>
                <w:rFonts w:eastAsia="Times New Roman" w:cs="Times New Roman"/>
                <w:b/>
              </w:rPr>
            </w:pPr>
            <w:r>
              <w:rPr>
                <w:rFonts w:eastAsia="Times New Roman" w:cs="Times New Roman"/>
              </w:rPr>
              <w:t>Use covered storage and advanced treatment technologies to reduce methane production.</w:t>
            </w:r>
          </w:p>
          <w:p w14:paraId="52657332">
            <w:pPr>
              <w:tabs>
                <w:tab w:val="left" w:pos="709"/>
              </w:tabs>
              <w:spacing w:after="0"/>
              <w:jc w:val="both"/>
              <w:rPr>
                <w:rFonts w:eastAsia="Times New Roman" w:cs="Times New Roman"/>
              </w:rPr>
            </w:pPr>
            <w:r>
              <w:rPr>
                <w:rFonts w:eastAsia="Times New Roman" w:cs="Times New Roman"/>
              </w:rPr>
              <w:t>Regularly inspect and maintain infrastructure to detect and repair leaks.</w:t>
            </w:r>
          </w:p>
          <w:p w14:paraId="19012214">
            <w:pPr>
              <w:tabs>
                <w:tab w:val="left" w:pos="709"/>
              </w:tabs>
              <w:spacing w:after="0"/>
              <w:jc w:val="both"/>
              <w:rPr>
                <w:rFonts w:eastAsia="Times New Roman" w:cs="Times New Roman"/>
              </w:rPr>
            </w:pPr>
            <w:r>
              <w:rPr>
                <w:rFonts w:eastAsia="Times New Roman" w:cs="Times New Roman"/>
              </w:rPr>
              <w:t>Optimize processes and monitor emissions to minimize methane generation.</w:t>
            </w:r>
          </w:p>
          <w:p w14:paraId="264D3964">
            <w:pPr>
              <w:tabs>
                <w:tab w:val="left" w:pos="709"/>
              </w:tabs>
              <w:spacing w:after="0"/>
              <w:jc w:val="both"/>
              <w:rPr>
                <w:rFonts w:cstheme="minorHAnsi"/>
                <w:b/>
              </w:rPr>
            </w:pPr>
            <w:r>
              <w:rPr>
                <w:rFonts w:eastAsia="Times New Roman" w:cs="Times New Roman"/>
              </w:rPr>
              <w:t>Implement vegetative cover and biofilters to absorb and treat methane.</w:t>
            </w:r>
          </w:p>
        </w:tc>
        <w:tc>
          <w:tcPr>
            <w:tcW w:w="882" w:type="pct"/>
            <w:tcBorders>
              <w:top w:val="single" w:color="auto" w:sz="4" w:space="0"/>
              <w:left w:val="nil"/>
              <w:bottom w:val="single" w:color="auto" w:sz="4" w:space="0"/>
              <w:right w:val="single" w:color="auto" w:sz="4" w:space="0"/>
            </w:tcBorders>
          </w:tcPr>
          <w:p w14:paraId="7B9F8000">
            <w:pPr>
              <w:tabs>
                <w:tab w:val="left" w:pos="709"/>
              </w:tabs>
              <w:spacing w:after="0" w:line="240" w:lineRule="auto"/>
              <w:jc w:val="both"/>
              <w:rPr>
                <w:rFonts w:eastAsia="Times New Roman" w:cs="Times New Roman"/>
                <w:bCs/>
                <w:lang w:eastAsia="en-GB"/>
              </w:rPr>
            </w:pPr>
            <w:r>
              <w:rPr>
                <w:rFonts w:eastAsia="Times New Roman" w:cs="Times New Roman"/>
                <w:bCs/>
                <w:lang w:eastAsia="en-GB"/>
              </w:rPr>
              <w:t>Amount of GHGs emitted</w:t>
            </w:r>
          </w:p>
        </w:tc>
        <w:tc>
          <w:tcPr>
            <w:tcW w:w="608" w:type="pct"/>
            <w:tcBorders>
              <w:top w:val="single" w:color="auto" w:sz="4" w:space="0"/>
              <w:left w:val="single" w:color="auto" w:sz="4" w:space="0"/>
              <w:bottom w:val="single" w:color="auto" w:sz="4" w:space="0"/>
              <w:right w:val="single" w:color="auto" w:sz="4" w:space="0"/>
            </w:tcBorders>
          </w:tcPr>
          <w:p w14:paraId="46926378">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WAJWASCO</w:t>
            </w:r>
          </w:p>
          <w:p w14:paraId="14D08DE9">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Contractor</w:t>
            </w:r>
          </w:p>
          <w:p w14:paraId="30FE7590">
            <w:pPr>
              <w:tabs>
                <w:tab w:val="left" w:pos="709"/>
              </w:tabs>
              <w:spacing w:after="0" w:line="240" w:lineRule="auto"/>
              <w:jc w:val="both"/>
              <w:rPr>
                <w:rFonts w:eastAsia="Times New Roman" w:cs="Times New Roman"/>
                <w:bCs/>
                <w:lang w:val="en-GB" w:eastAsia="en-GB"/>
              </w:rPr>
            </w:pPr>
            <w:r>
              <w:rPr>
                <w:rFonts w:eastAsia="Times New Roman" w:cs="Times New Roman"/>
                <w:bCs/>
                <w:lang w:val="en-GB" w:eastAsia="en-GB"/>
              </w:rPr>
              <w:t>Consultant</w:t>
            </w:r>
          </w:p>
        </w:tc>
        <w:tc>
          <w:tcPr>
            <w:tcW w:w="562" w:type="pct"/>
            <w:tcBorders>
              <w:top w:val="single" w:color="auto" w:sz="4" w:space="0"/>
              <w:left w:val="nil"/>
              <w:bottom w:val="single" w:color="auto" w:sz="4" w:space="0"/>
              <w:right w:val="single" w:color="auto" w:sz="4" w:space="0"/>
            </w:tcBorders>
          </w:tcPr>
          <w:p w14:paraId="2CF0EF01">
            <w:pPr>
              <w:tabs>
                <w:tab w:val="left" w:pos="709"/>
              </w:tabs>
              <w:spacing w:after="0" w:line="240" w:lineRule="auto"/>
              <w:jc w:val="both"/>
              <w:rPr>
                <w:rFonts w:eastAsia="Times New Roman"/>
                <w:bCs/>
                <w:lang w:eastAsia="en-GB"/>
              </w:rPr>
            </w:pPr>
            <w:r>
              <w:rPr>
                <w:rFonts w:eastAsia="Times New Roman"/>
                <w:bCs/>
                <w:lang w:eastAsia="en-GB"/>
              </w:rPr>
              <w:t>Throughout project operation</w:t>
            </w:r>
          </w:p>
        </w:tc>
        <w:tc>
          <w:tcPr>
            <w:tcW w:w="561" w:type="pct"/>
            <w:tcBorders>
              <w:top w:val="single" w:color="auto" w:sz="4" w:space="0"/>
              <w:left w:val="nil"/>
              <w:bottom w:val="single" w:color="auto" w:sz="4" w:space="0"/>
              <w:right w:val="single" w:color="auto" w:sz="4" w:space="0"/>
            </w:tcBorders>
          </w:tcPr>
          <w:p w14:paraId="320DBD1A">
            <w:pPr>
              <w:tabs>
                <w:tab w:val="left" w:pos="709"/>
              </w:tabs>
              <w:spacing w:after="0" w:line="240" w:lineRule="auto"/>
              <w:jc w:val="both"/>
              <w:rPr>
                <w:rFonts w:eastAsia="Times New Roman"/>
                <w:bCs/>
                <w:lang w:eastAsia="en-GB"/>
              </w:rPr>
            </w:pPr>
            <w:r>
              <w:rPr>
                <w:rFonts w:eastAsia="Times New Roman"/>
                <w:bCs/>
                <w:lang w:eastAsia="en-GB"/>
              </w:rPr>
              <w:t>250,000</w:t>
            </w:r>
          </w:p>
        </w:tc>
      </w:tr>
    </w:tbl>
    <w:p w14:paraId="28038874">
      <w:pPr>
        <w:tabs>
          <w:tab w:val="left" w:pos="709"/>
        </w:tabs>
        <w:spacing w:before="100" w:beforeAutospacing="1" w:after="100" w:afterAutospacing="1" w:line="240" w:lineRule="auto"/>
        <w:jc w:val="both"/>
        <w:rPr>
          <w:bCs/>
        </w:rPr>
        <w:sectPr>
          <w:headerReference r:id="rId32" w:type="default"/>
          <w:pgSz w:w="16838" w:h="11906" w:orient="landscape"/>
          <w:pgMar w:top="1440" w:right="1440" w:bottom="1440" w:left="1440" w:header="708" w:footer="708" w:gutter="0"/>
          <w:cols w:space="708" w:num="1"/>
          <w:docGrid w:linePitch="360" w:charSpace="0"/>
        </w:sectPr>
      </w:pPr>
    </w:p>
    <w:p w14:paraId="35F551F4">
      <w:pPr>
        <w:pStyle w:val="4"/>
        <w:spacing w:before="100" w:beforeAutospacing="1" w:after="100" w:afterAutospacing="1"/>
      </w:pPr>
      <w:bookmarkStart w:id="537" w:name="_Toc170723040"/>
      <w:bookmarkStart w:id="538" w:name="_Toc179904107"/>
      <w:bookmarkStart w:id="539" w:name="_Toc163820088"/>
      <w:bookmarkStart w:id="540" w:name="_Toc165561367"/>
      <w:r>
        <w:t xml:space="preserve">9.4.4 </w:t>
      </w:r>
      <w:r>
        <w:tab/>
      </w:r>
      <w:r>
        <w:t>ESMMP for Decommissioning Phase</w:t>
      </w:r>
      <w:bookmarkEnd w:id="537"/>
      <w:bookmarkEnd w:id="538"/>
      <w:r>
        <w:t xml:space="preserve"> </w:t>
      </w:r>
      <w:bookmarkEnd w:id="539"/>
      <w:bookmarkEnd w:id="540"/>
    </w:p>
    <w:tbl>
      <w:tblPr>
        <w:tblStyle w:val="12"/>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30"/>
        <w:gridCol w:w="1159"/>
        <w:gridCol w:w="3532"/>
        <w:gridCol w:w="2546"/>
        <w:gridCol w:w="2163"/>
        <w:gridCol w:w="1698"/>
        <w:gridCol w:w="1146"/>
      </w:tblGrid>
      <w:tr w14:paraId="02332F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2" w:hRule="atLeast"/>
          <w:tblHeader/>
        </w:trPr>
        <w:tc>
          <w:tcPr>
            <w:tcW w:w="681" w:type="pct"/>
            <w:shd w:val="clear" w:color="auto" w:fill="5B9BD5" w:themeFill="accent1"/>
          </w:tcPr>
          <w:p w14:paraId="1F55C37A">
            <w:pPr>
              <w:tabs>
                <w:tab w:val="left" w:pos="709"/>
              </w:tabs>
              <w:spacing w:after="0" w:line="240" w:lineRule="auto"/>
              <w:jc w:val="both"/>
              <w:rPr>
                <w:b/>
                <w:lang w:val="en-GB" w:eastAsia="en-GB"/>
              </w:rPr>
            </w:pPr>
            <w:r>
              <w:rPr>
                <w:b/>
                <w:lang w:val="en-GB" w:eastAsia="en-GB"/>
              </w:rPr>
              <w:t>Possible Impact</w:t>
            </w:r>
          </w:p>
        </w:tc>
        <w:tc>
          <w:tcPr>
            <w:tcW w:w="409" w:type="pct"/>
            <w:shd w:val="clear" w:color="auto" w:fill="5B9BD5" w:themeFill="accent1"/>
          </w:tcPr>
          <w:p w14:paraId="3838DDE3">
            <w:pPr>
              <w:tabs>
                <w:tab w:val="left" w:pos="709"/>
              </w:tabs>
              <w:spacing w:after="0" w:line="240" w:lineRule="auto"/>
              <w:jc w:val="both"/>
              <w:rPr>
                <w:rFonts w:eastAsia="Times New Roman"/>
                <w:b/>
                <w:bCs/>
                <w:lang w:val="en-GB" w:eastAsia="en-GB"/>
              </w:rPr>
            </w:pPr>
            <w:r>
              <w:rPr>
                <w:rFonts w:eastAsia="Times New Roman"/>
                <w:b/>
                <w:bCs/>
                <w:lang w:val="en-GB" w:eastAsia="en-GB"/>
              </w:rPr>
              <w:t>Impact Level</w:t>
            </w:r>
          </w:p>
        </w:tc>
        <w:tc>
          <w:tcPr>
            <w:tcW w:w="1246" w:type="pct"/>
            <w:shd w:val="clear" w:color="auto" w:fill="5B9BD5" w:themeFill="accent1"/>
          </w:tcPr>
          <w:p w14:paraId="78A51AA3">
            <w:pPr>
              <w:tabs>
                <w:tab w:val="left" w:pos="709"/>
              </w:tabs>
              <w:spacing w:after="0" w:line="240" w:lineRule="auto"/>
              <w:jc w:val="both"/>
              <w:rPr>
                <w:rFonts w:eastAsia="Times New Roman"/>
                <w:b/>
                <w:bCs/>
                <w:lang w:val="en-GB" w:eastAsia="en-GB"/>
              </w:rPr>
            </w:pPr>
            <w:r>
              <w:rPr>
                <w:rFonts w:eastAsia="Times New Roman"/>
                <w:b/>
                <w:bCs/>
                <w:lang w:val="en-GB" w:eastAsia="en-GB"/>
              </w:rPr>
              <w:t>Management Actions</w:t>
            </w:r>
          </w:p>
        </w:tc>
        <w:tc>
          <w:tcPr>
            <w:tcW w:w="898" w:type="pct"/>
            <w:shd w:val="clear" w:color="auto" w:fill="5B9BD5" w:themeFill="accent1"/>
          </w:tcPr>
          <w:p w14:paraId="70FBE2DC">
            <w:pPr>
              <w:tabs>
                <w:tab w:val="left" w:pos="709"/>
              </w:tabs>
              <w:spacing w:after="0" w:line="240" w:lineRule="auto"/>
              <w:jc w:val="both"/>
              <w:rPr>
                <w:rFonts w:eastAsia="Times New Roman"/>
                <w:b/>
                <w:bCs/>
                <w:lang w:val="en-GB" w:eastAsia="en-GB"/>
              </w:rPr>
            </w:pPr>
            <w:r>
              <w:rPr>
                <w:rFonts w:eastAsia="Times New Roman"/>
                <w:b/>
                <w:bCs/>
                <w:lang w:val="en-GB" w:eastAsia="en-GB"/>
              </w:rPr>
              <w:t>Monitoring Indicators</w:t>
            </w:r>
          </w:p>
        </w:tc>
        <w:tc>
          <w:tcPr>
            <w:tcW w:w="763" w:type="pct"/>
            <w:shd w:val="clear" w:color="auto" w:fill="5B9BD5" w:themeFill="accent1"/>
          </w:tcPr>
          <w:p w14:paraId="0A3B17AC">
            <w:pPr>
              <w:tabs>
                <w:tab w:val="left" w:pos="709"/>
              </w:tabs>
              <w:spacing w:after="0" w:line="240" w:lineRule="auto"/>
              <w:jc w:val="both"/>
              <w:rPr>
                <w:rFonts w:eastAsia="Times New Roman"/>
                <w:b/>
                <w:bCs/>
                <w:lang w:val="en-GB" w:eastAsia="en-GB"/>
              </w:rPr>
            </w:pPr>
            <w:r>
              <w:rPr>
                <w:rFonts w:eastAsia="Times New Roman"/>
                <w:b/>
                <w:bCs/>
                <w:lang w:val="en-GB" w:eastAsia="en-GB"/>
              </w:rPr>
              <w:t>Responsibilities</w:t>
            </w:r>
          </w:p>
        </w:tc>
        <w:tc>
          <w:tcPr>
            <w:tcW w:w="599" w:type="pct"/>
            <w:shd w:val="clear" w:color="auto" w:fill="5B9BD5" w:themeFill="accent1"/>
          </w:tcPr>
          <w:p w14:paraId="1807DDCE">
            <w:pPr>
              <w:tabs>
                <w:tab w:val="left" w:pos="709"/>
              </w:tabs>
              <w:spacing w:after="0" w:line="240" w:lineRule="auto"/>
              <w:jc w:val="both"/>
              <w:rPr>
                <w:rFonts w:eastAsia="Times New Roman"/>
                <w:b/>
                <w:bCs/>
                <w:lang w:val="en-GB" w:eastAsia="en-GB"/>
              </w:rPr>
            </w:pPr>
            <w:r>
              <w:rPr>
                <w:rFonts w:eastAsia="Times New Roman"/>
                <w:b/>
                <w:bCs/>
                <w:lang w:val="en-GB" w:eastAsia="en-GB"/>
              </w:rPr>
              <w:t>Monitoring Frequency</w:t>
            </w:r>
          </w:p>
        </w:tc>
        <w:tc>
          <w:tcPr>
            <w:tcW w:w="405" w:type="pct"/>
            <w:shd w:val="clear" w:color="auto" w:fill="5B9BD5" w:themeFill="accent1"/>
          </w:tcPr>
          <w:p w14:paraId="00D4E3C8">
            <w:pPr>
              <w:tabs>
                <w:tab w:val="left" w:pos="709"/>
              </w:tabs>
              <w:spacing w:after="0" w:line="240" w:lineRule="auto"/>
              <w:jc w:val="both"/>
              <w:rPr>
                <w:rFonts w:eastAsia="Times New Roman"/>
                <w:b/>
                <w:bCs/>
                <w:lang w:val="en-GB" w:eastAsia="en-GB"/>
              </w:rPr>
            </w:pPr>
            <w:r>
              <w:rPr>
                <w:b/>
                <w:bCs/>
              </w:rPr>
              <w:t>Estimated Budget</w:t>
            </w:r>
            <w:r>
              <w:rPr>
                <w:b/>
                <w:bCs/>
                <w:spacing w:val="-43"/>
              </w:rPr>
              <w:t xml:space="preserve"> </w:t>
            </w:r>
            <w:r>
              <w:rPr>
                <w:b/>
                <w:bCs/>
              </w:rPr>
              <w:t>(Kshs)</w:t>
            </w:r>
          </w:p>
        </w:tc>
      </w:tr>
      <w:tr w14:paraId="19F7D8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trPr>
        <w:tc>
          <w:tcPr>
            <w:tcW w:w="681" w:type="pct"/>
            <w:vAlign w:val="center"/>
          </w:tcPr>
          <w:p w14:paraId="00A38C56">
            <w:pPr>
              <w:tabs>
                <w:tab w:val="left" w:pos="709"/>
              </w:tabs>
              <w:spacing w:after="0" w:line="240" w:lineRule="auto"/>
              <w:jc w:val="both"/>
            </w:pPr>
            <w:r>
              <w:rPr>
                <w:kern w:val="2"/>
                <w14:ligatures w14:val="standardContextual"/>
              </w:rPr>
              <w:t xml:space="preserve">Disruption of Services </w:t>
            </w:r>
          </w:p>
        </w:tc>
        <w:tc>
          <w:tcPr>
            <w:tcW w:w="409" w:type="pct"/>
            <w:vAlign w:val="center"/>
          </w:tcPr>
          <w:p w14:paraId="1D4B7694">
            <w:pPr>
              <w:tabs>
                <w:tab w:val="left" w:pos="709"/>
              </w:tabs>
              <w:spacing w:after="0" w:line="240" w:lineRule="auto"/>
              <w:jc w:val="both"/>
              <w:rPr>
                <w:rFonts w:eastAsia="Times New Roman"/>
                <w:bCs/>
                <w:lang w:val="en-GB" w:eastAsia="en-GB"/>
              </w:rPr>
            </w:pPr>
            <w:r>
              <w:t>Low Medium</w:t>
            </w:r>
          </w:p>
        </w:tc>
        <w:tc>
          <w:tcPr>
            <w:tcW w:w="1246" w:type="pct"/>
            <w:vAlign w:val="center"/>
          </w:tcPr>
          <w:p w14:paraId="7310C0DC">
            <w:pPr>
              <w:tabs>
                <w:tab w:val="left" w:pos="709"/>
              </w:tabs>
              <w:spacing w:after="0" w:line="240" w:lineRule="auto"/>
              <w:jc w:val="both"/>
              <w:rPr>
                <w:kern w:val="2"/>
                <w14:ligatures w14:val="standardContextual"/>
              </w:rPr>
            </w:pPr>
            <w:r>
              <w:rPr>
                <w:kern w:val="2"/>
                <w14:ligatures w14:val="standardContextual"/>
              </w:rPr>
              <w:t>Implement phased decommissioning to minimize disruption to services.</w:t>
            </w:r>
          </w:p>
          <w:p w14:paraId="64C39CE3">
            <w:pPr>
              <w:tabs>
                <w:tab w:val="left" w:pos="709"/>
              </w:tabs>
              <w:spacing w:after="0" w:line="240" w:lineRule="auto"/>
              <w:jc w:val="both"/>
              <w:rPr>
                <w:kern w:val="2"/>
                <w14:ligatures w14:val="standardContextual"/>
              </w:rPr>
            </w:pPr>
            <w:r>
              <w:rPr>
                <w:kern w:val="2"/>
                <w14:ligatures w14:val="standardContextual"/>
              </w:rPr>
              <w:t>Provide alternative routes or transportation options for affected commuters.</w:t>
            </w:r>
          </w:p>
          <w:p w14:paraId="3F669458">
            <w:pPr>
              <w:spacing w:after="0"/>
            </w:pPr>
            <w:r>
              <w:t>Schedule decommissioning activities during off-peak hours to reduce impact on traffic flow.</w:t>
            </w:r>
          </w:p>
        </w:tc>
        <w:tc>
          <w:tcPr>
            <w:tcW w:w="898" w:type="pct"/>
          </w:tcPr>
          <w:p w14:paraId="5D55D2AD">
            <w:pPr>
              <w:tabs>
                <w:tab w:val="left" w:pos="709"/>
              </w:tabs>
              <w:spacing w:after="0" w:line="240" w:lineRule="auto"/>
              <w:jc w:val="both"/>
              <w:rPr>
                <w:rFonts w:eastAsia="Times New Roman" w:cs="Times New Roman"/>
              </w:rPr>
            </w:pPr>
            <w:r>
              <w:rPr>
                <w:rFonts w:eastAsia="Times New Roman" w:cs="Times New Roman"/>
              </w:rPr>
              <w:t xml:space="preserve">Number of services affected </w:t>
            </w:r>
          </w:p>
          <w:p w14:paraId="40802777">
            <w:pPr>
              <w:tabs>
                <w:tab w:val="left" w:pos="709"/>
              </w:tabs>
              <w:spacing w:after="0" w:line="240" w:lineRule="auto"/>
              <w:jc w:val="both"/>
              <w:rPr>
                <w:rFonts w:eastAsia="Times New Roman" w:cs="Times New Roman"/>
              </w:rPr>
            </w:pPr>
            <w:r>
              <w:rPr>
                <w:rFonts w:eastAsia="Times New Roman" w:cs="Times New Roman"/>
              </w:rPr>
              <w:t>Duration of service disruptions.</w:t>
            </w:r>
          </w:p>
          <w:p w14:paraId="0F76DA4C">
            <w:pPr>
              <w:tabs>
                <w:tab w:val="left" w:pos="709"/>
              </w:tabs>
              <w:spacing w:after="0" w:line="240" w:lineRule="auto"/>
              <w:jc w:val="both"/>
              <w:rPr>
                <w:rFonts w:eastAsia="Times New Roman" w:cs="Times New Roman"/>
              </w:rPr>
            </w:pPr>
            <w:r>
              <w:rPr>
                <w:rFonts w:eastAsia="Times New Roman" w:cs="Times New Roman"/>
              </w:rPr>
              <w:t>Percentage of planned versus unplanned disruptions.</w:t>
            </w:r>
          </w:p>
        </w:tc>
        <w:tc>
          <w:tcPr>
            <w:tcW w:w="763" w:type="pct"/>
            <w:vAlign w:val="center"/>
          </w:tcPr>
          <w:p w14:paraId="5DA155D2">
            <w:pPr>
              <w:tabs>
                <w:tab w:val="left" w:pos="709"/>
              </w:tabs>
              <w:spacing w:after="0" w:line="240" w:lineRule="auto"/>
              <w:jc w:val="both"/>
              <w:rPr>
                <w:rFonts w:eastAsia="Times New Roman"/>
                <w:bCs/>
                <w:lang w:eastAsia="en-GB"/>
              </w:rPr>
            </w:pPr>
            <w:r>
              <w:rPr>
                <w:rFonts w:eastAsia="Times New Roman"/>
                <w:bCs/>
                <w:lang w:eastAsia="en-GB"/>
              </w:rPr>
              <w:t xml:space="preserve">Local administration </w:t>
            </w:r>
          </w:p>
          <w:p w14:paraId="11664CAF">
            <w:pPr>
              <w:tabs>
                <w:tab w:val="left" w:pos="709"/>
              </w:tabs>
              <w:spacing w:after="0" w:line="240" w:lineRule="auto"/>
              <w:jc w:val="both"/>
              <w:rPr>
                <w:rFonts w:eastAsia="Times New Roman"/>
                <w:bCs/>
                <w:lang w:val="en-GB" w:eastAsia="en-GB"/>
              </w:rPr>
            </w:pPr>
            <w:r>
              <w:rPr>
                <w:rFonts w:eastAsia="Times New Roman"/>
                <w:bCs/>
                <w:lang w:eastAsia="en-GB"/>
              </w:rPr>
              <w:t>WAJWASCO</w:t>
            </w:r>
          </w:p>
        </w:tc>
        <w:tc>
          <w:tcPr>
            <w:tcW w:w="599" w:type="pct"/>
            <w:vAlign w:val="center"/>
          </w:tcPr>
          <w:p w14:paraId="1C987E90">
            <w:pPr>
              <w:tabs>
                <w:tab w:val="left" w:pos="709"/>
              </w:tabs>
              <w:spacing w:after="0" w:line="240" w:lineRule="auto"/>
              <w:jc w:val="both"/>
              <w:rPr>
                <w:rFonts w:eastAsia="Times New Roman"/>
                <w:bCs/>
                <w:lang w:val="en-GB" w:eastAsia="en-GB"/>
              </w:rPr>
            </w:pPr>
            <w:r>
              <w:rPr>
                <w:rFonts w:eastAsia="Times New Roman"/>
                <w:bCs/>
                <w:lang w:val="en-GB" w:eastAsia="en-GB"/>
              </w:rPr>
              <w:t>Throughout Decommissioning</w:t>
            </w:r>
          </w:p>
        </w:tc>
        <w:tc>
          <w:tcPr>
            <w:tcW w:w="405" w:type="pct"/>
          </w:tcPr>
          <w:p w14:paraId="213C1B81">
            <w:pPr>
              <w:tabs>
                <w:tab w:val="left" w:pos="709"/>
              </w:tabs>
              <w:spacing w:after="0" w:line="240" w:lineRule="auto"/>
              <w:jc w:val="both"/>
              <w:rPr>
                <w:rFonts w:eastAsia="Times New Roman"/>
                <w:bCs/>
                <w:lang w:val="en-GB" w:eastAsia="en-GB"/>
              </w:rPr>
            </w:pPr>
            <w:r>
              <w:rPr>
                <w:rFonts w:eastAsia="Times New Roman"/>
                <w:bCs/>
                <w:lang w:val="en-GB" w:eastAsia="en-GB"/>
              </w:rPr>
              <w:t>No additional cost</w:t>
            </w:r>
          </w:p>
        </w:tc>
      </w:tr>
      <w:tr w14:paraId="4EA61B1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trPr>
        <w:tc>
          <w:tcPr>
            <w:tcW w:w="681" w:type="pct"/>
            <w:vAlign w:val="center"/>
          </w:tcPr>
          <w:p w14:paraId="54353477">
            <w:pPr>
              <w:tabs>
                <w:tab w:val="left" w:pos="709"/>
              </w:tabs>
              <w:spacing w:after="0" w:line="240" w:lineRule="auto"/>
              <w:jc w:val="both"/>
            </w:pPr>
            <w:r>
              <w:t xml:space="preserve">Environmental Disturbance </w:t>
            </w:r>
          </w:p>
        </w:tc>
        <w:tc>
          <w:tcPr>
            <w:tcW w:w="409" w:type="pct"/>
            <w:vAlign w:val="center"/>
          </w:tcPr>
          <w:p w14:paraId="182AA5A8">
            <w:pPr>
              <w:tabs>
                <w:tab w:val="left" w:pos="709"/>
              </w:tabs>
              <w:spacing w:after="0" w:line="240" w:lineRule="auto"/>
              <w:jc w:val="both"/>
              <w:rPr>
                <w:rFonts w:eastAsia="Times New Roman"/>
                <w:bCs/>
                <w:lang w:val="en-GB" w:eastAsia="en-GB"/>
              </w:rPr>
            </w:pPr>
            <w:r>
              <w:rPr>
                <w:rFonts w:eastAsia="Times New Roman"/>
                <w:bCs/>
                <w:lang w:eastAsia="en-GB"/>
              </w:rPr>
              <w:t>Low Medium</w:t>
            </w:r>
          </w:p>
        </w:tc>
        <w:tc>
          <w:tcPr>
            <w:tcW w:w="1246" w:type="pct"/>
            <w:vAlign w:val="center"/>
          </w:tcPr>
          <w:p w14:paraId="3721CB24">
            <w:pPr>
              <w:tabs>
                <w:tab w:val="left" w:pos="709"/>
              </w:tabs>
              <w:spacing w:after="0" w:line="240" w:lineRule="auto"/>
              <w:jc w:val="both"/>
            </w:pPr>
            <w:r>
              <w:t>Conduct thorough environmental impact assessments prior to decommissioning.</w:t>
            </w:r>
          </w:p>
          <w:p w14:paraId="267AE4E5">
            <w:pPr>
              <w:tabs>
                <w:tab w:val="left" w:pos="709"/>
              </w:tabs>
              <w:spacing w:after="0" w:line="240" w:lineRule="auto"/>
              <w:jc w:val="both"/>
            </w:pPr>
            <w:r>
              <w:t>Implement erosion and sediment control measures to prevent soil erosion and water pollution.</w:t>
            </w:r>
          </w:p>
          <w:p w14:paraId="53ABDD3D">
            <w:pPr>
              <w:spacing w:after="0"/>
            </w:pPr>
            <w:r>
              <w:t>Replant native vegetation and restore habitats affected by decommissioning activities.</w:t>
            </w:r>
          </w:p>
        </w:tc>
        <w:tc>
          <w:tcPr>
            <w:tcW w:w="898" w:type="pct"/>
          </w:tcPr>
          <w:p w14:paraId="035341E8">
            <w:pPr>
              <w:tabs>
                <w:tab w:val="left" w:pos="709"/>
              </w:tabs>
              <w:spacing w:after="0" w:line="240" w:lineRule="auto"/>
              <w:jc w:val="both"/>
            </w:pPr>
            <w:r>
              <w:t>Compliance with environmental regulations and permits.</w:t>
            </w:r>
          </w:p>
          <w:p w14:paraId="2C142578">
            <w:pPr>
              <w:tabs>
                <w:tab w:val="left" w:pos="709"/>
              </w:tabs>
              <w:spacing w:after="0" w:line="240" w:lineRule="auto"/>
              <w:jc w:val="both"/>
            </w:pPr>
            <w:r>
              <w:t>Inspection frequency and compliance with erosion control practices</w:t>
            </w:r>
          </w:p>
          <w:p w14:paraId="1BEE2B50">
            <w:pPr>
              <w:tabs>
                <w:tab w:val="left" w:pos="709"/>
              </w:tabs>
              <w:spacing w:after="0" w:line="240" w:lineRule="auto"/>
              <w:jc w:val="both"/>
              <w:rPr>
                <w:rFonts w:eastAsia="Times New Roman"/>
                <w:bCs/>
                <w:lang w:eastAsia="en-GB"/>
              </w:rPr>
            </w:pPr>
            <w:r>
              <w:t>Survival rates of replanted native vegetation</w:t>
            </w:r>
          </w:p>
        </w:tc>
        <w:tc>
          <w:tcPr>
            <w:tcW w:w="763" w:type="pct"/>
            <w:vAlign w:val="center"/>
          </w:tcPr>
          <w:p w14:paraId="1B0067D1">
            <w:pPr>
              <w:tabs>
                <w:tab w:val="left" w:pos="709"/>
              </w:tabs>
              <w:spacing w:after="0" w:line="240" w:lineRule="auto"/>
              <w:jc w:val="both"/>
              <w:rPr>
                <w:rFonts w:eastAsia="Times New Roman"/>
                <w:bCs/>
                <w:lang w:val="en-GB" w:eastAsia="en-GB"/>
              </w:rPr>
            </w:pPr>
            <w:r>
              <w:rPr>
                <w:rFonts w:eastAsia="Times New Roman"/>
                <w:bCs/>
                <w:lang w:eastAsia="en-GB"/>
              </w:rPr>
              <w:t>Environmental Management Team/Consultant, WAJWASCO</w:t>
            </w:r>
          </w:p>
        </w:tc>
        <w:tc>
          <w:tcPr>
            <w:tcW w:w="599" w:type="pct"/>
            <w:vAlign w:val="center"/>
          </w:tcPr>
          <w:p w14:paraId="799B88E6">
            <w:pPr>
              <w:tabs>
                <w:tab w:val="left" w:pos="709"/>
              </w:tabs>
              <w:spacing w:after="0" w:line="240" w:lineRule="auto"/>
              <w:jc w:val="both"/>
              <w:rPr>
                <w:rFonts w:eastAsia="Times New Roman"/>
                <w:bCs/>
                <w:lang w:val="en-GB" w:eastAsia="en-GB"/>
              </w:rPr>
            </w:pPr>
            <w:r>
              <w:rPr>
                <w:rFonts w:eastAsia="Times New Roman"/>
                <w:bCs/>
                <w:lang w:val="en-GB" w:eastAsia="en-GB"/>
              </w:rPr>
              <w:t>Throughout Decommissioning</w:t>
            </w:r>
          </w:p>
        </w:tc>
        <w:tc>
          <w:tcPr>
            <w:tcW w:w="405" w:type="pct"/>
          </w:tcPr>
          <w:p w14:paraId="5EDFE6CC">
            <w:pPr>
              <w:tabs>
                <w:tab w:val="left" w:pos="709"/>
              </w:tabs>
              <w:spacing w:after="0" w:line="240" w:lineRule="auto"/>
              <w:jc w:val="both"/>
              <w:rPr>
                <w:rFonts w:eastAsia="Times New Roman"/>
                <w:bCs/>
                <w:lang w:val="en-GB" w:eastAsia="en-GB"/>
              </w:rPr>
            </w:pPr>
            <w:r>
              <w:rPr>
                <w:rFonts w:eastAsia="Times New Roman"/>
                <w:bCs/>
                <w:lang w:val="en-GB" w:eastAsia="en-GB"/>
              </w:rPr>
              <w:t>To be established</w:t>
            </w:r>
          </w:p>
        </w:tc>
      </w:tr>
      <w:tr w14:paraId="7A614A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trPr>
        <w:tc>
          <w:tcPr>
            <w:tcW w:w="681" w:type="pct"/>
            <w:vAlign w:val="center"/>
          </w:tcPr>
          <w:p w14:paraId="556937C9">
            <w:pPr>
              <w:tabs>
                <w:tab w:val="left" w:pos="709"/>
              </w:tabs>
              <w:spacing w:after="0" w:line="240" w:lineRule="auto"/>
              <w:jc w:val="both"/>
            </w:pPr>
            <w:r>
              <w:t>Health and Safety Concerns</w:t>
            </w:r>
          </w:p>
        </w:tc>
        <w:tc>
          <w:tcPr>
            <w:tcW w:w="409" w:type="pct"/>
            <w:vAlign w:val="center"/>
          </w:tcPr>
          <w:p w14:paraId="408E0757">
            <w:pPr>
              <w:tabs>
                <w:tab w:val="left" w:pos="709"/>
              </w:tabs>
              <w:spacing w:after="0" w:line="240" w:lineRule="auto"/>
              <w:jc w:val="both"/>
              <w:rPr>
                <w:rFonts w:eastAsia="Times New Roman"/>
                <w:bCs/>
                <w:lang w:val="en-GB" w:eastAsia="en-GB"/>
              </w:rPr>
            </w:pPr>
            <w:r>
              <w:t>Medium</w:t>
            </w:r>
          </w:p>
        </w:tc>
        <w:tc>
          <w:tcPr>
            <w:tcW w:w="1246" w:type="pct"/>
            <w:vAlign w:val="center"/>
          </w:tcPr>
          <w:p w14:paraId="23BC6EF9">
            <w:pPr>
              <w:tabs>
                <w:tab w:val="left" w:pos="709"/>
              </w:tabs>
              <w:spacing w:after="0"/>
              <w:jc w:val="both"/>
            </w:pPr>
            <w:r>
              <w:t>Enforce strict safety regulations and provide adequate training for workers.</w:t>
            </w:r>
          </w:p>
          <w:p w14:paraId="0EF9FC2F">
            <w:pPr>
              <w:tabs>
                <w:tab w:val="left" w:pos="709"/>
              </w:tabs>
              <w:spacing w:after="0"/>
              <w:jc w:val="both"/>
            </w:pPr>
            <w:r>
              <w:t>Implement dust and noise control measures to minimize pollution and disturbance to nearby residents.</w:t>
            </w:r>
          </w:p>
          <w:p w14:paraId="274C539E">
            <w:pPr>
              <w:tabs>
                <w:tab w:val="left" w:pos="709"/>
              </w:tabs>
              <w:spacing w:after="0"/>
              <w:jc w:val="both"/>
              <w:rPr>
                <w:b/>
              </w:rPr>
            </w:pPr>
            <w:r>
              <w:t>Communicate potential risks to the public and provide guidance on safety precautions.</w:t>
            </w:r>
          </w:p>
        </w:tc>
        <w:tc>
          <w:tcPr>
            <w:tcW w:w="898" w:type="pct"/>
          </w:tcPr>
          <w:p w14:paraId="3630A53F">
            <w:pPr>
              <w:tabs>
                <w:tab w:val="left" w:pos="709"/>
              </w:tabs>
              <w:spacing w:after="0" w:line="240" w:lineRule="auto"/>
              <w:jc w:val="both"/>
              <w:rPr>
                <w:rFonts w:eastAsia="Times New Roman"/>
                <w:bCs/>
                <w:lang w:eastAsia="en-GB"/>
              </w:rPr>
            </w:pPr>
            <w:r>
              <w:rPr>
                <w:rFonts w:eastAsia="Times New Roman"/>
                <w:bCs/>
                <w:lang w:eastAsia="en-GB"/>
              </w:rPr>
              <w:t>Adherence to safety regulations and incident rates.</w:t>
            </w:r>
          </w:p>
          <w:p w14:paraId="03403B5B">
            <w:pPr>
              <w:tabs>
                <w:tab w:val="left" w:pos="709"/>
              </w:tabs>
              <w:spacing w:after="0" w:line="240" w:lineRule="auto"/>
              <w:jc w:val="both"/>
              <w:rPr>
                <w:rFonts w:eastAsia="Times New Roman"/>
                <w:bCs/>
                <w:lang w:eastAsia="en-GB"/>
              </w:rPr>
            </w:pPr>
            <w:r>
              <w:rPr>
                <w:rFonts w:eastAsia="Times New Roman"/>
                <w:bCs/>
                <w:lang w:eastAsia="en-GB"/>
              </w:rPr>
              <w:t>Monitoring dust and noise levels, and compliance with pollution limits.</w:t>
            </w:r>
          </w:p>
          <w:p w14:paraId="5231C0E3">
            <w:pPr>
              <w:tabs>
                <w:tab w:val="left" w:pos="709"/>
              </w:tabs>
              <w:spacing w:after="0" w:line="240" w:lineRule="auto"/>
              <w:jc w:val="both"/>
              <w:rPr>
                <w:rFonts w:eastAsia="Times New Roman"/>
                <w:bCs/>
                <w:lang w:eastAsia="en-GB"/>
              </w:rPr>
            </w:pPr>
            <w:r>
              <w:rPr>
                <w:rFonts w:eastAsia="Times New Roman"/>
                <w:bCs/>
                <w:lang w:eastAsia="en-GB"/>
              </w:rPr>
              <w:t>Public awareness and feedback on risk communication effectiveness.</w:t>
            </w:r>
          </w:p>
        </w:tc>
        <w:tc>
          <w:tcPr>
            <w:tcW w:w="763" w:type="pct"/>
            <w:vAlign w:val="center"/>
          </w:tcPr>
          <w:p w14:paraId="59C1B276">
            <w:pPr>
              <w:tabs>
                <w:tab w:val="left" w:pos="709"/>
              </w:tabs>
              <w:spacing w:after="0" w:line="240" w:lineRule="auto"/>
              <w:jc w:val="both"/>
              <w:rPr>
                <w:rFonts w:eastAsia="Times New Roman"/>
                <w:bCs/>
                <w:lang w:eastAsia="en-GB"/>
              </w:rPr>
            </w:pPr>
            <w:r>
              <w:rPr>
                <w:rFonts w:eastAsia="Times New Roman"/>
                <w:bCs/>
                <w:lang w:eastAsia="en-GB"/>
              </w:rPr>
              <w:t xml:space="preserve">Local administration </w:t>
            </w:r>
          </w:p>
          <w:p w14:paraId="76E83C38">
            <w:pPr>
              <w:tabs>
                <w:tab w:val="left" w:pos="709"/>
              </w:tabs>
              <w:spacing w:after="0" w:line="240" w:lineRule="auto"/>
              <w:jc w:val="both"/>
              <w:rPr>
                <w:rFonts w:eastAsia="Times New Roman"/>
                <w:bCs/>
                <w:lang w:val="en-GB" w:eastAsia="en-GB"/>
              </w:rPr>
            </w:pPr>
            <w:r>
              <w:rPr>
                <w:rFonts w:eastAsia="Times New Roman"/>
                <w:bCs/>
                <w:lang w:eastAsia="en-GB"/>
              </w:rPr>
              <w:t>WAJWASCO</w:t>
            </w:r>
          </w:p>
        </w:tc>
        <w:tc>
          <w:tcPr>
            <w:tcW w:w="599" w:type="pct"/>
            <w:vAlign w:val="center"/>
          </w:tcPr>
          <w:p w14:paraId="465B2B00">
            <w:pPr>
              <w:tabs>
                <w:tab w:val="left" w:pos="709"/>
              </w:tabs>
              <w:spacing w:after="0" w:line="240" w:lineRule="auto"/>
              <w:jc w:val="both"/>
              <w:rPr>
                <w:rFonts w:eastAsia="Times New Roman"/>
                <w:bCs/>
                <w:lang w:val="en-GB" w:eastAsia="en-GB"/>
              </w:rPr>
            </w:pPr>
            <w:r>
              <w:rPr>
                <w:rFonts w:eastAsia="Times New Roman"/>
                <w:bCs/>
                <w:lang w:val="en-GB" w:eastAsia="en-GB"/>
              </w:rPr>
              <w:t>Throughout Decommissioning</w:t>
            </w:r>
          </w:p>
        </w:tc>
        <w:tc>
          <w:tcPr>
            <w:tcW w:w="405" w:type="pct"/>
          </w:tcPr>
          <w:p w14:paraId="328D862D">
            <w:pPr>
              <w:tabs>
                <w:tab w:val="left" w:pos="709"/>
              </w:tabs>
              <w:spacing w:after="0" w:line="240" w:lineRule="auto"/>
              <w:jc w:val="both"/>
              <w:rPr>
                <w:rFonts w:eastAsia="Times New Roman"/>
                <w:bCs/>
                <w:lang w:val="en-GB" w:eastAsia="en-GB"/>
              </w:rPr>
            </w:pPr>
            <w:r>
              <w:rPr>
                <w:rFonts w:eastAsia="Times New Roman"/>
                <w:bCs/>
                <w:lang w:val="en-GB" w:eastAsia="en-GB"/>
              </w:rPr>
              <w:t>200,000.00</w:t>
            </w:r>
          </w:p>
        </w:tc>
      </w:tr>
    </w:tbl>
    <w:p w14:paraId="4F9FFF8F">
      <w:pPr>
        <w:tabs>
          <w:tab w:val="left" w:pos="2557"/>
        </w:tabs>
        <w:rPr>
          <w:lang w:eastAsia="en-GB"/>
        </w:rPr>
        <w:sectPr>
          <w:headerReference r:id="rId33" w:type="default"/>
          <w:pgSz w:w="16838" w:h="11906" w:orient="landscape"/>
          <w:pgMar w:top="1440" w:right="1440" w:bottom="1440" w:left="1440" w:header="708" w:footer="708" w:gutter="0"/>
          <w:cols w:space="708" w:num="1"/>
          <w:docGrid w:linePitch="360" w:charSpace="0"/>
        </w:sectPr>
      </w:pPr>
    </w:p>
    <w:p w14:paraId="4CD2AD73">
      <w:pPr>
        <w:pStyle w:val="2"/>
      </w:pPr>
      <w:bookmarkStart w:id="541" w:name="_Toc179904108"/>
      <w:bookmarkStart w:id="542" w:name="_Toc170723041"/>
      <w:r>
        <w:t>10.</w:t>
      </w:r>
      <w:r>
        <w:tab/>
      </w:r>
      <w:bookmarkStart w:id="543" w:name="_Toc163820089"/>
      <w:bookmarkStart w:id="544" w:name="_Toc165302405"/>
      <w:bookmarkStart w:id="545" w:name="_Toc160348566"/>
      <w:bookmarkStart w:id="546" w:name="_Toc165558107"/>
      <w:bookmarkStart w:id="547" w:name="_Toc160029180"/>
      <w:bookmarkStart w:id="548" w:name="_Toc159939400"/>
      <w:bookmarkStart w:id="549" w:name="_Toc162272661"/>
      <w:bookmarkStart w:id="550" w:name="_Toc162267756"/>
      <w:bookmarkStart w:id="551" w:name="_Toc159931159"/>
      <w:bookmarkStart w:id="552" w:name="_Toc156294790"/>
      <w:r>
        <w:t>GRIEVANCE REDRESS MECHANISM</w:t>
      </w:r>
      <w:bookmarkEnd w:id="541"/>
      <w:bookmarkEnd w:id="543"/>
      <w:bookmarkEnd w:id="544"/>
      <w:bookmarkEnd w:id="545"/>
      <w:bookmarkEnd w:id="546"/>
      <w:bookmarkEnd w:id="547"/>
      <w:bookmarkEnd w:id="548"/>
      <w:r>
        <w:t xml:space="preserve"> </w:t>
      </w:r>
    </w:p>
    <w:p w14:paraId="4954F31D">
      <w:pPr>
        <w:ind w:left="709"/>
        <w:jc w:val="both"/>
        <w:rPr>
          <w:rFonts w:cs="Times New Roman"/>
        </w:rPr>
      </w:pPr>
      <w:r>
        <w:rPr>
          <w:rFonts w:cs="Times New Roman"/>
        </w:rPr>
        <w:t>This section describes the project’s Grievance Redress Mechanism. The overall objective of the GRM is to establish an effective communication channel among project stakeholders for providing a timely and efficient two-way feedback mechanism to address any grievances and complaints against the project from multiple stakeholders and Project Affected. This GRM complies with the Law of Kenya and international best practices. During the proposed implementation of Wajir Faecal Sludge Treatment Plant project, grievances, complaints as well as disputes are expected to arise from several stages of the project including design and implementation phase.</w:t>
      </w:r>
    </w:p>
    <w:p w14:paraId="5AFF6D4F">
      <w:pPr>
        <w:ind w:left="709"/>
        <w:rPr>
          <w:rFonts w:cs="Times New Roman"/>
        </w:rPr>
      </w:pPr>
      <w:r>
        <w:rPr>
          <w:rFonts w:cs="Times New Roman"/>
        </w:rPr>
        <w:t xml:space="preserve">Effective and timely response to community complaints is essential for maintaining good community relations. WAJWASCO is committed to having an effective complaint handling system that reflects the needs, expectations and rights of complainants. </w:t>
      </w:r>
    </w:p>
    <w:p w14:paraId="14115E5F">
      <w:pPr>
        <w:pStyle w:val="117"/>
      </w:pPr>
      <w:bookmarkStart w:id="553" w:name="_Toc165302406"/>
      <w:bookmarkStart w:id="554" w:name="_Toc156294787"/>
      <w:bookmarkStart w:id="555" w:name="_Toc78375956"/>
      <w:bookmarkStart w:id="556" w:name="_Toc153177605"/>
      <w:bookmarkStart w:id="557" w:name="_Toc160348567"/>
      <w:bookmarkStart w:id="558" w:name="_Toc159939401"/>
      <w:bookmarkStart w:id="559" w:name="_Toc163820090"/>
      <w:bookmarkStart w:id="560" w:name="_Toc165558108"/>
      <w:bookmarkStart w:id="561" w:name="_Toc159931156"/>
      <w:bookmarkStart w:id="562" w:name="_Toc160029181"/>
      <w:bookmarkStart w:id="563" w:name="_Toc179904109"/>
      <w:r>
        <w:t>10.1 Objectives of the GRM</w:t>
      </w:r>
      <w:bookmarkEnd w:id="553"/>
      <w:bookmarkEnd w:id="554"/>
      <w:bookmarkEnd w:id="555"/>
      <w:bookmarkEnd w:id="556"/>
      <w:bookmarkEnd w:id="557"/>
      <w:bookmarkEnd w:id="558"/>
      <w:bookmarkEnd w:id="559"/>
      <w:bookmarkEnd w:id="560"/>
      <w:bookmarkEnd w:id="561"/>
      <w:bookmarkEnd w:id="562"/>
      <w:bookmarkEnd w:id="563"/>
    </w:p>
    <w:p w14:paraId="795E20D9">
      <w:pPr>
        <w:ind w:left="709"/>
        <w:rPr>
          <w:rFonts w:cs="Times New Roman"/>
        </w:rPr>
      </w:pPr>
      <w:r>
        <w:rPr>
          <w:rFonts w:cs="Times New Roman"/>
        </w:rPr>
        <w:t>The project implementation team will work to prevent grievances through the implementation of proposed mitigation measures as per the ESMMP and as identified through the Grievance Redress Mechanism (GRM). Specific objectives of the GRM are:</w:t>
      </w:r>
    </w:p>
    <w:p w14:paraId="2B1F29D5">
      <w:pPr>
        <w:pStyle w:val="115"/>
        <w:numPr>
          <w:ilvl w:val="0"/>
          <w:numId w:val="37"/>
        </w:numPr>
      </w:pPr>
      <w:r>
        <w:t>To ensure that comments, responses and grievances are handled in a fair and transparent manner in line with WAJWASCO internal mechanisms;</w:t>
      </w:r>
    </w:p>
    <w:p w14:paraId="659493BD">
      <w:pPr>
        <w:pStyle w:val="115"/>
        <w:numPr>
          <w:ilvl w:val="0"/>
          <w:numId w:val="37"/>
        </w:numPr>
        <w:rPr>
          <w:rFonts w:cstheme="minorBidi"/>
        </w:rPr>
      </w:pPr>
      <w:r>
        <w:t>To structure and manage the handling of comments, responses and grievances, and allow monitoring of effectiveness of the mechanism;</w:t>
      </w:r>
    </w:p>
    <w:p w14:paraId="0FF49ED1">
      <w:pPr>
        <w:pStyle w:val="115"/>
        <w:numPr>
          <w:ilvl w:val="0"/>
          <w:numId w:val="37"/>
        </w:numPr>
        <w:rPr>
          <w:rFonts w:cs="Calibri"/>
        </w:rPr>
      </w:pPr>
      <w:r>
        <w:t>To provide stakeholders in general with a clear process for providing comment and raising grievances; and</w:t>
      </w:r>
    </w:p>
    <w:p w14:paraId="367D73A5">
      <w:pPr>
        <w:pStyle w:val="115"/>
        <w:numPr>
          <w:ilvl w:val="0"/>
          <w:numId w:val="37"/>
        </w:numPr>
      </w:pPr>
      <w:r>
        <w:t>To provide a platform for stakeholders to raise comments and concerns.</w:t>
      </w:r>
    </w:p>
    <w:p w14:paraId="05CA51DE">
      <w:pPr>
        <w:pStyle w:val="117"/>
      </w:pPr>
      <w:bookmarkStart w:id="564" w:name="_Toc160029182"/>
      <w:bookmarkStart w:id="565" w:name="_Toc78375957"/>
      <w:bookmarkStart w:id="566" w:name="_Toc165558109"/>
      <w:bookmarkStart w:id="567" w:name="_Toc159931157"/>
      <w:bookmarkStart w:id="568" w:name="_Toc160348568"/>
      <w:bookmarkStart w:id="569" w:name="_Toc153177606"/>
      <w:bookmarkStart w:id="570" w:name="_Toc165302407"/>
      <w:bookmarkStart w:id="571" w:name="_Toc156294788"/>
      <w:bookmarkStart w:id="572" w:name="_Toc159939402"/>
      <w:bookmarkStart w:id="573" w:name="_Toc163820091"/>
      <w:bookmarkStart w:id="574" w:name="_Toc179904110"/>
      <w:r>
        <w:t xml:space="preserve">10.2 </w:t>
      </w:r>
      <w:r>
        <w:tab/>
      </w:r>
      <w:r>
        <w:t>Proposed Grievance Redress Procedure</w:t>
      </w:r>
      <w:bookmarkEnd w:id="564"/>
      <w:bookmarkEnd w:id="565"/>
      <w:bookmarkEnd w:id="566"/>
      <w:bookmarkEnd w:id="567"/>
      <w:bookmarkEnd w:id="568"/>
      <w:bookmarkEnd w:id="569"/>
      <w:bookmarkEnd w:id="570"/>
      <w:bookmarkEnd w:id="571"/>
      <w:bookmarkEnd w:id="572"/>
      <w:bookmarkEnd w:id="573"/>
      <w:bookmarkEnd w:id="574"/>
    </w:p>
    <w:p w14:paraId="3DB36BB8">
      <w:pPr>
        <w:ind w:left="709"/>
        <w:jc w:val="both"/>
        <w:rPr>
          <w:rFonts w:cs="Times New Roman"/>
        </w:rPr>
      </w:pPr>
      <w:r>
        <w:rPr>
          <w:rFonts w:cs="Times New Roman"/>
        </w:rPr>
        <w:t>The Chief Grievance Handling Officer will be the Resident Engineer (RE). Everybody else, members of Grievance Redress Committee, will act on RE’s behalf and reports to him/her. Anyone will be able to submit a grievance to the project, if they believe any practice by the project is having a detrimental impact on the community, the environment, or on their quality of life. They may also submit comments and suggestions on how such issues can be handled or prevented. Stakeholder sensitization on the GRM will be undertaken during stakeholder meetings scheduled under the project’s Stakeholder Engagement Plan.</w:t>
      </w:r>
    </w:p>
    <w:p w14:paraId="346BF961">
      <w:pPr>
        <w:pStyle w:val="23"/>
        <w:rPr>
          <w:rFonts w:cs="Calibri"/>
        </w:rPr>
      </w:pPr>
      <w:bookmarkStart w:id="575" w:name="_Toc163820132"/>
      <w:bookmarkStart w:id="576" w:name="_Toc165558003"/>
      <w:bookmarkStart w:id="577" w:name="_Toc160029048"/>
      <w:bookmarkStart w:id="578" w:name="_Toc179556834"/>
      <w:bookmarkStart w:id="579" w:name="_Toc159931720"/>
      <w:bookmarkStart w:id="580" w:name="_Toc156294805"/>
      <w:bookmarkStart w:id="581" w:name="_Toc159939150"/>
      <w:r>
        <w:t xml:space="preserve">Table </w:t>
      </w:r>
      <w:r>
        <w:fldChar w:fldCharType="begin"/>
      </w:r>
      <w:r>
        <w:instrText xml:space="preserve"> SEQ Table \* ARABIC </w:instrText>
      </w:r>
      <w:r>
        <w:fldChar w:fldCharType="separate"/>
      </w:r>
      <w:r>
        <w:t>23</w:t>
      </w:r>
      <w:r>
        <w:fldChar w:fldCharType="end"/>
      </w:r>
      <w:r>
        <w:t>: GRC Guiding Principles</w:t>
      </w:r>
      <w:bookmarkEnd w:id="575"/>
      <w:bookmarkEnd w:id="576"/>
      <w:bookmarkEnd w:id="577"/>
      <w:bookmarkEnd w:id="578"/>
      <w:bookmarkEnd w:id="579"/>
      <w:bookmarkEnd w:id="580"/>
      <w:bookmarkEnd w:id="581"/>
    </w:p>
    <w:tbl>
      <w:tblPr>
        <w:tblStyle w:val="12"/>
        <w:tblW w:w="4661" w:type="pct"/>
        <w:tblInd w:w="7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40"/>
        <w:gridCol w:w="7075"/>
      </w:tblGrid>
      <w:tr w14:paraId="799B136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blHeader/>
        </w:trPr>
        <w:tc>
          <w:tcPr>
            <w:tcW w:w="769" w:type="pct"/>
            <w:shd w:val="clear" w:color="auto" w:fill="4472C4" w:themeFill="accent5"/>
            <w:vAlign w:val="bottom"/>
          </w:tcPr>
          <w:p w14:paraId="2D4AC712">
            <w:pPr>
              <w:rPr>
                <w:rFonts w:cs="Times New Roman"/>
                <w:b/>
                <w:lang w:val="en-GB" w:eastAsia="en-GB"/>
              </w:rPr>
            </w:pPr>
            <w:r>
              <w:rPr>
                <w:rFonts w:cs="Times New Roman"/>
                <w:b/>
                <w:lang w:val="en-GB" w:eastAsia="en-GB"/>
              </w:rPr>
              <w:t>Guiding Principles</w:t>
            </w:r>
          </w:p>
        </w:tc>
        <w:tc>
          <w:tcPr>
            <w:tcW w:w="4231" w:type="pct"/>
            <w:shd w:val="clear" w:color="auto" w:fill="4472C4" w:themeFill="accent5"/>
            <w:vAlign w:val="bottom"/>
          </w:tcPr>
          <w:p w14:paraId="28C3C64C">
            <w:pPr>
              <w:rPr>
                <w:rFonts w:cs="Times New Roman"/>
                <w:b/>
                <w:lang w:val="en-GB" w:eastAsia="en-GB"/>
              </w:rPr>
            </w:pPr>
            <w:r>
              <w:rPr>
                <w:rFonts w:cs="Times New Roman"/>
                <w:b/>
                <w:lang w:val="en-GB" w:eastAsia="en-GB"/>
              </w:rPr>
              <w:t>Description</w:t>
            </w:r>
          </w:p>
        </w:tc>
      </w:tr>
      <w:tr w14:paraId="01423B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769" w:type="pct"/>
            <w:vAlign w:val="center"/>
          </w:tcPr>
          <w:p w14:paraId="4D43F5F6">
            <w:pPr>
              <w:rPr>
                <w:rFonts w:cs="Times New Roman"/>
                <w:lang w:val="en-GB" w:eastAsia="en-GB"/>
              </w:rPr>
            </w:pPr>
            <w:r>
              <w:rPr>
                <w:rFonts w:cs="Times New Roman"/>
                <w:lang w:val="en-GB" w:eastAsia="en-GB"/>
              </w:rPr>
              <w:t>Fairness</w:t>
            </w:r>
          </w:p>
        </w:tc>
        <w:tc>
          <w:tcPr>
            <w:tcW w:w="4231" w:type="pct"/>
            <w:vAlign w:val="center"/>
          </w:tcPr>
          <w:p w14:paraId="433FCA57">
            <w:pPr>
              <w:rPr>
                <w:rFonts w:cs="Times New Roman"/>
                <w:lang w:val="en-GB" w:eastAsia="en-GB"/>
              </w:rPr>
            </w:pPr>
            <w:r>
              <w:rPr>
                <w:rFonts w:cs="Times New Roman"/>
                <w:lang w:val="en-GB" w:eastAsia="en-GB"/>
              </w:rPr>
              <w:t>The grievance redress system treats complainants with respect and courtesy. The rules of natural justice apply, and all parties involved have the opportunity to respond to raised issues.</w:t>
            </w:r>
          </w:p>
        </w:tc>
      </w:tr>
      <w:tr w14:paraId="07A2A7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769" w:type="pct"/>
            <w:vAlign w:val="center"/>
          </w:tcPr>
          <w:p w14:paraId="64F66907">
            <w:pPr>
              <w:rPr>
                <w:rFonts w:cs="Times New Roman"/>
                <w:lang w:val="en-GB" w:eastAsia="en-GB"/>
              </w:rPr>
            </w:pPr>
            <w:r>
              <w:rPr>
                <w:rFonts w:cs="Times New Roman"/>
                <w:lang w:val="en-GB" w:eastAsia="en-GB"/>
              </w:rPr>
              <w:t>Transparency and Accessibility</w:t>
            </w:r>
          </w:p>
        </w:tc>
        <w:tc>
          <w:tcPr>
            <w:tcW w:w="4231" w:type="pct"/>
            <w:vAlign w:val="center"/>
          </w:tcPr>
          <w:p w14:paraId="5C280DB4">
            <w:pPr>
              <w:rPr>
                <w:rFonts w:cs="Times New Roman"/>
                <w:lang w:val="en-GB" w:eastAsia="en-GB"/>
              </w:rPr>
            </w:pPr>
            <w:r>
              <w:rPr>
                <w:rFonts w:cs="Times New Roman"/>
                <w:lang w:val="en-GB" w:eastAsia="en-GB"/>
              </w:rPr>
              <w:t>The complaints handling system is well-known to stakeholders, staff, and contractors. It includes information on the right to complain, the process, locations, and how complaints will be handled. Details are easily accessible, and there is no charge for complainants. The system aims to be easy to understand, use, and presented in plain language. Interpreter services are provided for non-English speakers if possible.</w:t>
            </w:r>
          </w:p>
        </w:tc>
      </w:tr>
      <w:tr w14:paraId="0CF00B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20" w:hRule="atLeast"/>
        </w:trPr>
        <w:tc>
          <w:tcPr>
            <w:tcW w:w="769" w:type="pct"/>
            <w:vAlign w:val="center"/>
          </w:tcPr>
          <w:p w14:paraId="060975A6">
            <w:pPr>
              <w:rPr>
                <w:rFonts w:cs="Times New Roman"/>
                <w:lang w:val="en-GB" w:eastAsia="en-GB"/>
              </w:rPr>
            </w:pPr>
            <w:r>
              <w:rPr>
                <w:rFonts w:cs="Times New Roman"/>
                <w:lang w:val="en-GB" w:eastAsia="en-GB"/>
              </w:rPr>
              <w:t>Responsiveness</w:t>
            </w:r>
          </w:p>
        </w:tc>
        <w:tc>
          <w:tcPr>
            <w:tcW w:w="4231" w:type="pct"/>
            <w:vAlign w:val="center"/>
          </w:tcPr>
          <w:p w14:paraId="33F30413">
            <w:pPr>
              <w:rPr>
                <w:rFonts w:cs="Times New Roman"/>
                <w:lang w:val="en-GB" w:eastAsia="en-GB"/>
              </w:rPr>
            </w:pPr>
            <w:r>
              <w:rPr>
                <w:rFonts w:cs="Times New Roman"/>
                <w:lang w:val="en-GB" w:eastAsia="en-GB"/>
              </w:rPr>
              <w:t>Complaints are dealt with quickly, courteously, and fairly within established timelines. Complainants are informed of the expected resolution time and kept updated on progress. If additional time is needed, the complainant is notified with reasons for the delay. If unresolved, clear explanations are provided, and alternative actions or review opportunities are offered.</w:t>
            </w:r>
          </w:p>
        </w:tc>
      </w:tr>
      <w:tr w14:paraId="4E0922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769" w:type="pct"/>
            <w:vAlign w:val="center"/>
          </w:tcPr>
          <w:p w14:paraId="6FE94849">
            <w:pPr>
              <w:rPr>
                <w:rFonts w:cs="Times New Roman"/>
                <w:lang w:val="en-GB" w:eastAsia="en-GB"/>
              </w:rPr>
            </w:pPr>
            <w:r>
              <w:rPr>
                <w:rFonts w:cs="Times New Roman"/>
                <w:lang w:val="en-GB" w:eastAsia="en-GB"/>
              </w:rPr>
              <w:t>Privacy and Confidentiality</w:t>
            </w:r>
          </w:p>
        </w:tc>
        <w:tc>
          <w:tcPr>
            <w:tcW w:w="4231" w:type="pct"/>
            <w:vAlign w:val="center"/>
          </w:tcPr>
          <w:p w14:paraId="6387064A">
            <w:pPr>
              <w:rPr>
                <w:rFonts w:cs="Times New Roman"/>
                <w:lang w:val="en-GB" w:eastAsia="en-GB"/>
              </w:rPr>
            </w:pPr>
            <w:r>
              <w:rPr>
                <w:rFonts w:cs="Times New Roman"/>
                <w:lang w:val="en-GB" w:eastAsia="en-GB"/>
              </w:rPr>
              <w:t>The complaint handling process ensures complainant confidentiality, including cases against staff. Complaint details are limited to those directly concerned.</w:t>
            </w:r>
          </w:p>
        </w:tc>
      </w:tr>
      <w:tr w14:paraId="2CEF48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0" w:hRule="atLeast"/>
        </w:trPr>
        <w:tc>
          <w:tcPr>
            <w:tcW w:w="769" w:type="pct"/>
            <w:vAlign w:val="center"/>
          </w:tcPr>
          <w:p w14:paraId="4F87A9E5">
            <w:pPr>
              <w:rPr>
                <w:rFonts w:cs="Times New Roman"/>
                <w:lang w:val="en-GB" w:eastAsia="en-GB"/>
              </w:rPr>
            </w:pPr>
            <w:r>
              <w:rPr>
                <w:rFonts w:cs="Times New Roman"/>
                <w:lang w:val="en-GB" w:eastAsia="en-GB"/>
              </w:rPr>
              <w:t>Accountability</w:t>
            </w:r>
          </w:p>
        </w:tc>
        <w:tc>
          <w:tcPr>
            <w:tcW w:w="4231" w:type="pct"/>
            <w:vAlign w:val="center"/>
          </w:tcPr>
          <w:p w14:paraId="228D973A">
            <w:pPr>
              <w:rPr>
                <w:rFonts w:cs="Times New Roman"/>
                <w:lang w:val="en-GB" w:eastAsia="en-GB"/>
              </w:rPr>
            </w:pPr>
            <w:r>
              <w:rPr>
                <w:rFonts w:cs="Times New Roman"/>
                <w:lang w:val="en-GB" w:eastAsia="en-GB"/>
              </w:rPr>
              <w:t>The system is open to public and oversight scrutiny, such as by the Ombudsman. A reporting mechanism on the complaints process is maintained. WAJWASCO maintains a complaints register and conducts regular audits, formulating action plans to address any deficiencies.</w:t>
            </w:r>
          </w:p>
        </w:tc>
      </w:tr>
    </w:tbl>
    <w:p w14:paraId="72B040A8">
      <w:pPr>
        <w:ind w:left="709"/>
        <w:rPr>
          <w:rFonts w:cs="Times New Roman"/>
          <w:lang w:bidi="en-US"/>
        </w:rPr>
      </w:pPr>
      <w:r>
        <w:rPr>
          <w:rFonts w:cs="Times New Roman"/>
        </w:rPr>
        <w:t xml:space="preserve">The general steps of the grievance process have been summarized in the table below and comprise: </w:t>
      </w:r>
    </w:p>
    <w:p w14:paraId="6EAD5F38">
      <w:pPr>
        <w:pStyle w:val="115"/>
        <w:numPr>
          <w:ilvl w:val="0"/>
          <w:numId w:val="38"/>
        </w:numPr>
      </w:pPr>
      <w:r>
        <w:t xml:space="preserve">Registration/receipt/Acknowledgment of Complaints </w:t>
      </w:r>
    </w:p>
    <w:p w14:paraId="0C2AE0A8">
      <w:pPr>
        <w:pStyle w:val="115"/>
        <w:numPr>
          <w:ilvl w:val="0"/>
          <w:numId w:val="38"/>
        </w:numPr>
        <w:rPr>
          <w:rFonts w:cstheme="minorBidi"/>
        </w:rPr>
      </w:pPr>
      <w:r>
        <w:t xml:space="preserve">Investigate and determine solution to the complaint </w:t>
      </w:r>
    </w:p>
    <w:p w14:paraId="63F94381">
      <w:pPr>
        <w:pStyle w:val="115"/>
        <w:numPr>
          <w:ilvl w:val="0"/>
          <w:numId w:val="38"/>
        </w:numPr>
        <w:rPr>
          <w:rFonts w:cs="Calibri"/>
        </w:rPr>
      </w:pPr>
      <w:r>
        <w:t xml:space="preserve">Implementing the Redress Action; </w:t>
      </w:r>
    </w:p>
    <w:p w14:paraId="6C9F87B9">
      <w:pPr>
        <w:pStyle w:val="115"/>
        <w:numPr>
          <w:ilvl w:val="0"/>
          <w:numId w:val="38"/>
        </w:numPr>
      </w:pPr>
      <w:r>
        <w:t xml:space="preserve">Verifying the Redress Action; </w:t>
      </w:r>
    </w:p>
    <w:p w14:paraId="3F26B892">
      <w:pPr>
        <w:pStyle w:val="115"/>
        <w:numPr>
          <w:ilvl w:val="0"/>
          <w:numId w:val="38"/>
        </w:numPr>
      </w:pPr>
      <w:r>
        <w:t xml:space="preserve">Monitoring and Evaluation; and </w:t>
      </w:r>
    </w:p>
    <w:p w14:paraId="4B839653">
      <w:pPr>
        <w:pStyle w:val="115"/>
        <w:numPr>
          <w:ilvl w:val="0"/>
          <w:numId w:val="38"/>
        </w:numPr>
      </w:pPr>
      <w:r>
        <w:t xml:space="preserve">Recourse or Alternatives </w:t>
      </w:r>
    </w:p>
    <w:p w14:paraId="0458BD06">
      <w:pPr>
        <w:pStyle w:val="23"/>
        <w:sectPr>
          <w:headerReference r:id="rId34" w:type="default"/>
          <w:pgSz w:w="11906" w:h="16838"/>
          <w:pgMar w:top="1440" w:right="1440" w:bottom="1440" w:left="1440" w:header="720" w:footer="720" w:gutter="0"/>
          <w:cols w:space="720" w:num="1"/>
        </w:sectPr>
      </w:pPr>
      <w:bookmarkStart w:id="582" w:name="_Toc159939151"/>
      <w:bookmarkStart w:id="583" w:name="_Toc165558004"/>
      <w:bookmarkStart w:id="584" w:name="_Toc179556835"/>
      <w:bookmarkStart w:id="585" w:name="_Toc156294806"/>
      <w:bookmarkStart w:id="586" w:name="_Toc159931721"/>
      <w:bookmarkStart w:id="587" w:name="_Toc163820133"/>
      <w:bookmarkStart w:id="588" w:name="_Toc160029049"/>
    </w:p>
    <w:p w14:paraId="0F190382">
      <w:pPr>
        <w:pStyle w:val="23"/>
        <w:rPr>
          <w:rFonts w:cs="Calibri"/>
        </w:rPr>
      </w:pPr>
      <w:r>
        <w:t xml:space="preserve">Table </w:t>
      </w:r>
      <w:r>
        <w:fldChar w:fldCharType="begin"/>
      </w:r>
      <w:r>
        <w:instrText xml:space="preserve"> SEQ Table \* ARABIC </w:instrText>
      </w:r>
      <w:r>
        <w:fldChar w:fldCharType="separate"/>
      </w:r>
      <w:r>
        <w:t>24</w:t>
      </w:r>
      <w:r>
        <w:fldChar w:fldCharType="end"/>
      </w:r>
      <w:r>
        <w:t>: Grievance Redress Mechanism</w:t>
      </w:r>
      <w:bookmarkEnd w:id="582"/>
      <w:bookmarkEnd w:id="583"/>
      <w:bookmarkEnd w:id="584"/>
      <w:bookmarkEnd w:id="585"/>
      <w:bookmarkEnd w:id="586"/>
      <w:bookmarkEnd w:id="587"/>
      <w:bookmarkEnd w:id="588"/>
    </w:p>
    <w:tbl>
      <w:tblPr>
        <w:tblStyle w:val="12"/>
        <w:tblW w:w="4531" w:type="pct"/>
        <w:tblInd w:w="846" w:type="dxa"/>
        <w:tblLayout w:type="autofit"/>
        <w:tblCellMar>
          <w:top w:w="0" w:type="dxa"/>
          <w:left w:w="108" w:type="dxa"/>
          <w:bottom w:w="0" w:type="dxa"/>
          <w:right w:w="108" w:type="dxa"/>
        </w:tblCellMar>
      </w:tblPr>
      <w:tblGrid>
        <w:gridCol w:w="619"/>
        <w:gridCol w:w="3090"/>
        <w:gridCol w:w="5222"/>
        <w:gridCol w:w="1441"/>
        <w:gridCol w:w="2472"/>
      </w:tblGrid>
      <w:tr w14:paraId="1FA246A1">
        <w:tblPrEx>
          <w:tblCellMar>
            <w:top w:w="0" w:type="dxa"/>
            <w:left w:w="108" w:type="dxa"/>
            <w:bottom w:w="0" w:type="dxa"/>
            <w:right w:w="108" w:type="dxa"/>
          </w:tblCellMar>
        </w:tblPrEx>
        <w:trPr>
          <w:trHeight w:val="56" w:hRule="atLeast"/>
          <w:tblHeader/>
        </w:trPr>
        <w:tc>
          <w:tcPr>
            <w:tcW w:w="241" w:type="pct"/>
            <w:tcBorders>
              <w:top w:val="single" w:color="auto" w:sz="4" w:space="0"/>
              <w:left w:val="single" w:color="auto" w:sz="4" w:space="0"/>
              <w:bottom w:val="single" w:color="auto" w:sz="4" w:space="0"/>
              <w:right w:val="single" w:color="auto" w:sz="4" w:space="0"/>
            </w:tcBorders>
            <w:shd w:val="clear" w:color="auto" w:fill="4472C4" w:themeFill="accent5"/>
            <w:vAlign w:val="center"/>
          </w:tcPr>
          <w:p w14:paraId="4DA84B52">
            <w:pPr>
              <w:rPr>
                <w:rFonts w:cs="Times New Roman"/>
                <w:b/>
                <w:lang w:val="en-GB" w:eastAsia="en-GB"/>
              </w:rPr>
            </w:pPr>
            <w:r>
              <w:rPr>
                <w:rFonts w:cs="Times New Roman"/>
                <w:b/>
                <w:lang w:val="en-GB" w:eastAsia="en-GB"/>
              </w:rPr>
              <w:t>Step</w:t>
            </w:r>
          </w:p>
        </w:tc>
        <w:tc>
          <w:tcPr>
            <w:tcW w:w="1203" w:type="pct"/>
            <w:tcBorders>
              <w:top w:val="single" w:color="auto" w:sz="4" w:space="0"/>
              <w:left w:val="nil"/>
              <w:bottom w:val="single" w:color="auto" w:sz="4" w:space="0"/>
              <w:right w:val="single" w:color="auto" w:sz="4" w:space="0"/>
            </w:tcBorders>
            <w:shd w:val="clear" w:color="auto" w:fill="4472C4" w:themeFill="accent5"/>
            <w:vAlign w:val="center"/>
          </w:tcPr>
          <w:p w14:paraId="4C5E725D">
            <w:pPr>
              <w:rPr>
                <w:rFonts w:cs="Times New Roman"/>
                <w:b/>
                <w:lang w:val="en-GB" w:eastAsia="en-GB"/>
              </w:rPr>
            </w:pPr>
            <w:r>
              <w:rPr>
                <w:rFonts w:cs="Times New Roman"/>
                <w:b/>
                <w:lang w:val="en-GB" w:eastAsia="en-GB"/>
              </w:rPr>
              <w:t xml:space="preserve">Process </w:t>
            </w:r>
          </w:p>
        </w:tc>
        <w:tc>
          <w:tcPr>
            <w:tcW w:w="2033" w:type="pct"/>
            <w:tcBorders>
              <w:top w:val="single" w:color="auto" w:sz="4" w:space="0"/>
              <w:left w:val="nil"/>
              <w:bottom w:val="single" w:color="auto" w:sz="4" w:space="0"/>
              <w:right w:val="single" w:color="auto" w:sz="4" w:space="0"/>
            </w:tcBorders>
            <w:shd w:val="clear" w:color="auto" w:fill="4472C4" w:themeFill="accent5"/>
            <w:vAlign w:val="center"/>
          </w:tcPr>
          <w:p w14:paraId="5E563100">
            <w:pPr>
              <w:rPr>
                <w:rFonts w:cs="Times New Roman"/>
                <w:b/>
                <w:lang w:val="en-GB" w:eastAsia="en-GB"/>
              </w:rPr>
            </w:pPr>
            <w:r>
              <w:rPr>
                <w:rFonts w:cs="Times New Roman"/>
                <w:b/>
                <w:lang w:val="en-GB" w:eastAsia="en-GB"/>
              </w:rPr>
              <w:t xml:space="preserve">Description </w:t>
            </w:r>
          </w:p>
        </w:tc>
        <w:tc>
          <w:tcPr>
            <w:tcW w:w="561" w:type="pct"/>
            <w:tcBorders>
              <w:top w:val="single" w:color="auto" w:sz="4" w:space="0"/>
              <w:left w:val="nil"/>
              <w:bottom w:val="single" w:color="auto" w:sz="4" w:space="0"/>
              <w:right w:val="single" w:color="auto" w:sz="4" w:space="0"/>
            </w:tcBorders>
            <w:shd w:val="clear" w:color="auto" w:fill="4472C4" w:themeFill="accent5"/>
            <w:vAlign w:val="center"/>
          </w:tcPr>
          <w:p w14:paraId="2BA2B753">
            <w:pPr>
              <w:rPr>
                <w:rFonts w:cs="Times New Roman"/>
                <w:b/>
                <w:lang w:val="en-GB" w:eastAsia="en-GB"/>
              </w:rPr>
            </w:pPr>
            <w:r>
              <w:rPr>
                <w:rFonts w:cs="Times New Roman"/>
                <w:b/>
                <w:lang w:val="en-GB" w:eastAsia="en-GB"/>
              </w:rPr>
              <w:t xml:space="preserve">Timeframe </w:t>
            </w:r>
          </w:p>
        </w:tc>
        <w:tc>
          <w:tcPr>
            <w:tcW w:w="963" w:type="pct"/>
            <w:tcBorders>
              <w:top w:val="single" w:color="auto" w:sz="4" w:space="0"/>
              <w:left w:val="nil"/>
              <w:bottom w:val="single" w:color="auto" w:sz="4" w:space="0"/>
              <w:right w:val="single" w:color="auto" w:sz="4" w:space="0"/>
            </w:tcBorders>
            <w:shd w:val="clear" w:color="auto" w:fill="4472C4" w:themeFill="accent5"/>
            <w:vAlign w:val="center"/>
          </w:tcPr>
          <w:p w14:paraId="1C5FBB54">
            <w:pPr>
              <w:rPr>
                <w:rFonts w:cs="Times New Roman"/>
                <w:b/>
                <w:lang w:val="en-GB" w:eastAsia="en-GB"/>
              </w:rPr>
            </w:pPr>
            <w:r>
              <w:rPr>
                <w:rFonts w:cs="Times New Roman"/>
                <w:b/>
                <w:lang w:val="en-GB" w:eastAsia="en-GB"/>
              </w:rPr>
              <w:t xml:space="preserve">Responsibility </w:t>
            </w:r>
          </w:p>
        </w:tc>
      </w:tr>
      <w:tr w14:paraId="15AF952A">
        <w:tblPrEx>
          <w:tblCellMar>
            <w:top w:w="0" w:type="dxa"/>
            <w:left w:w="108" w:type="dxa"/>
            <w:bottom w:w="0" w:type="dxa"/>
            <w:right w:w="108" w:type="dxa"/>
          </w:tblCellMar>
        </w:tblPrEx>
        <w:trPr>
          <w:trHeight w:val="1320" w:hRule="atLeast"/>
        </w:trPr>
        <w:tc>
          <w:tcPr>
            <w:tcW w:w="241" w:type="pct"/>
            <w:tcBorders>
              <w:top w:val="nil"/>
              <w:left w:val="single" w:color="auto" w:sz="4" w:space="0"/>
              <w:bottom w:val="single" w:color="auto" w:sz="4" w:space="0"/>
              <w:right w:val="single" w:color="auto" w:sz="4" w:space="0"/>
            </w:tcBorders>
            <w:vAlign w:val="center"/>
          </w:tcPr>
          <w:p w14:paraId="2F7C6269">
            <w:pPr>
              <w:rPr>
                <w:rFonts w:cs="Times New Roman"/>
                <w:lang w:val="en-GB" w:eastAsia="en-GB"/>
              </w:rPr>
            </w:pPr>
            <w:r>
              <w:rPr>
                <w:rFonts w:cs="Times New Roman"/>
                <w:lang w:val="en-GB" w:eastAsia="en-GB"/>
              </w:rPr>
              <w:t>1</w:t>
            </w:r>
          </w:p>
        </w:tc>
        <w:tc>
          <w:tcPr>
            <w:tcW w:w="1203" w:type="pct"/>
            <w:tcBorders>
              <w:top w:val="nil"/>
              <w:left w:val="nil"/>
              <w:bottom w:val="single" w:color="auto" w:sz="4" w:space="0"/>
              <w:right w:val="single" w:color="auto" w:sz="4" w:space="0"/>
            </w:tcBorders>
            <w:vAlign w:val="center"/>
          </w:tcPr>
          <w:p w14:paraId="51D81A67">
            <w:pPr>
              <w:rPr>
                <w:rFonts w:cs="Times New Roman"/>
                <w:lang w:val="en-GB" w:eastAsia="en-GB"/>
              </w:rPr>
            </w:pPr>
            <w:r>
              <w:rPr>
                <w:rFonts w:cs="Times New Roman"/>
                <w:lang w:val="en-GB" w:eastAsia="en-GB"/>
              </w:rPr>
              <w:t xml:space="preserve">Grievance receipt and registration/ logging </w:t>
            </w:r>
          </w:p>
        </w:tc>
        <w:tc>
          <w:tcPr>
            <w:tcW w:w="2033" w:type="pct"/>
            <w:tcBorders>
              <w:top w:val="nil"/>
              <w:left w:val="nil"/>
              <w:bottom w:val="single" w:color="auto" w:sz="4" w:space="0"/>
              <w:right w:val="single" w:color="auto" w:sz="4" w:space="0"/>
            </w:tcBorders>
            <w:vAlign w:val="center"/>
          </w:tcPr>
          <w:p w14:paraId="6A79CD76">
            <w:pPr>
              <w:rPr>
                <w:rFonts w:cs="Times New Roman"/>
                <w:lang w:val="en-GB" w:eastAsia="en-GB"/>
              </w:rPr>
            </w:pPr>
            <w:r>
              <w:rPr>
                <w:rFonts w:cs="Times New Roman"/>
                <w:lang w:val="en-GB" w:eastAsia="en-GB"/>
              </w:rPr>
              <w:t xml:space="preserve">Face to face; phone; letter, recorded during public/community meetings; WhatsApp etc. Significance assessed and grievance recorded or logged using the model complaint form and filed. </w:t>
            </w:r>
          </w:p>
        </w:tc>
        <w:tc>
          <w:tcPr>
            <w:tcW w:w="561" w:type="pct"/>
            <w:tcBorders>
              <w:top w:val="nil"/>
              <w:left w:val="nil"/>
              <w:bottom w:val="single" w:color="auto" w:sz="4" w:space="0"/>
              <w:right w:val="single" w:color="auto" w:sz="4" w:space="0"/>
            </w:tcBorders>
            <w:vAlign w:val="center"/>
          </w:tcPr>
          <w:p w14:paraId="5DCC2539">
            <w:pPr>
              <w:rPr>
                <w:rFonts w:cs="Times New Roman"/>
                <w:lang w:val="en-GB" w:eastAsia="en-GB"/>
              </w:rPr>
            </w:pPr>
            <w:r>
              <w:rPr>
                <w:rFonts w:cs="Times New Roman"/>
                <w:lang w:val="en-GB" w:eastAsia="en-GB"/>
              </w:rPr>
              <w:t xml:space="preserve">1-2 Days </w:t>
            </w:r>
          </w:p>
        </w:tc>
        <w:tc>
          <w:tcPr>
            <w:tcW w:w="963" w:type="pct"/>
            <w:tcBorders>
              <w:top w:val="nil"/>
              <w:left w:val="nil"/>
              <w:bottom w:val="single" w:color="auto" w:sz="4" w:space="0"/>
              <w:right w:val="single" w:color="auto" w:sz="4" w:space="0"/>
            </w:tcBorders>
            <w:vAlign w:val="center"/>
          </w:tcPr>
          <w:p w14:paraId="7BBCD11F">
            <w:pPr>
              <w:rPr>
                <w:rFonts w:cs="Times New Roman"/>
                <w:lang w:val="en-GB" w:eastAsia="en-GB"/>
              </w:rPr>
            </w:pPr>
            <w:r>
              <w:rPr>
                <w:rFonts w:cs="Times New Roman"/>
                <w:lang w:val="en-GB" w:eastAsia="en-GB"/>
              </w:rPr>
              <w:t>An aggrieved party or PAPs Lodging complaint to the GRC. GRCs- Receive, registering and logging grievances</w:t>
            </w:r>
          </w:p>
        </w:tc>
      </w:tr>
      <w:tr w14:paraId="741D4E55">
        <w:tblPrEx>
          <w:tblCellMar>
            <w:top w:w="0" w:type="dxa"/>
            <w:left w:w="108" w:type="dxa"/>
            <w:bottom w:w="0" w:type="dxa"/>
            <w:right w:w="108" w:type="dxa"/>
          </w:tblCellMar>
        </w:tblPrEx>
        <w:trPr>
          <w:trHeight w:val="789" w:hRule="atLeast"/>
        </w:trPr>
        <w:tc>
          <w:tcPr>
            <w:tcW w:w="241" w:type="pct"/>
            <w:tcBorders>
              <w:top w:val="nil"/>
              <w:left w:val="single" w:color="auto" w:sz="4" w:space="0"/>
              <w:bottom w:val="single" w:color="auto" w:sz="4" w:space="0"/>
              <w:right w:val="single" w:color="auto" w:sz="4" w:space="0"/>
            </w:tcBorders>
            <w:vAlign w:val="center"/>
          </w:tcPr>
          <w:p w14:paraId="0BFA2C53">
            <w:pPr>
              <w:rPr>
                <w:rFonts w:cs="Times New Roman"/>
                <w:lang w:val="en-GB" w:eastAsia="en-GB"/>
              </w:rPr>
            </w:pPr>
            <w:r>
              <w:rPr>
                <w:rFonts w:cs="Times New Roman"/>
                <w:lang w:val="en-GB" w:eastAsia="en-GB"/>
              </w:rPr>
              <w:t>2</w:t>
            </w:r>
          </w:p>
        </w:tc>
        <w:tc>
          <w:tcPr>
            <w:tcW w:w="1203" w:type="pct"/>
            <w:tcBorders>
              <w:top w:val="nil"/>
              <w:left w:val="nil"/>
              <w:bottom w:val="single" w:color="auto" w:sz="4" w:space="0"/>
              <w:right w:val="single" w:color="auto" w:sz="4" w:space="0"/>
            </w:tcBorders>
            <w:vAlign w:val="center"/>
          </w:tcPr>
          <w:p w14:paraId="17832B3F">
            <w:pPr>
              <w:rPr>
                <w:rFonts w:cs="Times New Roman"/>
                <w:lang w:val="en-GB" w:eastAsia="en-GB"/>
              </w:rPr>
            </w:pPr>
            <w:r>
              <w:rPr>
                <w:rFonts w:cs="Times New Roman"/>
                <w:lang w:val="en-GB" w:eastAsia="en-GB"/>
              </w:rPr>
              <w:t xml:space="preserve">Development and implementation of response </w:t>
            </w:r>
          </w:p>
        </w:tc>
        <w:tc>
          <w:tcPr>
            <w:tcW w:w="2033" w:type="pct"/>
            <w:tcBorders>
              <w:top w:val="nil"/>
              <w:left w:val="nil"/>
              <w:bottom w:val="single" w:color="auto" w:sz="4" w:space="0"/>
              <w:right w:val="single" w:color="auto" w:sz="4" w:space="0"/>
            </w:tcBorders>
            <w:vAlign w:val="center"/>
          </w:tcPr>
          <w:p w14:paraId="1E1EC11E">
            <w:pPr>
              <w:rPr>
                <w:rFonts w:cs="Times New Roman"/>
                <w:lang w:val="en-GB" w:eastAsia="en-GB"/>
              </w:rPr>
            </w:pPr>
            <w:r>
              <w:rPr>
                <w:rFonts w:cs="Times New Roman"/>
                <w:lang w:val="en-GB" w:eastAsia="en-GB"/>
              </w:rPr>
              <w:t>GRC meets or takes a decision on the grievance. Grievance assigned to appropriate party for resolution if necessary. Response development with input from relevant stakeholders. Redress response/action approved by GRC and logged. Redress response/update of progress on resolution communicated to the complainant. Start implementing redress action</w:t>
            </w:r>
          </w:p>
        </w:tc>
        <w:tc>
          <w:tcPr>
            <w:tcW w:w="561" w:type="pct"/>
            <w:tcBorders>
              <w:top w:val="nil"/>
              <w:left w:val="nil"/>
              <w:bottom w:val="single" w:color="auto" w:sz="4" w:space="0"/>
              <w:right w:val="single" w:color="auto" w:sz="4" w:space="0"/>
            </w:tcBorders>
            <w:vAlign w:val="center"/>
          </w:tcPr>
          <w:p w14:paraId="1CE35C57">
            <w:pPr>
              <w:rPr>
                <w:rFonts w:cs="Times New Roman"/>
                <w:lang w:val="en-GB" w:eastAsia="en-GB"/>
              </w:rPr>
            </w:pPr>
            <w:r>
              <w:rPr>
                <w:rFonts w:cs="Times New Roman"/>
                <w:lang w:val="en-GB" w:eastAsia="en-GB"/>
              </w:rPr>
              <w:t xml:space="preserve">5- 10 Days </w:t>
            </w:r>
          </w:p>
        </w:tc>
        <w:tc>
          <w:tcPr>
            <w:tcW w:w="963" w:type="pct"/>
            <w:tcBorders>
              <w:top w:val="nil"/>
              <w:left w:val="nil"/>
              <w:bottom w:val="single" w:color="auto" w:sz="4" w:space="0"/>
              <w:right w:val="single" w:color="auto" w:sz="4" w:space="0"/>
            </w:tcBorders>
            <w:vAlign w:val="center"/>
          </w:tcPr>
          <w:p w14:paraId="595A312C">
            <w:pPr>
              <w:rPr>
                <w:rFonts w:cs="Times New Roman"/>
                <w:lang w:val="en-GB" w:eastAsia="en-GB"/>
              </w:rPr>
            </w:pPr>
            <w:r>
              <w:rPr>
                <w:rFonts w:cs="Times New Roman"/>
                <w:lang w:val="en-GB" w:eastAsia="en-GB"/>
              </w:rPr>
              <w:t xml:space="preserve">GRC </w:t>
            </w:r>
          </w:p>
        </w:tc>
      </w:tr>
      <w:tr w14:paraId="19C0D232">
        <w:tblPrEx>
          <w:tblCellMar>
            <w:top w:w="0" w:type="dxa"/>
            <w:left w:w="108" w:type="dxa"/>
            <w:bottom w:w="0" w:type="dxa"/>
            <w:right w:w="108" w:type="dxa"/>
          </w:tblCellMar>
        </w:tblPrEx>
        <w:trPr>
          <w:trHeight w:val="990" w:hRule="atLeast"/>
        </w:trPr>
        <w:tc>
          <w:tcPr>
            <w:tcW w:w="241" w:type="pct"/>
            <w:tcBorders>
              <w:top w:val="nil"/>
              <w:left w:val="single" w:color="auto" w:sz="4" w:space="0"/>
              <w:bottom w:val="single" w:color="auto" w:sz="4" w:space="0"/>
              <w:right w:val="single" w:color="auto" w:sz="4" w:space="0"/>
            </w:tcBorders>
            <w:vAlign w:val="center"/>
          </w:tcPr>
          <w:p w14:paraId="2352FB8E">
            <w:pPr>
              <w:rPr>
                <w:rFonts w:cs="Times New Roman"/>
                <w:lang w:val="en-GB" w:eastAsia="en-GB"/>
              </w:rPr>
            </w:pPr>
            <w:r>
              <w:rPr>
                <w:rFonts w:cs="Times New Roman"/>
                <w:lang w:val="en-GB" w:eastAsia="en-GB"/>
              </w:rPr>
              <w:t>3</w:t>
            </w:r>
          </w:p>
        </w:tc>
        <w:tc>
          <w:tcPr>
            <w:tcW w:w="1203" w:type="pct"/>
            <w:tcBorders>
              <w:top w:val="nil"/>
              <w:left w:val="nil"/>
              <w:bottom w:val="single" w:color="auto" w:sz="4" w:space="0"/>
              <w:right w:val="single" w:color="auto" w:sz="4" w:space="0"/>
            </w:tcBorders>
            <w:vAlign w:val="center"/>
          </w:tcPr>
          <w:p w14:paraId="418946FC">
            <w:pPr>
              <w:rPr>
                <w:rFonts w:cs="Times New Roman"/>
                <w:lang w:val="en-GB" w:eastAsia="en-GB"/>
              </w:rPr>
            </w:pPr>
            <w:r>
              <w:rPr>
                <w:rFonts w:cs="Times New Roman"/>
                <w:lang w:val="en-GB" w:eastAsia="en-GB"/>
              </w:rPr>
              <w:t xml:space="preserve">Verifying the implementation of redress action </w:t>
            </w:r>
          </w:p>
        </w:tc>
        <w:tc>
          <w:tcPr>
            <w:tcW w:w="2033" w:type="pct"/>
            <w:tcBorders>
              <w:top w:val="nil"/>
              <w:left w:val="nil"/>
              <w:bottom w:val="single" w:color="auto" w:sz="4" w:space="0"/>
              <w:right w:val="single" w:color="auto" w:sz="4" w:space="0"/>
            </w:tcBorders>
            <w:vAlign w:val="center"/>
          </w:tcPr>
          <w:p w14:paraId="4A750790">
            <w:pPr>
              <w:rPr>
                <w:rFonts w:cs="Times New Roman"/>
                <w:lang w:val="en-GB" w:eastAsia="en-GB"/>
              </w:rPr>
            </w:pPr>
            <w:r>
              <w:rPr>
                <w:rFonts w:cs="Times New Roman"/>
                <w:lang w:val="en-GB" w:eastAsia="en-GB"/>
              </w:rPr>
              <w:t xml:space="preserve">Redress action implemented and verified by GRC. GRC satisfied with implementation of redress action. Complainant duly signed the grievance resolution form </w:t>
            </w:r>
          </w:p>
        </w:tc>
        <w:tc>
          <w:tcPr>
            <w:tcW w:w="561" w:type="pct"/>
            <w:tcBorders>
              <w:top w:val="nil"/>
              <w:left w:val="nil"/>
              <w:bottom w:val="single" w:color="auto" w:sz="4" w:space="0"/>
              <w:right w:val="single" w:color="auto" w:sz="4" w:space="0"/>
            </w:tcBorders>
            <w:vAlign w:val="center"/>
          </w:tcPr>
          <w:p w14:paraId="06B00D3C">
            <w:pPr>
              <w:rPr>
                <w:rFonts w:cs="Times New Roman"/>
                <w:lang w:val="en-GB" w:eastAsia="en-GB"/>
              </w:rPr>
            </w:pPr>
            <w:r>
              <w:rPr>
                <w:rFonts w:cs="Times New Roman"/>
                <w:lang w:val="en-GB" w:eastAsia="en-GB"/>
              </w:rPr>
              <w:t xml:space="preserve">10-15 Days </w:t>
            </w:r>
          </w:p>
        </w:tc>
        <w:tc>
          <w:tcPr>
            <w:tcW w:w="963" w:type="pct"/>
            <w:tcBorders>
              <w:top w:val="nil"/>
              <w:left w:val="nil"/>
              <w:bottom w:val="single" w:color="auto" w:sz="4" w:space="0"/>
              <w:right w:val="single" w:color="auto" w:sz="4" w:space="0"/>
            </w:tcBorders>
            <w:vAlign w:val="center"/>
          </w:tcPr>
          <w:p w14:paraId="2AF87C2F">
            <w:pPr>
              <w:rPr>
                <w:rFonts w:cs="Times New Roman"/>
                <w:lang w:val="en-GB" w:eastAsia="en-GB"/>
              </w:rPr>
            </w:pPr>
            <w:r>
              <w:rPr>
                <w:rFonts w:cs="Times New Roman"/>
                <w:lang w:val="en-GB" w:eastAsia="en-GB"/>
              </w:rPr>
              <w:t>Environmental (Social) Officer/Safeguard Specialist at WAJWASCO</w:t>
            </w:r>
          </w:p>
        </w:tc>
      </w:tr>
      <w:tr w14:paraId="75BEEFC4">
        <w:tblPrEx>
          <w:tblCellMar>
            <w:top w:w="0" w:type="dxa"/>
            <w:left w:w="108" w:type="dxa"/>
            <w:bottom w:w="0" w:type="dxa"/>
            <w:right w:w="108" w:type="dxa"/>
          </w:tblCellMar>
        </w:tblPrEx>
        <w:trPr>
          <w:trHeight w:val="56" w:hRule="atLeast"/>
        </w:trPr>
        <w:tc>
          <w:tcPr>
            <w:tcW w:w="241" w:type="pct"/>
            <w:tcBorders>
              <w:top w:val="nil"/>
              <w:left w:val="single" w:color="auto" w:sz="4" w:space="0"/>
              <w:bottom w:val="single" w:color="auto" w:sz="4" w:space="0"/>
              <w:right w:val="single" w:color="auto" w:sz="4" w:space="0"/>
            </w:tcBorders>
            <w:vAlign w:val="center"/>
          </w:tcPr>
          <w:p w14:paraId="154C87B5">
            <w:pPr>
              <w:rPr>
                <w:rFonts w:cs="Times New Roman"/>
                <w:lang w:val="en-GB" w:eastAsia="en-GB"/>
              </w:rPr>
            </w:pPr>
            <w:r>
              <w:rPr>
                <w:rFonts w:cs="Times New Roman"/>
                <w:lang w:val="en-GB" w:eastAsia="en-GB"/>
              </w:rPr>
              <w:t>4</w:t>
            </w:r>
          </w:p>
        </w:tc>
        <w:tc>
          <w:tcPr>
            <w:tcW w:w="1203" w:type="pct"/>
            <w:tcBorders>
              <w:top w:val="nil"/>
              <w:left w:val="nil"/>
              <w:bottom w:val="single" w:color="auto" w:sz="4" w:space="0"/>
              <w:right w:val="single" w:color="auto" w:sz="4" w:space="0"/>
            </w:tcBorders>
            <w:vAlign w:val="center"/>
          </w:tcPr>
          <w:p w14:paraId="33FEDF6E">
            <w:pPr>
              <w:rPr>
                <w:rFonts w:cs="Times New Roman"/>
                <w:lang w:val="en-GB" w:eastAsia="en-GB"/>
              </w:rPr>
            </w:pPr>
            <w:r>
              <w:rPr>
                <w:rFonts w:cs="Times New Roman"/>
                <w:lang w:val="en-GB" w:eastAsia="en-GB"/>
              </w:rPr>
              <w:t xml:space="preserve">Close grievance or refer grievance to 2nd tier resolution </w:t>
            </w:r>
          </w:p>
        </w:tc>
        <w:tc>
          <w:tcPr>
            <w:tcW w:w="2033" w:type="pct"/>
            <w:tcBorders>
              <w:top w:val="nil"/>
              <w:left w:val="nil"/>
              <w:bottom w:val="single" w:color="auto" w:sz="4" w:space="0"/>
              <w:right w:val="single" w:color="auto" w:sz="4" w:space="0"/>
            </w:tcBorders>
            <w:vAlign w:val="center"/>
          </w:tcPr>
          <w:p w14:paraId="53CE4D09">
            <w:pPr>
              <w:rPr>
                <w:rFonts w:cs="Times New Roman"/>
                <w:lang w:val="en-GB" w:eastAsia="en-GB"/>
              </w:rPr>
            </w:pPr>
            <w:r>
              <w:rPr>
                <w:rFonts w:cs="Times New Roman"/>
                <w:lang w:val="en-GB" w:eastAsia="en-GB"/>
              </w:rPr>
              <w:t xml:space="preserve">Completion of redress action recorded or logged. Confirm with complainant that grievance can be closed or determine what follow up is necessary. Record final sign off of grievance. If grievance cannot be closed, return to step 2 or recommend to the next tier- County, National. </w:t>
            </w:r>
          </w:p>
        </w:tc>
        <w:tc>
          <w:tcPr>
            <w:tcW w:w="561" w:type="pct"/>
            <w:tcBorders>
              <w:top w:val="nil"/>
              <w:left w:val="nil"/>
              <w:bottom w:val="single" w:color="auto" w:sz="4" w:space="0"/>
              <w:right w:val="single" w:color="auto" w:sz="4" w:space="0"/>
            </w:tcBorders>
            <w:vAlign w:val="center"/>
          </w:tcPr>
          <w:p w14:paraId="2C6E3673">
            <w:pPr>
              <w:rPr>
                <w:rFonts w:cs="Times New Roman"/>
                <w:lang w:val="en-GB" w:eastAsia="en-GB"/>
              </w:rPr>
            </w:pPr>
            <w:r>
              <w:rPr>
                <w:rFonts w:cs="Times New Roman"/>
                <w:lang w:val="en-GB" w:eastAsia="en-GB"/>
              </w:rPr>
              <w:t xml:space="preserve">15-25 Days </w:t>
            </w:r>
          </w:p>
        </w:tc>
        <w:tc>
          <w:tcPr>
            <w:tcW w:w="963" w:type="pct"/>
            <w:tcBorders>
              <w:top w:val="nil"/>
              <w:left w:val="nil"/>
              <w:bottom w:val="single" w:color="auto" w:sz="4" w:space="0"/>
              <w:right w:val="single" w:color="auto" w:sz="4" w:space="0"/>
            </w:tcBorders>
            <w:vAlign w:val="center"/>
          </w:tcPr>
          <w:p w14:paraId="1B2BAE00">
            <w:pPr>
              <w:rPr>
                <w:rFonts w:cs="Times New Roman"/>
                <w:lang w:val="en-GB" w:eastAsia="en-GB"/>
              </w:rPr>
            </w:pPr>
            <w:r>
              <w:rPr>
                <w:rFonts w:cs="Times New Roman"/>
                <w:lang w:val="en-GB" w:eastAsia="en-GB"/>
              </w:rPr>
              <w:t xml:space="preserve">Environmental (Social) Officer/Safeguard Specialist at WAJWASCO/ Grievance Officer </w:t>
            </w:r>
          </w:p>
        </w:tc>
      </w:tr>
      <w:tr w14:paraId="1A2A84CE">
        <w:tblPrEx>
          <w:tblCellMar>
            <w:top w:w="0" w:type="dxa"/>
            <w:left w:w="108" w:type="dxa"/>
            <w:bottom w:w="0" w:type="dxa"/>
            <w:right w:w="108" w:type="dxa"/>
          </w:tblCellMar>
        </w:tblPrEx>
        <w:trPr>
          <w:trHeight w:val="660" w:hRule="atLeast"/>
        </w:trPr>
        <w:tc>
          <w:tcPr>
            <w:tcW w:w="241" w:type="pct"/>
            <w:tcBorders>
              <w:top w:val="nil"/>
              <w:left w:val="single" w:color="auto" w:sz="4" w:space="0"/>
              <w:bottom w:val="single" w:color="auto" w:sz="4" w:space="0"/>
              <w:right w:val="single" w:color="auto" w:sz="4" w:space="0"/>
            </w:tcBorders>
            <w:vAlign w:val="center"/>
          </w:tcPr>
          <w:p w14:paraId="39013421">
            <w:pPr>
              <w:rPr>
                <w:rFonts w:cs="Times New Roman"/>
                <w:lang w:val="en-GB" w:eastAsia="en-GB"/>
              </w:rPr>
            </w:pPr>
            <w:r>
              <w:rPr>
                <w:rFonts w:cs="Times New Roman"/>
                <w:lang w:val="en-GB" w:eastAsia="en-GB"/>
              </w:rPr>
              <w:t>5</w:t>
            </w:r>
          </w:p>
        </w:tc>
        <w:tc>
          <w:tcPr>
            <w:tcW w:w="1203" w:type="pct"/>
            <w:tcBorders>
              <w:top w:val="nil"/>
              <w:left w:val="nil"/>
              <w:bottom w:val="single" w:color="auto" w:sz="4" w:space="0"/>
              <w:right w:val="single" w:color="auto" w:sz="4" w:space="0"/>
            </w:tcBorders>
            <w:vAlign w:val="center"/>
          </w:tcPr>
          <w:p w14:paraId="7E39AEA0">
            <w:pPr>
              <w:rPr>
                <w:rFonts w:cs="Times New Roman"/>
                <w:lang w:val="en-GB" w:eastAsia="en-GB"/>
              </w:rPr>
            </w:pPr>
            <w:r>
              <w:rPr>
                <w:rFonts w:cs="Times New Roman"/>
                <w:lang w:val="en-GB" w:eastAsia="en-GB"/>
              </w:rPr>
              <w:t xml:space="preserve">Court of law </w:t>
            </w:r>
          </w:p>
        </w:tc>
        <w:tc>
          <w:tcPr>
            <w:tcW w:w="2033" w:type="pct"/>
            <w:tcBorders>
              <w:top w:val="nil"/>
              <w:left w:val="nil"/>
              <w:bottom w:val="single" w:color="auto" w:sz="4" w:space="0"/>
              <w:right w:val="single" w:color="auto" w:sz="4" w:space="0"/>
            </w:tcBorders>
            <w:vAlign w:val="bottom"/>
          </w:tcPr>
          <w:p w14:paraId="05ED2BC3">
            <w:pPr>
              <w:rPr>
                <w:rFonts w:cs="Times New Roman"/>
                <w:lang w:val="en-GB" w:eastAsia="en-GB"/>
              </w:rPr>
            </w:pPr>
            <w:r>
              <w:rPr>
                <w:rFonts w:cs="Times New Roman"/>
                <w:lang w:val="en-GB" w:eastAsia="en-GB"/>
              </w:rPr>
              <w:t xml:space="preserve">If 2nd and third level settlement does not address dispute, complainant can resort to court of law </w:t>
            </w:r>
          </w:p>
        </w:tc>
        <w:tc>
          <w:tcPr>
            <w:tcW w:w="561" w:type="pct"/>
            <w:tcBorders>
              <w:top w:val="nil"/>
              <w:left w:val="nil"/>
              <w:bottom w:val="single" w:color="auto" w:sz="4" w:space="0"/>
              <w:right w:val="single" w:color="auto" w:sz="4" w:space="0"/>
            </w:tcBorders>
            <w:vAlign w:val="center"/>
          </w:tcPr>
          <w:p w14:paraId="76B48039">
            <w:pPr>
              <w:rPr>
                <w:rFonts w:cs="Times New Roman"/>
                <w:lang w:val="en-GB" w:eastAsia="en-GB"/>
              </w:rPr>
            </w:pPr>
            <w:r>
              <w:rPr>
                <w:rFonts w:cs="Times New Roman"/>
                <w:lang w:val="en-GB" w:eastAsia="en-GB"/>
              </w:rPr>
              <w:t xml:space="preserve">Unknown </w:t>
            </w:r>
          </w:p>
        </w:tc>
        <w:tc>
          <w:tcPr>
            <w:tcW w:w="963" w:type="pct"/>
            <w:tcBorders>
              <w:top w:val="nil"/>
              <w:left w:val="nil"/>
              <w:bottom w:val="single" w:color="auto" w:sz="4" w:space="0"/>
              <w:right w:val="single" w:color="auto" w:sz="4" w:space="0"/>
            </w:tcBorders>
            <w:vAlign w:val="center"/>
          </w:tcPr>
          <w:p w14:paraId="05A8073E">
            <w:pPr>
              <w:rPr>
                <w:rFonts w:cs="Times New Roman"/>
                <w:lang w:val="en-GB" w:eastAsia="en-GB"/>
              </w:rPr>
            </w:pPr>
            <w:r>
              <w:rPr>
                <w:rFonts w:cs="Times New Roman"/>
                <w:lang w:val="en-GB" w:eastAsia="en-GB"/>
              </w:rPr>
              <w:t xml:space="preserve">Safeguard Specialist under WAJWASCO </w:t>
            </w:r>
          </w:p>
        </w:tc>
      </w:tr>
      <w:tr w14:paraId="0D0CB0CD">
        <w:tblPrEx>
          <w:tblCellMar>
            <w:top w:w="0" w:type="dxa"/>
            <w:left w:w="108" w:type="dxa"/>
            <w:bottom w:w="0" w:type="dxa"/>
            <w:right w:w="108" w:type="dxa"/>
          </w:tblCellMar>
        </w:tblPrEx>
        <w:trPr>
          <w:trHeight w:val="56" w:hRule="atLeast"/>
        </w:trPr>
        <w:tc>
          <w:tcPr>
            <w:tcW w:w="241" w:type="pct"/>
            <w:tcBorders>
              <w:top w:val="nil"/>
              <w:left w:val="single" w:color="auto" w:sz="4" w:space="0"/>
              <w:bottom w:val="single" w:color="auto" w:sz="4" w:space="0"/>
              <w:right w:val="single" w:color="auto" w:sz="4" w:space="0"/>
            </w:tcBorders>
            <w:vAlign w:val="center"/>
          </w:tcPr>
          <w:p w14:paraId="6C359DE9">
            <w:pPr>
              <w:rPr>
                <w:rFonts w:cs="Times New Roman"/>
                <w:lang w:val="en-GB" w:eastAsia="en-GB"/>
              </w:rPr>
            </w:pPr>
            <w:r>
              <w:rPr>
                <w:rFonts w:cs="Times New Roman"/>
                <w:lang w:val="en-GB" w:eastAsia="en-GB"/>
              </w:rPr>
              <w:t>6</w:t>
            </w:r>
          </w:p>
        </w:tc>
        <w:tc>
          <w:tcPr>
            <w:tcW w:w="1203" w:type="pct"/>
            <w:tcBorders>
              <w:top w:val="nil"/>
              <w:left w:val="nil"/>
              <w:bottom w:val="single" w:color="auto" w:sz="4" w:space="0"/>
              <w:right w:val="single" w:color="auto" w:sz="4" w:space="0"/>
            </w:tcBorders>
            <w:vAlign w:val="center"/>
          </w:tcPr>
          <w:p w14:paraId="5FF7F3FF">
            <w:pPr>
              <w:rPr>
                <w:rFonts w:cs="Times New Roman"/>
                <w:lang w:val="en-GB" w:eastAsia="en-GB"/>
              </w:rPr>
            </w:pPr>
            <w:r>
              <w:rPr>
                <w:rFonts w:cs="Times New Roman"/>
                <w:lang w:val="en-GB" w:eastAsia="en-GB"/>
              </w:rPr>
              <w:t xml:space="preserve">Monitoring and evaluation, and reporting </w:t>
            </w:r>
          </w:p>
        </w:tc>
        <w:tc>
          <w:tcPr>
            <w:tcW w:w="2033" w:type="pct"/>
            <w:tcBorders>
              <w:top w:val="nil"/>
              <w:left w:val="nil"/>
              <w:bottom w:val="single" w:color="auto" w:sz="4" w:space="0"/>
              <w:right w:val="single" w:color="auto" w:sz="4" w:space="0"/>
            </w:tcBorders>
            <w:vAlign w:val="center"/>
          </w:tcPr>
          <w:p w14:paraId="46585D52">
            <w:pPr>
              <w:rPr>
                <w:rFonts w:cs="Times New Roman"/>
                <w:lang w:val="en-GB" w:eastAsia="en-GB"/>
              </w:rPr>
            </w:pPr>
            <w:r>
              <w:rPr>
                <w:rFonts w:cs="Times New Roman"/>
                <w:lang w:val="en-GB" w:eastAsia="en-GB"/>
              </w:rPr>
              <w:t xml:space="preserve">Grievance Redress Mechanism Process is documented and monitored </w:t>
            </w:r>
          </w:p>
        </w:tc>
        <w:tc>
          <w:tcPr>
            <w:tcW w:w="561" w:type="pct"/>
            <w:tcBorders>
              <w:top w:val="nil"/>
              <w:left w:val="nil"/>
              <w:bottom w:val="single" w:color="auto" w:sz="4" w:space="0"/>
              <w:right w:val="single" w:color="auto" w:sz="4" w:space="0"/>
            </w:tcBorders>
            <w:vAlign w:val="center"/>
          </w:tcPr>
          <w:p w14:paraId="4700EAE8">
            <w:pPr>
              <w:rPr>
                <w:rFonts w:cs="Times New Roman"/>
                <w:lang w:val="en-GB" w:eastAsia="en-GB"/>
              </w:rPr>
            </w:pPr>
            <w:r>
              <w:rPr>
                <w:rFonts w:cs="Times New Roman"/>
                <w:lang w:val="en-GB" w:eastAsia="en-GB"/>
              </w:rPr>
              <w:t> </w:t>
            </w:r>
          </w:p>
        </w:tc>
        <w:tc>
          <w:tcPr>
            <w:tcW w:w="963" w:type="pct"/>
            <w:tcBorders>
              <w:top w:val="nil"/>
              <w:left w:val="nil"/>
              <w:bottom w:val="single" w:color="auto" w:sz="4" w:space="0"/>
              <w:right w:val="single" w:color="auto" w:sz="4" w:space="0"/>
            </w:tcBorders>
            <w:vAlign w:val="center"/>
          </w:tcPr>
          <w:p w14:paraId="09409123">
            <w:pPr>
              <w:rPr>
                <w:rFonts w:cs="Times New Roman"/>
                <w:lang w:val="en-GB" w:eastAsia="en-GB"/>
              </w:rPr>
            </w:pPr>
            <w:r>
              <w:rPr>
                <w:rFonts w:cs="Times New Roman"/>
                <w:lang w:val="en-GB" w:eastAsia="en-GB"/>
              </w:rPr>
              <w:t xml:space="preserve">Safeguard Specialist under WAJWASCO </w:t>
            </w:r>
          </w:p>
        </w:tc>
      </w:tr>
    </w:tbl>
    <w:p w14:paraId="129F49C5">
      <w:pPr>
        <w:pStyle w:val="117"/>
        <w:sectPr>
          <w:pgSz w:w="16838" w:h="11906" w:orient="landscape"/>
          <w:pgMar w:top="1440" w:right="1440" w:bottom="1440" w:left="1440" w:header="720" w:footer="720" w:gutter="0"/>
          <w:cols w:space="720" w:num="1"/>
          <w:docGrid w:linePitch="299" w:charSpace="0"/>
        </w:sectPr>
      </w:pPr>
      <w:bookmarkStart w:id="589" w:name="_Toc165558110"/>
      <w:bookmarkStart w:id="590" w:name="_Toc165302408"/>
      <w:bookmarkStart w:id="591" w:name="_Toc159931158"/>
      <w:bookmarkStart w:id="592" w:name="_Toc156294789"/>
      <w:bookmarkStart w:id="593" w:name="_Toc163820092"/>
      <w:bookmarkStart w:id="594" w:name="_Toc159939403"/>
      <w:bookmarkStart w:id="595" w:name="_Toc160029183"/>
      <w:bookmarkStart w:id="596" w:name="_Toc160348569"/>
    </w:p>
    <w:p w14:paraId="3AE76E15">
      <w:pPr>
        <w:pStyle w:val="117"/>
        <w:rPr>
          <w:sz w:val="22"/>
        </w:rPr>
      </w:pPr>
      <w:bookmarkStart w:id="597" w:name="_Toc179904111"/>
      <w:r>
        <w:t xml:space="preserve">10.3 </w:t>
      </w:r>
      <w:r>
        <w:tab/>
      </w:r>
      <w:r>
        <w:t>The Four Tiers of Grievance Redress Mechanism</w:t>
      </w:r>
      <w:bookmarkEnd w:id="589"/>
      <w:bookmarkEnd w:id="590"/>
      <w:bookmarkEnd w:id="597"/>
    </w:p>
    <w:p w14:paraId="1869FE50">
      <w:pPr>
        <w:ind w:left="709"/>
        <w:jc w:val="both"/>
        <w:rPr>
          <w:bCs/>
        </w:rPr>
      </w:pPr>
      <w:r>
        <w:t>The Grievance Redress Mechanism (GRM) for the Wajir FSTP is structured into several tiers to ensure that grievances are addressed efficiently and effectively, promoting accountability and community trust. Each tier serves a specific purpose and provides stakeholders with multiple avenues for grievance resolution. Below are the proposed tiers</w:t>
      </w:r>
      <w:r>
        <w:rPr>
          <w:bCs/>
        </w:rPr>
        <w:t>;</w:t>
      </w:r>
    </w:p>
    <w:p w14:paraId="58AA83C4">
      <w:pPr>
        <w:ind w:left="709"/>
        <w:jc w:val="both"/>
        <w:rPr>
          <w:b/>
          <w:bCs/>
        </w:rPr>
      </w:pPr>
      <w:r>
        <w:rPr>
          <w:b/>
          <w:bCs/>
        </w:rPr>
        <w:t>Tier 1: Community Level</w:t>
      </w:r>
    </w:p>
    <w:p w14:paraId="208DCB53">
      <w:pPr>
        <w:numPr>
          <w:ilvl w:val="0"/>
          <w:numId w:val="39"/>
        </w:numPr>
        <w:tabs>
          <w:tab w:val="left" w:pos="2268"/>
          <w:tab w:val="clear" w:pos="720"/>
        </w:tabs>
        <w:ind w:left="1418" w:hanging="709"/>
        <w:jc w:val="both"/>
        <w:rPr>
          <w:bCs/>
        </w:rPr>
      </w:pPr>
      <w:r>
        <w:rPr>
          <w:bCs/>
          <w:i/>
        </w:rPr>
        <w:t>Grievance Submission:</w:t>
      </w:r>
      <w:r>
        <w:rPr>
          <w:bCs/>
        </w:rPr>
        <w:t xml:space="preserve"> Community members can submit grievances directly to local project representatives, community leaders, or designated grievance officers.</w:t>
      </w:r>
    </w:p>
    <w:p w14:paraId="7ABDEFD0">
      <w:pPr>
        <w:numPr>
          <w:ilvl w:val="0"/>
          <w:numId w:val="39"/>
        </w:numPr>
        <w:tabs>
          <w:tab w:val="left" w:pos="2268"/>
          <w:tab w:val="clear" w:pos="720"/>
        </w:tabs>
        <w:ind w:left="1418" w:hanging="709"/>
        <w:jc w:val="both"/>
        <w:rPr>
          <w:bCs/>
        </w:rPr>
      </w:pPr>
      <w:r>
        <w:rPr>
          <w:bCs/>
          <w:i/>
        </w:rPr>
        <w:t>Initial Resolution:</w:t>
      </w:r>
      <w:r>
        <w:rPr>
          <w:bCs/>
        </w:rPr>
        <w:t xml:space="preserve"> Community representatives will attempt to resolve grievances informally through dialogue and negotiation, aiming for immediate solutions.</w:t>
      </w:r>
    </w:p>
    <w:p w14:paraId="63A5F566">
      <w:pPr>
        <w:numPr>
          <w:ilvl w:val="0"/>
          <w:numId w:val="39"/>
        </w:numPr>
        <w:tabs>
          <w:tab w:val="left" w:pos="2268"/>
          <w:tab w:val="clear" w:pos="720"/>
        </w:tabs>
        <w:ind w:left="1418" w:hanging="709"/>
        <w:jc w:val="both"/>
        <w:rPr>
          <w:bCs/>
        </w:rPr>
      </w:pPr>
      <w:r>
        <w:rPr>
          <w:bCs/>
          <w:i/>
        </w:rPr>
        <w:t>Documentation:</w:t>
      </w:r>
      <w:r>
        <w:rPr>
          <w:bCs/>
        </w:rPr>
        <w:t xml:space="preserve"> All grievances will be recorded in a local logbook, including details of the issue, parties involved, and resolution efforts.</w:t>
      </w:r>
    </w:p>
    <w:p w14:paraId="70C42730">
      <w:pPr>
        <w:ind w:left="709"/>
        <w:jc w:val="both"/>
        <w:rPr>
          <w:b/>
          <w:bCs/>
        </w:rPr>
      </w:pPr>
      <w:r>
        <w:rPr>
          <w:b/>
          <w:bCs/>
        </w:rPr>
        <w:t>Tier 2: Project Management Level</w:t>
      </w:r>
    </w:p>
    <w:p w14:paraId="3020542D">
      <w:pPr>
        <w:numPr>
          <w:ilvl w:val="0"/>
          <w:numId w:val="40"/>
        </w:numPr>
        <w:tabs>
          <w:tab w:val="clear" w:pos="720"/>
        </w:tabs>
        <w:ind w:left="1418" w:hanging="709"/>
        <w:jc w:val="both"/>
        <w:rPr>
          <w:bCs/>
        </w:rPr>
      </w:pPr>
      <w:r>
        <w:rPr>
          <w:bCs/>
          <w:i/>
        </w:rPr>
        <w:t>Escalation:</w:t>
      </w:r>
      <w:r>
        <w:rPr>
          <w:bCs/>
        </w:rPr>
        <w:t xml:space="preserve"> If grievances are not resolved at the community level, they can be escalated to the project management team.</w:t>
      </w:r>
    </w:p>
    <w:p w14:paraId="634A0003">
      <w:pPr>
        <w:numPr>
          <w:ilvl w:val="0"/>
          <w:numId w:val="40"/>
        </w:numPr>
        <w:tabs>
          <w:tab w:val="clear" w:pos="720"/>
        </w:tabs>
        <w:ind w:left="1418" w:hanging="709"/>
        <w:jc w:val="both"/>
        <w:rPr>
          <w:bCs/>
        </w:rPr>
      </w:pPr>
      <w:r>
        <w:rPr>
          <w:bCs/>
          <w:i/>
        </w:rPr>
        <w:t>Formal Review:</w:t>
      </w:r>
      <w:r>
        <w:rPr>
          <w:bCs/>
        </w:rPr>
        <w:t xml:space="preserve"> The project management team will conduct a formal review of the grievance, assessing the documentation and communication from the community level.</w:t>
      </w:r>
    </w:p>
    <w:p w14:paraId="28EF5FBD">
      <w:pPr>
        <w:numPr>
          <w:ilvl w:val="0"/>
          <w:numId w:val="40"/>
        </w:numPr>
        <w:tabs>
          <w:tab w:val="clear" w:pos="720"/>
        </w:tabs>
        <w:ind w:left="1418" w:hanging="709"/>
        <w:jc w:val="both"/>
        <w:rPr>
          <w:bCs/>
        </w:rPr>
      </w:pPr>
      <w:r>
        <w:rPr>
          <w:bCs/>
          <w:i/>
        </w:rPr>
        <w:t>Resolution Plan:</w:t>
      </w:r>
      <w:r>
        <w:rPr>
          <w:bCs/>
        </w:rPr>
        <w:t xml:space="preserve"> The team will develop a resolution plan and communicate the findings to the complainant within a specified timeframe (e.g., 14 working days).</w:t>
      </w:r>
    </w:p>
    <w:p w14:paraId="023897AD">
      <w:pPr>
        <w:ind w:left="709"/>
        <w:jc w:val="both"/>
        <w:rPr>
          <w:b/>
          <w:bCs/>
        </w:rPr>
      </w:pPr>
      <w:r>
        <w:rPr>
          <w:b/>
          <w:bCs/>
        </w:rPr>
        <w:t>Tier 3: Stakeholder Advisory Committee</w:t>
      </w:r>
    </w:p>
    <w:p w14:paraId="501F7C4C">
      <w:pPr>
        <w:numPr>
          <w:ilvl w:val="0"/>
          <w:numId w:val="41"/>
        </w:numPr>
        <w:tabs>
          <w:tab w:val="clear" w:pos="720"/>
        </w:tabs>
        <w:ind w:left="1418" w:hanging="709"/>
        <w:jc w:val="both"/>
        <w:rPr>
          <w:bCs/>
        </w:rPr>
      </w:pPr>
      <w:r>
        <w:rPr>
          <w:bCs/>
          <w:i/>
        </w:rPr>
        <w:t>Independent Review:</w:t>
      </w:r>
      <w:r>
        <w:rPr>
          <w:bCs/>
        </w:rPr>
        <w:t xml:space="preserve"> For grievances that remain unresolved or are complex in nature, the issue can be referred to a Stakeholder Advisory Committee (SAC) composed of community representatives, project staff, and independent stakeholders.</w:t>
      </w:r>
    </w:p>
    <w:p w14:paraId="62F04F25">
      <w:pPr>
        <w:numPr>
          <w:ilvl w:val="0"/>
          <w:numId w:val="41"/>
        </w:numPr>
        <w:tabs>
          <w:tab w:val="clear" w:pos="720"/>
        </w:tabs>
        <w:ind w:left="1418" w:hanging="709"/>
        <w:jc w:val="both"/>
        <w:rPr>
          <w:bCs/>
        </w:rPr>
      </w:pPr>
      <w:r>
        <w:rPr>
          <w:bCs/>
          <w:i/>
        </w:rPr>
        <w:t>Facilitated Discussions</w:t>
      </w:r>
      <w:r>
        <w:rPr>
          <w:bCs/>
        </w:rPr>
        <w:t>: The SAC will facilitate discussions between the affected parties and project management, seeking a fair and impartial resolution.</w:t>
      </w:r>
    </w:p>
    <w:p w14:paraId="38191FA0">
      <w:pPr>
        <w:numPr>
          <w:ilvl w:val="0"/>
          <w:numId w:val="41"/>
        </w:numPr>
        <w:tabs>
          <w:tab w:val="clear" w:pos="720"/>
        </w:tabs>
        <w:ind w:left="1418" w:hanging="709"/>
        <w:jc w:val="both"/>
        <w:rPr>
          <w:bCs/>
        </w:rPr>
      </w:pPr>
      <w:r>
        <w:rPr>
          <w:bCs/>
          <w:i/>
        </w:rPr>
        <w:t>Recommendations:</w:t>
      </w:r>
      <w:r>
        <w:rPr>
          <w:bCs/>
        </w:rPr>
        <w:t xml:space="preserve"> The SAC may provide recommendations for resolving the grievance, which project management will consider seriously.</w:t>
      </w:r>
    </w:p>
    <w:p w14:paraId="36DF0728">
      <w:pPr>
        <w:ind w:left="709"/>
        <w:jc w:val="both"/>
        <w:rPr>
          <w:b/>
          <w:bCs/>
        </w:rPr>
      </w:pPr>
      <w:r>
        <w:rPr>
          <w:b/>
          <w:bCs/>
        </w:rPr>
        <w:t>Tier 4: External Mediation</w:t>
      </w:r>
    </w:p>
    <w:p w14:paraId="25224EB1">
      <w:pPr>
        <w:numPr>
          <w:ilvl w:val="0"/>
          <w:numId w:val="42"/>
        </w:numPr>
        <w:tabs>
          <w:tab w:val="clear" w:pos="720"/>
        </w:tabs>
        <w:ind w:left="1418" w:hanging="709"/>
        <w:jc w:val="both"/>
        <w:rPr>
          <w:bCs/>
        </w:rPr>
      </w:pPr>
      <w:r>
        <w:rPr>
          <w:bCs/>
          <w:i/>
        </w:rPr>
        <w:t>Final Escalation:</w:t>
      </w:r>
      <w:r>
        <w:rPr>
          <w:bCs/>
        </w:rPr>
        <w:t xml:space="preserve"> If grievances are still unresolved after engagement with the SAC, they can be referred to an external mediator or an independent ombudsman.</w:t>
      </w:r>
    </w:p>
    <w:p w14:paraId="3031A8E1">
      <w:pPr>
        <w:numPr>
          <w:ilvl w:val="0"/>
          <w:numId w:val="42"/>
        </w:numPr>
        <w:tabs>
          <w:tab w:val="clear" w:pos="720"/>
        </w:tabs>
        <w:ind w:left="1418" w:hanging="709"/>
        <w:jc w:val="both"/>
        <w:rPr>
          <w:bCs/>
        </w:rPr>
      </w:pPr>
      <w:r>
        <w:rPr>
          <w:bCs/>
          <w:i/>
        </w:rPr>
        <w:t>Third-Party Review:</w:t>
      </w:r>
      <w:r>
        <w:rPr>
          <w:bCs/>
        </w:rPr>
        <w:t xml:space="preserve"> The external mediator will conduct an impartial review and recommend solutions based on established principles of fairness and equity.</w:t>
      </w:r>
    </w:p>
    <w:p w14:paraId="7C288BA3">
      <w:pPr>
        <w:numPr>
          <w:ilvl w:val="0"/>
          <w:numId w:val="42"/>
        </w:numPr>
        <w:tabs>
          <w:tab w:val="clear" w:pos="720"/>
        </w:tabs>
        <w:ind w:left="1418" w:hanging="709"/>
        <w:jc w:val="both"/>
        <w:rPr>
          <w:bCs/>
        </w:rPr>
      </w:pPr>
      <w:r>
        <w:rPr>
          <w:bCs/>
          <w:i/>
        </w:rPr>
        <w:t>Binding Decisions</w:t>
      </w:r>
      <w:r>
        <w:rPr>
          <w:bCs/>
        </w:rPr>
        <w:t>: Depending on the agreement, the mediator's recommendations may be binding for the project management.</w:t>
      </w:r>
    </w:p>
    <w:p w14:paraId="3939BD15">
      <w:pPr>
        <w:pStyle w:val="117"/>
      </w:pPr>
      <w:bookmarkStart w:id="598" w:name="_Toc165302409"/>
      <w:bookmarkStart w:id="599" w:name="_Toc165558111"/>
      <w:bookmarkStart w:id="600" w:name="_Toc179904112"/>
      <w:r>
        <w:t>10.4</w:t>
      </w:r>
      <w:r>
        <w:tab/>
      </w:r>
      <w:r>
        <w:t xml:space="preserve"> Worker Grievance Procedure</w:t>
      </w:r>
      <w:bookmarkEnd w:id="591"/>
      <w:bookmarkEnd w:id="592"/>
      <w:bookmarkEnd w:id="593"/>
      <w:bookmarkEnd w:id="594"/>
      <w:bookmarkEnd w:id="595"/>
      <w:bookmarkEnd w:id="596"/>
      <w:bookmarkEnd w:id="598"/>
      <w:bookmarkEnd w:id="599"/>
      <w:bookmarkEnd w:id="600"/>
      <w:r>
        <w:t xml:space="preserve"> </w:t>
      </w:r>
    </w:p>
    <w:p w14:paraId="77179E80">
      <w:pPr>
        <w:ind w:left="709"/>
        <w:rPr>
          <w:rFonts w:cs="Times New Roman"/>
        </w:rPr>
      </w:pPr>
      <w:r>
        <w:rPr>
          <w:rFonts w:cs="Times New Roman"/>
        </w:rPr>
        <w:t xml:space="preserve">Contractor shall commit to enforce WAJWASCO’s comprehensive labor and employment policies, including its requirements on workplace discrimination and harassment, across the entire workforce. This policy requires that all contractor workers are to be treated fairly, with dignity and respect, and have equal employment opportunities. </w:t>
      </w:r>
    </w:p>
    <w:p w14:paraId="60288677">
      <w:pPr>
        <w:ind w:left="709"/>
        <w:rPr>
          <w:rFonts w:cs="Times New Roman"/>
        </w:rPr>
      </w:pPr>
      <w:r>
        <w:rPr>
          <w:rFonts w:cs="Times New Roman"/>
        </w:rPr>
        <w:t xml:space="preserve">Therefore, contractors shall be required to develop a Labour Management Plan that includes an authorized process for workers to raise grievances and concerns to senior management, covering any issues that are work related, that affect an employee or contractor, or that an employee deems unfair. Such concerns may relate (but are not limited) to the following: </w:t>
      </w:r>
    </w:p>
    <w:p w14:paraId="0DBB67B6">
      <w:pPr>
        <w:pStyle w:val="115"/>
        <w:numPr>
          <w:ilvl w:val="0"/>
          <w:numId w:val="43"/>
        </w:numPr>
      </w:pPr>
      <w:r>
        <w:t xml:space="preserve">Management decisions; </w:t>
      </w:r>
    </w:p>
    <w:p w14:paraId="69867AD8">
      <w:pPr>
        <w:pStyle w:val="115"/>
        <w:numPr>
          <w:ilvl w:val="0"/>
          <w:numId w:val="43"/>
        </w:numPr>
        <w:rPr>
          <w:rFonts w:cstheme="minorBidi"/>
        </w:rPr>
      </w:pPr>
      <w:r>
        <w:t xml:space="preserve">Occupational health and safety concerns; </w:t>
      </w:r>
    </w:p>
    <w:p w14:paraId="6723A67B">
      <w:pPr>
        <w:pStyle w:val="115"/>
        <w:numPr>
          <w:ilvl w:val="0"/>
          <w:numId w:val="43"/>
        </w:numPr>
        <w:rPr>
          <w:rFonts w:cs="Calibri"/>
        </w:rPr>
      </w:pPr>
      <w:r>
        <w:t xml:space="preserve">The behavior or conduct of another employee, manager, or contractor; and </w:t>
      </w:r>
    </w:p>
    <w:p w14:paraId="5DB699BE">
      <w:pPr>
        <w:pStyle w:val="115"/>
        <w:numPr>
          <w:ilvl w:val="0"/>
          <w:numId w:val="43"/>
        </w:numPr>
      </w:pPr>
      <w:r>
        <w:t xml:space="preserve">The effects of WAJWASCO’s contractors’ Human Resources policy or procedures. </w:t>
      </w:r>
    </w:p>
    <w:p w14:paraId="4134FECA">
      <w:pPr>
        <w:ind w:left="709"/>
        <w:rPr>
          <w:rFonts w:cs="Times New Roman"/>
        </w:rPr>
      </w:pPr>
      <w:r>
        <w:rPr>
          <w:rFonts w:cs="Times New Roman"/>
        </w:rPr>
        <w:t xml:space="preserve">Contractor shall ensure that all grievances raised by workers are treated impartially, respectfully and confidentially. </w:t>
      </w:r>
    </w:p>
    <w:p w14:paraId="291F7363">
      <w:pPr>
        <w:pStyle w:val="117"/>
      </w:pPr>
      <w:bookmarkStart w:id="601" w:name="_Toc165302410"/>
      <w:bookmarkStart w:id="602" w:name="_Toc165558112"/>
      <w:bookmarkStart w:id="603" w:name="_Toc179904113"/>
      <w:r>
        <w:t xml:space="preserve">10.5 </w:t>
      </w:r>
      <w:r>
        <w:tab/>
      </w:r>
      <w:r>
        <w:t>World Bank Group Grievance Redress Service</w:t>
      </w:r>
      <w:bookmarkEnd w:id="601"/>
      <w:bookmarkEnd w:id="602"/>
      <w:bookmarkEnd w:id="603"/>
    </w:p>
    <w:p w14:paraId="369A54F0">
      <w:pPr>
        <w:ind w:left="709"/>
        <w:jc w:val="both"/>
      </w:pPr>
      <w:r>
        <w:t>The World Bank Group's Grievance Redress Service (GRS) is an essential mechanism for addressing complaints and grievances related to projects funded by the World Bank Group. The GRS aims to provide affected communities, also known as Project Affected People (PAPs), with a platform to voice their concerns and seek resolutions.</w:t>
      </w:r>
    </w:p>
    <w:p w14:paraId="59B948F6">
      <w:pPr>
        <w:ind w:left="709"/>
      </w:pPr>
      <w:r>
        <w:rPr>
          <w:b/>
          <w:bCs/>
        </w:rPr>
        <w:t>Purpose of GRS</w:t>
      </w:r>
    </w:p>
    <w:p w14:paraId="3430F40A">
      <w:pPr>
        <w:ind w:left="709"/>
        <w:jc w:val="both"/>
      </w:pPr>
      <w:r>
        <w:t>The primary purpose of the Grievance Redress Service is to ensure that affected individuals and communities have a voice in projects financed by the World Bank Group. It is designed to address complaints related to social and environmental issues, human rights violations, resettlement concerns, and other project-related grievances.</w:t>
      </w:r>
    </w:p>
    <w:p w14:paraId="550EE1F9">
      <w:pPr>
        <w:ind w:left="709"/>
      </w:pPr>
      <w:r>
        <w:rPr>
          <w:b/>
          <w:bCs/>
        </w:rPr>
        <w:t>Types of Complaints</w:t>
      </w:r>
    </w:p>
    <w:p w14:paraId="36FFEC18">
      <w:pPr>
        <w:ind w:left="709"/>
      </w:pPr>
      <w:r>
        <w:t>The GRS handles various types of complaints, including but not limited to:</w:t>
      </w:r>
    </w:p>
    <w:p w14:paraId="13111802">
      <w:pPr>
        <w:pStyle w:val="115"/>
        <w:numPr>
          <w:ilvl w:val="0"/>
          <w:numId w:val="44"/>
        </w:numPr>
      </w:pPr>
      <w:r>
        <w:t>Social issues: Such as community displacement, loss of livelihoods, cultural heritage preservation.</w:t>
      </w:r>
    </w:p>
    <w:p w14:paraId="11D2BC8D">
      <w:pPr>
        <w:pStyle w:val="115"/>
        <w:numPr>
          <w:ilvl w:val="0"/>
          <w:numId w:val="44"/>
        </w:numPr>
      </w:pPr>
      <w:r>
        <w:t>Environmental concerns: Such as pollution, deforestation, water contamination.</w:t>
      </w:r>
    </w:p>
    <w:p w14:paraId="5C982D0F">
      <w:pPr>
        <w:pStyle w:val="115"/>
        <w:numPr>
          <w:ilvl w:val="0"/>
          <w:numId w:val="44"/>
        </w:numPr>
      </w:pPr>
      <w:r>
        <w:t>Human rights violations: Such as labor rights abuses, discrimination, lack of consultation with affected groups.</w:t>
      </w:r>
    </w:p>
    <w:p w14:paraId="55058F5C">
      <w:pPr>
        <w:ind w:left="709"/>
        <w:jc w:val="both"/>
      </w:pPr>
      <w:r>
        <w:t xml:space="preserve">PAPs, including individuals, communities, or organizations directly affected by World Bank-funded projects, have the right to lodge a complaint with the GRS. The affected parties can be from both the public and private sectors. Complaints can be lodged through the following; </w:t>
      </w:r>
    </w:p>
    <w:p w14:paraId="5159A060">
      <w:pPr>
        <w:ind w:left="709"/>
      </w:pPr>
      <w:r>
        <w:rPr>
          <w:b/>
          <w:bCs/>
        </w:rPr>
        <w:t>Identify the Issue</w:t>
      </w:r>
      <w:r>
        <w:t>: Clearly identify the specific issue or grievance you want to raise. Provide details, evidence, and supporting documents if available.</w:t>
      </w:r>
    </w:p>
    <w:p w14:paraId="766A688D">
      <w:pPr>
        <w:ind w:left="709"/>
      </w:pPr>
      <w:r>
        <w:rPr>
          <w:b/>
          <w:bCs/>
        </w:rPr>
        <w:t>Contact GRS</w:t>
      </w:r>
      <w:r>
        <w:t>: PAPs can contact the Grievance Redress Service directly through various channels, such as:</w:t>
      </w:r>
    </w:p>
    <w:p w14:paraId="6B39D5B7">
      <w:pPr>
        <w:pStyle w:val="115"/>
        <w:numPr>
          <w:ilvl w:val="0"/>
          <w:numId w:val="45"/>
        </w:numPr>
      </w:pPr>
      <w:r>
        <w:t>GRS Online Platform: Many complaints can be submitted through the World Bank's online grievance portal.</w:t>
      </w:r>
    </w:p>
    <w:p w14:paraId="24C8CE49">
      <w:pPr>
        <w:pStyle w:val="115"/>
        <w:numPr>
          <w:ilvl w:val="0"/>
          <w:numId w:val="45"/>
        </w:numPr>
      </w:pPr>
      <w:r>
        <w:t>Local World Bank Office: In some cases, PAPs can lodge complaints at the local World Bank office responsible for the project.</w:t>
      </w:r>
    </w:p>
    <w:p w14:paraId="469E8349">
      <w:pPr>
        <w:pStyle w:val="115"/>
        <w:numPr>
          <w:ilvl w:val="0"/>
          <w:numId w:val="45"/>
        </w:numPr>
      </w:pPr>
      <w:r>
        <w:t>Community Liaison Officers: Some projects have designated Community Liaison Officers who can assist in lodging complaints.</w:t>
      </w:r>
    </w:p>
    <w:p w14:paraId="4A1F6D46">
      <w:pPr>
        <w:ind w:left="709"/>
        <w:jc w:val="both"/>
      </w:pPr>
      <w:r>
        <w:rPr>
          <w:b/>
          <w:bCs/>
        </w:rPr>
        <w:t>Submit the Complaint</w:t>
      </w:r>
      <w:r>
        <w:t>: Follow the instructions provided by the GRS for submitting your complaint. Include all relevant information and documents to support your case.</w:t>
      </w:r>
    </w:p>
    <w:p w14:paraId="32AFE388">
      <w:pPr>
        <w:ind w:left="709"/>
        <w:jc w:val="both"/>
      </w:pPr>
      <w:r>
        <w:rPr>
          <w:b/>
          <w:bCs/>
        </w:rPr>
        <w:t>Wait for Acknowledgment</w:t>
      </w:r>
      <w:r>
        <w:t xml:space="preserve">: Once the complaint is submitted, the GRS will acknowledge receipt and begin the review process. The review process is as follows; </w:t>
      </w:r>
    </w:p>
    <w:p w14:paraId="20B8AEBA">
      <w:pPr>
        <w:pStyle w:val="115"/>
        <w:numPr>
          <w:ilvl w:val="0"/>
          <w:numId w:val="46"/>
        </w:numPr>
      </w:pPr>
      <w:r>
        <w:rPr>
          <w:b/>
          <w:bCs/>
        </w:rPr>
        <w:t>Initial Assessment</w:t>
      </w:r>
      <w:r>
        <w:t>: The GRS team conducts an initial assessment of the complaint to determine its validity and relevance to World Bank Group policies and guidelines.</w:t>
      </w:r>
    </w:p>
    <w:p w14:paraId="6813D2A2">
      <w:pPr>
        <w:pStyle w:val="115"/>
        <w:numPr>
          <w:ilvl w:val="0"/>
          <w:numId w:val="46"/>
        </w:numPr>
      </w:pPr>
      <w:r>
        <w:rPr>
          <w:b/>
          <w:bCs/>
        </w:rPr>
        <w:t>Investigation</w:t>
      </w:r>
      <w:r>
        <w:t>: If the complaint is deemed valid, the GRS team may conduct further investigations, which may involve site visits, consultations with stakeholders, and gathering additional information.</w:t>
      </w:r>
    </w:p>
    <w:p w14:paraId="5B84927A">
      <w:pPr>
        <w:pStyle w:val="115"/>
        <w:numPr>
          <w:ilvl w:val="0"/>
          <w:numId w:val="46"/>
        </w:numPr>
      </w:pPr>
      <w:r>
        <w:rPr>
          <w:b/>
          <w:bCs/>
        </w:rPr>
        <w:t>Resolution</w:t>
      </w:r>
      <w:r>
        <w:t>: Based on the findings of the investigation, the GRS works toward resolving the complaint through various means, such as mediation, corrective actions, or policy recommendations.</w:t>
      </w:r>
    </w:p>
    <w:p w14:paraId="07F4354E">
      <w:pPr>
        <w:pStyle w:val="115"/>
        <w:numPr>
          <w:ilvl w:val="0"/>
          <w:numId w:val="46"/>
        </w:numPr>
      </w:pPr>
      <w:r>
        <w:rPr>
          <w:b/>
          <w:bCs/>
        </w:rPr>
        <w:t>Feedback and Follow-up</w:t>
      </w:r>
      <w:r>
        <w:t>: Throughout the process, the GRS provides feedback to the complainant and ensures follow-up actions are taken to address the grievances effectively.</w:t>
      </w:r>
    </w:p>
    <w:p w14:paraId="3EADA2CA">
      <w:pPr>
        <w:ind w:left="709"/>
        <w:jc w:val="both"/>
      </w:pPr>
      <w:r>
        <w:rPr>
          <w:b/>
          <w:bCs/>
        </w:rPr>
        <w:t>Confidentiality and Protection</w:t>
      </w:r>
      <w:r>
        <w:t>: The GRS respects the confidentiality of complainants and ensures protection against any reprisals or retaliation for lodging a complaint. PAPs' identities are generally kept confidential unless consent is provided otherwise.</w:t>
      </w:r>
    </w:p>
    <w:p w14:paraId="264AF4BA">
      <w:pPr>
        <w:ind w:left="709"/>
        <w:jc w:val="both"/>
      </w:pPr>
      <w:r>
        <w:rPr>
          <w:b/>
          <w:bCs/>
        </w:rPr>
        <w:t>Monitoring and Evaluation</w:t>
      </w:r>
      <w:r>
        <w:t>: After a complaint is resolved, the GRS may conduct monitoring and evaluation to assess the effectiveness of the resolution and identify lessons learned for future projects.</w:t>
      </w:r>
    </w:p>
    <w:p w14:paraId="249B5924">
      <w:pPr>
        <w:ind w:left="709"/>
        <w:jc w:val="both"/>
        <w:rPr>
          <w:rFonts w:eastAsia="Times New Roman" w:cs="Times New Roman"/>
          <w:b/>
          <w:bCs/>
          <w:spacing w:val="-2"/>
          <w:w w:val="95"/>
          <w:lang w:val="en-GB"/>
        </w:rPr>
      </w:pPr>
      <w:r>
        <w:t>By providing an accessible and transparent platform for addressing grievances, the World Bank Group's Grievance Redress Service plays a crucial role in promoting accountability, transparency, and sustainable development in its funded projects.</w:t>
      </w:r>
      <w:bookmarkEnd w:id="549"/>
      <w:bookmarkEnd w:id="550"/>
      <w:bookmarkEnd w:id="551"/>
      <w:bookmarkEnd w:id="552"/>
    </w:p>
    <w:p w14:paraId="182A2621">
      <w:pPr>
        <w:spacing w:after="0"/>
        <w:rPr>
          <w:rFonts w:eastAsia="Times New Roman Bold" w:cstheme="minorHAnsi"/>
          <w:b/>
          <w:color w:val="000000" w:themeColor="text1"/>
          <w:w w:val="110"/>
          <w:szCs w:val="24"/>
          <w:lang w:eastAsia="en-GB"/>
          <w14:textFill>
            <w14:solidFill>
              <w14:schemeClr w14:val="tx1"/>
            </w14:solidFill>
          </w14:textFill>
        </w:rPr>
        <w:sectPr>
          <w:pgSz w:w="11906" w:h="16838"/>
          <w:pgMar w:top="1440" w:right="1440" w:bottom="1440" w:left="1440" w:header="720" w:footer="720" w:gutter="0"/>
          <w:cols w:space="720" w:num="1"/>
        </w:sectPr>
      </w:pPr>
    </w:p>
    <w:p w14:paraId="519D53F7">
      <w:pPr>
        <w:pStyle w:val="2"/>
      </w:pPr>
      <w:bookmarkStart w:id="604" w:name="_Toc179904114"/>
      <w:r>
        <w:t>11.</w:t>
      </w:r>
      <w:r>
        <w:tab/>
      </w:r>
      <w:r>
        <w:t>CONCLUSION AND RECOMMENDATIONS</w:t>
      </w:r>
      <w:bookmarkEnd w:id="542"/>
      <w:bookmarkEnd w:id="604"/>
    </w:p>
    <w:p w14:paraId="1BAB16C8">
      <w:pPr>
        <w:pStyle w:val="3"/>
      </w:pPr>
      <w:bookmarkStart w:id="605" w:name="_Toc121232465"/>
      <w:bookmarkStart w:id="606" w:name="_Toc170723042"/>
      <w:bookmarkStart w:id="607" w:name="_Toc114487186"/>
      <w:bookmarkStart w:id="608" w:name="_Toc179904115"/>
      <w:r>
        <w:t>11.1</w:t>
      </w:r>
      <w:r>
        <w:tab/>
      </w:r>
      <w:r>
        <w:t>CONCLUSION</w:t>
      </w:r>
      <w:bookmarkEnd w:id="605"/>
      <w:bookmarkEnd w:id="606"/>
      <w:bookmarkEnd w:id="607"/>
      <w:bookmarkEnd w:id="608"/>
    </w:p>
    <w:p w14:paraId="0D95B2C1">
      <w:pPr>
        <w:tabs>
          <w:tab w:val="left" w:pos="709"/>
        </w:tabs>
        <w:spacing w:before="100" w:beforeAutospacing="1" w:after="100" w:afterAutospacing="1" w:line="240" w:lineRule="auto"/>
        <w:ind w:left="709"/>
        <w:contextualSpacing/>
        <w:jc w:val="both"/>
        <w:rPr>
          <w:color w:val="000000"/>
        </w:rPr>
      </w:pPr>
      <w:r>
        <w:rPr>
          <w:color w:val="000000"/>
        </w:rPr>
        <w:t>From the preliminary study, impacts have been identified and all the mitigation measures taken into consideration. After a few conflicts between the locals and the client (WAJWASCO), regarding the poor management of the already existing dumpsite, locals have welcomed the project as long as it’s construction and operation management shall not depend entirely on WAJWASCO, but also on the consultant, and they wish for quick implementation to improve the sanitation status in the dumpsite.  Minimal vegetation will be lost in the project implementation. No significant waste shall be produced by the project installation and operation.</w:t>
      </w:r>
    </w:p>
    <w:p w14:paraId="42F73D27">
      <w:pPr>
        <w:tabs>
          <w:tab w:val="left" w:pos="709"/>
        </w:tabs>
        <w:spacing w:before="100" w:beforeAutospacing="1" w:after="100" w:afterAutospacing="1" w:line="240" w:lineRule="auto"/>
        <w:ind w:left="709"/>
        <w:contextualSpacing/>
        <w:jc w:val="both"/>
        <w:rPr>
          <w:color w:val="000000"/>
        </w:rPr>
      </w:pPr>
      <w:r>
        <w:rPr>
          <w:color w:val="000000"/>
        </w:rPr>
        <w:t>The project will offer employment to the locals both direct and indirect. The project will cause no displacement of households. With implementation of the project following the EMMP provided, negative impacts shall be reduced to the minimum maximizing on positive impacts;</w:t>
      </w:r>
    </w:p>
    <w:p w14:paraId="762D78FB">
      <w:pPr>
        <w:tabs>
          <w:tab w:val="left" w:pos="709"/>
        </w:tabs>
        <w:spacing w:before="100" w:beforeAutospacing="1" w:after="100" w:afterAutospacing="1" w:line="240" w:lineRule="auto"/>
        <w:ind w:left="709"/>
        <w:jc w:val="both"/>
      </w:pPr>
      <w:r>
        <w:rPr>
          <w:color w:val="000000"/>
        </w:rPr>
        <w:t xml:space="preserve">The entire project cost is </w:t>
      </w:r>
      <w:r>
        <w:rPr>
          <w:b/>
        </w:rPr>
        <w:t xml:space="preserve">KES 570,802,041 </w:t>
      </w:r>
      <w:r>
        <w:t>(</w:t>
      </w:r>
      <w:r>
        <w:rPr>
          <w:spacing w:val="1"/>
        </w:rPr>
        <w:t xml:space="preserve">Five Hundred and Seventy </w:t>
      </w:r>
      <w:r>
        <w:rPr>
          <w:spacing w:val="-2"/>
        </w:rPr>
        <w:t>Million</w:t>
      </w:r>
      <w:r>
        <w:t>, Eight Hundred and Two Thousand,</w:t>
      </w:r>
      <w:r>
        <w:rPr>
          <w:spacing w:val="-2"/>
        </w:rPr>
        <w:t xml:space="preserve"> </w:t>
      </w:r>
      <w:r>
        <w:t>and Forty-One).</w:t>
      </w:r>
    </w:p>
    <w:p w14:paraId="54522595">
      <w:pPr>
        <w:tabs>
          <w:tab w:val="left" w:pos="709"/>
        </w:tabs>
        <w:spacing w:before="100" w:beforeAutospacing="1" w:after="100" w:afterAutospacing="1" w:line="240" w:lineRule="auto"/>
        <w:ind w:left="709"/>
        <w:jc w:val="both"/>
        <w:rPr>
          <w:b/>
        </w:rPr>
      </w:pPr>
      <w:r>
        <w:rPr>
          <w:color w:val="000000"/>
        </w:rPr>
        <w:t xml:space="preserve">From the above bills, the law requires that the Client pays 0.1% of the project cost or a minimum of Kshs 10,000 as NEMA licensing fee. Based on the total cost of the project of Kshs </w:t>
      </w:r>
      <w:r>
        <w:rPr>
          <w:b/>
        </w:rPr>
        <w:t>KES 570,802,041.</w:t>
      </w:r>
      <w:r>
        <w:t xml:space="preserve"> </w:t>
      </w:r>
      <w:r>
        <w:rPr>
          <w:color w:val="000000"/>
        </w:rPr>
        <w:t xml:space="preserve">The Client will pay Kshs </w:t>
      </w:r>
      <w:r>
        <w:rPr>
          <w:b/>
          <w:color w:val="000000"/>
        </w:rPr>
        <w:t xml:space="preserve">KES 570,802.041 </w:t>
      </w:r>
      <w:r>
        <w:rPr>
          <w:color w:val="000000"/>
        </w:rPr>
        <w:t>to NEMA for the processing of the NEMA license for the entire project.</w:t>
      </w:r>
    </w:p>
    <w:p w14:paraId="6E78A1E3">
      <w:pPr>
        <w:pStyle w:val="3"/>
      </w:pPr>
      <w:bookmarkStart w:id="609" w:name="_Toc179904116"/>
      <w:bookmarkStart w:id="610" w:name="_Toc170723043"/>
      <w:bookmarkStart w:id="611" w:name="_Toc114487187"/>
      <w:bookmarkStart w:id="612" w:name="_Toc121232466"/>
      <w:r>
        <w:t>10.2</w:t>
      </w:r>
      <w:r>
        <w:tab/>
      </w:r>
      <w:r>
        <w:t>RECOMMENDATION</w:t>
      </w:r>
      <w:bookmarkEnd w:id="609"/>
      <w:bookmarkEnd w:id="610"/>
      <w:bookmarkEnd w:id="611"/>
      <w:bookmarkEnd w:id="612"/>
    </w:p>
    <w:p w14:paraId="24E77CB9">
      <w:pPr>
        <w:tabs>
          <w:tab w:val="left" w:pos="709"/>
        </w:tabs>
        <w:spacing w:before="100" w:beforeAutospacing="1" w:after="100" w:afterAutospacing="1" w:line="240" w:lineRule="auto"/>
        <w:ind w:left="709"/>
        <w:jc w:val="both"/>
      </w:pPr>
      <w:r>
        <w:t xml:space="preserve">The Lead expert recommends the following; </w:t>
      </w:r>
    </w:p>
    <w:p w14:paraId="2569F571">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There should be continuous public participation, household questionnaires, focused group discussions and stakeholder engagement administered within the project location to ensure total project acceptance.</w:t>
      </w:r>
    </w:p>
    <w:p w14:paraId="61C52E39">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ESMP measures should be effectively implemented during project implementation, and operation phase of the project under the strict supervision of the proponent and consultant to achieve maximum project acceptability;</w:t>
      </w:r>
    </w:p>
    <w:p w14:paraId="648B1872">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 xml:space="preserve">Where complains arise, the contractor, WAJWASCO and Wajir County should solve the problem according to the requirements of ESMP. </w:t>
      </w:r>
    </w:p>
    <w:p w14:paraId="4735C227">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The management should look for other relevant approvals where possible including National Construction Authority before commencement of the project activities.</w:t>
      </w:r>
    </w:p>
    <w:p w14:paraId="74662BDB">
      <w:pPr>
        <w:widowControl w:val="0"/>
        <w:numPr>
          <w:ilvl w:val="0"/>
          <w:numId w:val="35"/>
        </w:numPr>
        <w:tabs>
          <w:tab w:val="left" w:pos="709"/>
        </w:tabs>
        <w:autoSpaceDE w:val="0"/>
        <w:autoSpaceDN w:val="0"/>
        <w:spacing w:before="100" w:beforeAutospacing="1" w:after="100" w:afterAutospacing="1" w:line="240" w:lineRule="auto"/>
        <w:ind w:left="1418" w:hanging="709"/>
        <w:contextualSpacing/>
        <w:jc w:val="both"/>
        <w:rPr>
          <w:rFonts w:eastAsia="Calibri" w:cs="Calibri"/>
          <w:lang w:bidi="en-US"/>
        </w:rPr>
      </w:pPr>
      <w:r>
        <w:rPr>
          <w:rFonts w:eastAsia="Calibri" w:cs="Calibri"/>
          <w:lang w:bidi="en-US"/>
        </w:rPr>
        <w:t>Since all the insignificant negative impacts have been addressed, the consultant recommends that NEMA should approve the ESIA report so that it is implementation to benefit the communities in Alimaow and Furaha location and areas of Wajir County.</w:t>
      </w:r>
    </w:p>
    <w:p w14:paraId="0EAD5AA9">
      <w:pPr>
        <w:pStyle w:val="2"/>
      </w:pPr>
      <w:r>
        <w:br w:type="column"/>
      </w:r>
      <w:bookmarkStart w:id="613" w:name="_Toc170723044"/>
      <w:bookmarkStart w:id="614" w:name="_Toc179904117"/>
      <w:bookmarkStart w:id="615" w:name="_Toc121232467"/>
      <w:r>
        <w:t>REFERENCES</w:t>
      </w:r>
      <w:bookmarkEnd w:id="613"/>
      <w:bookmarkEnd w:id="614"/>
      <w:bookmarkEnd w:id="615"/>
    </w:p>
    <w:p w14:paraId="2B7BC0AA">
      <w:pPr>
        <w:pStyle w:val="115"/>
      </w:pPr>
      <w:r>
        <w:t>Kenya gazette supplement Acts 2000, Environmental Management and Coordination Act Number 8 of 1999. Government printer, Nairobi</w:t>
      </w:r>
    </w:p>
    <w:p w14:paraId="459B073C">
      <w:pPr>
        <w:pStyle w:val="115"/>
      </w:pPr>
      <w:r>
        <w:t>Kenya gazette supplement number 56. Environmental Impact Assessment and Audit Regulations 2003. Government printer, Nairobi</w:t>
      </w:r>
    </w:p>
    <w:p w14:paraId="67715B97">
      <w:pPr>
        <w:pStyle w:val="115"/>
      </w:pPr>
      <w:r>
        <w:t>Kenya gazette supplement Acts, Environmental Management and Coordination (Water Quality) Regulations, 2006. Government printer, Nairobi</w:t>
      </w:r>
    </w:p>
    <w:p w14:paraId="02D3A50C">
      <w:pPr>
        <w:pStyle w:val="115"/>
      </w:pPr>
      <w:r>
        <w:t>Kenya gazette supplement Acts, Environmental Management and Coordination (Waste Management) Regulations, 2006. Government printer, Nairobi</w:t>
      </w:r>
    </w:p>
    <w:p w14:paraId="0C6F7423">
      <w:pPr>
        <w:pStyle w:val="115"/>
      </w:pPr>
      <w:r>
        <w:t>Kenya gazette supplement Acts, Environmental Management and Coordination (Noise and Excessive Vibrations Pollution) Regulations, 2009. Government printer, Nairobi</w:t>
      </w:r>
    </w:p>
    <w:p w14:paraId="2AC70DBA">
      <w:pPr>
        <w:pStyle w:val="115"/>
      </w:pPr>
      <w:r>
        <w:t>Kenya gazette supplement Acts Building Code 2000. Government printer, Nairobi</w:t>
      </w:r>
    </w:p>
    <w:p w14:paraId="31666D15">
      <w:pPr>
        <w:pStyle w:val="115"/>
      </w:pPr>
      <w:r>
        <w:t>Kenya gazette supplement Acts Physical and Land Use Planning Act, 2019. Government printer, Nairobi</w:t>
      </w:r>
    </w:p>
    <w:p w14:paraId="41738506">
      <w:pPr>
        <w:pStyle w:val="115"/>
      </w:pPr>
      <w:r>
        <w:t>Kenya gazette supplement Acts Public Health Act (Cap. 242). Government printer, Nairobi</w:t>
      </w:r>
    </w:p>
    <w:p w14:paraId="07C316D4">
      <w:pPr>
        <w:pStyle w:val="115"/>
      </w:pPr>
      <w:r>
        <w:t>Kenya gazette supplement Acts Water Act, 2002. Government printer, Nairobi</w:t>
      </w:r>
    </w:p>
    <w:p w14:paraId="624F8480">
      <w:pPr>
        <w:pStyle w:val="115"/>
      </w:pPr>
      <w:r>
        <w:t>The Occupational Safety and Health Act, 2007. Government Printer, Nairobi</w:t>
      </w:r>
    </w:p>
    <w:p w14:paraId="1F9B1943">
      <w:pPr>
        <w:pStyle w:val="115"/>
      </w:pPr>
      <w:r>
        <w:t>International Finance Corporation/World Bank Group (2007): Environmental Assessment sourcebook volume I: Policies, procedures and cross-sectoral issues, World Bank, Washington.</w:t>
      </w:r>
    </w:p>
    <w:p w14:paraId="1C24F55C">
      <w:pPr>
        <w:pStyle w:val="115"/>
      </w:pPr>
      <w:r>
        <w:t>International Finance Corporation/World Bank Group (2007): Environmental, Health, and Safety (EHS) Guidelines.99p</w:t>
      </w:r>
    </w:p>
    <w:p w14:paraId="50E591FA">
      <w:pPr>
        <w:pStyle w:val="115"/>
      </w:pPr>
      <w:r>
        <w:t>International Finance Corporation/World Bank Group (2007): Cultural Heritage Guidelines.8p</w:t>
      </w:r>
    </w:p>
    <w:p w14:paraId="121E0F92">
      <w:pPr>
        <w:pStyle w:val="115"/>
      </w:pPr>
      <w:r>
        <w:t>International Finance Corporation/World Bank Group (2012): Performance Standard 1: Assessment and Management of Environmental and Social Risks and Impacts</w:t>
      </w:r>
    </w:p>
    <w:p w14:paraId="26480F29">
      <w:pPr>
        <w:pStyle w:val="115"/>
      </w:pPr>
      <w:r>
        <w:t>International Finance Corporation/World Bank Group (2012): Performance Standard 2: Labor and Working Conditions.</w:t>
      </w:r>
    </w:p>
    <w:p w14:paraId="357A576F">
      <w:pPr>
        <w:pStyle w:val="115"/>
      </w:pPr>
      <w:r>
        <w:t>International Finance Corporation/World Bank Group (2012): Performance Standard 3: Resource Efficiency and Pollution Prevention.</w:t>
      </w:r>
    </w:p>
    <w:p w14:paraId="3179185D">
      <w:pPr>
        <w:pStyle w:val="115"/>
      </w:pPr>
      <w:r>
        <w:t>International Finance Corporation/World Bank Group (2012): Performance Standard 4: Community Health, Safety, and Security.</w:t>
      </w:r>
    </w:p>
    <w:p w14:paraId="0DA875DD">
      <w:pPr>
        <w:pStyle w:val="115"/>
      </w:pPr>
      <w:r>
        <w:t>International Finance Corporation/World Bank Group (2012): Performance Standard 5: Land Acquisition and Involuntary Resettlement.</w:t>
      </w:r>
    </w:p>
    <w:p w14:paraId="12BE5D1B">
      <w:pPr>
        <w:pStyle w:val="115"/>
      </w:pPr>
      <w:r>
        <w:t>International Finance Corporation/World Bank Group (2012): Performance Standard 6: Biodiversity Conservation and Sustainable Management of Living Natural Resources.</w:t>
      </w:r>
    </w:p>
    <w:p w14:paraId="2C0682AB">
      <w:pPr>
        <w:pStyle w:val="115"/>
      </w:pPr>
      <w:r>
        <w:t>International Finance Corporation/World Bank Group (2012): Performance Standard 7: Indigenous Peoples.</w:t>
      </w:r>
    </w:p>
    <w:p w14:paraId="10CF93E5">
      <w:pPr>
        <w:pStyle w:val="115"/>
      </w:pPr>
      <w:r>
        <w:t>International Finance Corporation/World Bank Group (2012): Performance Standard 8: Cultural Heritage.</w:t>
      </w:r>
    </w:p>
    <w:p w14:paraId="06696D65">
      <w:pPr>
        <w:pStyle w:val="115"/>
      </w:pPr>
      <w:r>
        <w:t>Wajir County, (2018); County Integrated Development Plan (2023-2027)</w:t>
      </w:r>
    </w:p>
    <w:p w14:paraId="15966DD2">
      <w:pPr>
        <w:pStyle w:val="115"/>
      </w:pPr>
      <w:r>
        <w:t>The Equator Principles (2007)</w:t>
      </w:r>
    </w:p>
    <w:p w14:paraId="46FFD89F">
      <w:pPr>
        <w:pStyle w:val="115"/>
      </w:pPr>
      <w:r>
        <w:t>World Bank (2007): Environmental Health and Safety Guidelines for Toll Roads, International Finance Corporation</w:t>
      </w:r>
    </w:p>
    <w:p w14:paraId="4C76EB32">
      <w:pPr>
        <w:tabs>
          <w:tab w:val="left" w:pos="709"/>
        </w:tabs>
        <w:spacing w:before="100" w:beforeAutospacing="1" w:after="100" w:afterAutospacing="1" w:line="240" w:lineRule="auto"/>
        <w:jc w:val="both"/>
        <w:sectPr>
          <w:headerReference r:id="rId35" w:type="default"/>
          <w:pgSz w:w="11906" w:h="16838"/>
          <w:pgMar w:top="1440" w:right="1440" w:bottom="1440" w:left="1440" w:header="708" w:footer="708" w:gutter="0"/>
          <w:cols w:space="708" w:num="1"/>
          <w:docGrid w:linePitch="360" w:charSpace="0"/>
        </w:sectPr>
      </w:pPr>
    </w:p>
    <w:p w14:paraId="52703929">
      <w:pPr>
        <w:pStyle w:val="2"/>
      </w:pPr>
      <w:bookmarkStart w:id="616" w:name="_Toc170723045"/>
      <w:bookmarkStart w:id="617" w:name="_Toc179904118"/>
      <w:bookmarkStart w:id="618" w:name="_Toc121232468"/>
      <w:r>
        <w:t>ANNEXES</w:t>
      </w:r>
      <w:bookmarkEnd w:id="616"/>
      <w:bookmarkEnd w:id="617"/>
      <w:bookmarkEnd w:id="618"/>
    </w:p>
    <w:p w14:paraId="1EDBDDF0">
      <w:pPr>
        <w:spacing w:after="0" w:line="240" w:lineRule="auto"/>
        <w:rPr>
          <w:rFonts w:cstheme="minorHAnsi"/>
          <w:iCs/>
          <w:lang w:val="en-GB" w:eastAsia="ja-JP"/>
        </w:rPr>
      </w:pPr>
      <w:bookmarkStart w:id="619" w:name="_Toc165612455"/>
      <w:bookmarkStart w:id="620" w:name="_Toc163568330"/>
      <w:bookmarkStart w:id="621" w:name="_Toc173252775"/>
      <w:bookmarkStart w:id="622" w:name="_Toc179556801"/>
      <w:bookmarkStart w:id="623" w:name="_Toc163820098"/>
      <w:bookmarkStart w:id="624" w:name="_Toc171917066"/>
      <w:bookmarkStart w:id="625" w:name="_Toc160706764"/>
      <w:r>
        <w:br w:type="page"/>
      </w:r>
    </w:p>
    <w:p w14:paraId="4BCEDC7A">
      <w:pPr>
        <w:pStyle w:val="23"/>
        <w:sectPr>
          <w:headerReference r:id="rId36" w:type="default"/>
          <w:footerReference r:id="rId37" w:type="default"/>
          <w:pgSz w:w="11907" w:h="16840"/>
          <w:pgMar w:top="1440" w:right="1440" w:bottom="1440" w:left="1440" w:header="720" w:footer="709" w:gutter="0"/>
          <w:cols w:space="720" w:num="1"/>
          <w:vAlign w:val="center"/>
        </w:sectPr>
      </w:pPr>
      <w:r>
        <w:t xml:space="preserve">Appendix </w:t>
      </w:r>
      <w:r>
        <w:fldChar w:fldCharType="begin"/>
      </w:r>
      <w:r>
        <w:instrText xml:space="preserve"> SEQ Appendix \* ARABIC </w:instrText>
      </w:r>
      <w:r>
        <w:fldChar w:fldCharType="separate"/>
      </w:r>
      <w:r>
        <w:t>1</w:t>
      </w:r>
      <w:r>
        <w:fldChar w:fldCharType="end"/>
      </w:r>
      <w:r>
        <w:t>: Lead Expert License</w:t>
      </w:r>
      <w:bookmarkEnd w:id="619"/>
      <w:bookmarkEnd w:id="620"/>
      <w:bookmarkEnd w:id="621"/>
      <w:bookmarkEnd w:id="622"/>
      <w:bookmarkEnd w:id="623"/>
      <w:bookmarkEnd w:id="624"/>
    </w:p>
    <w:p w14:paraId="5FB850AA">
      <w:pPr>
        <w:pStyle w:val="23"/>
      </w:pPr>
    </w:p>
    <w:p w14:paraId="3CFB6851">
      <w:pPr>
        <w:tabs>
          <w:tab w:val="left" w:pos="709"/>
        </w:tabs>
        <w:spacing w:before="100" w:beforeAutospacing="1" w:after="100" w:afterAutospacing="1" w:line="240" w:lineRule="auto"/>
        <w:jc w:val="both"/>
      </w:pPr>
      <w:r>
        <w:drawing>
          <wp:inline distT="0" distB="0" distL="0" distR="0">
            <wp:extent cx="5731510" cy="8108950"/>
            <wp:effectExtent l="0" t="0" r="2540" b="6350"/>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5731510" cy="8108950"/>
                    </a:xfrm>
                    <a:prstGeom prst="rect">
                      <a:avLst/>
                    </a:prstGeom>
                    <a:noFill/>
                    <a:ln>
                      <a:noFill/>
                    </a:ln>
                  </pic:spPr>
                </pic:pic>
              </a:graphicData>
            </a:graphic>
          </wp:inline>
        </w:drawing>
      </w:r>
    </w:p>
    <w:p w14:paraId="65EC7C78">
      <w:pPr>
        <w:tabs>
          <w:tab w:val="left" w:pos="709"/>
        </w:tabs>
        <w:spacing w:before="100" w:beforeAutospacing="1" w:after="100" w:afterAutospacing="1" w:line="240" w:lineRule="auto"/>
        <w:jc w:val="both"/>
        <w:sectPr>
          <w:headerReference r:id="rId38" w:type="default"/>
          <w:pgSz w:w="11910" w:h="16850"/>
          <w:pgMar w:top="1440" w:right="1440" w:bottom="1440" w:left="1440" w:header="722" w:footer="708" w:gutter="0"/>
          <w:cols w:space="720" w:num="1"/>
        </w:sectPr>
      </w:pPr>
      <w:r>
        <w:drawing>
          <wp:anchor distT="0" distB="0" distL="114300" distR="114300" simplePos="0" relativeHeight="251673600" behindDoc="0" locked="0" layoutInCell="1" allowOverlap="1">
            <wp:simplePos x="0" y="0"/>
            <wp:positionH relativeFrom="margin">
              <wp:align>left</wp:align>
            </wp:positionH>
            <wp:positionV relativeFrom="paragraph">
              <wp:posOffset>311150</wp:posOffset>
            </wp:positionV>
            <wp:extent cx="5911850" cy="8299450"/>
            <wp:effectExtent l="0" t="0" r="0" b="6985"/>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l="3946" t="1994" r="1326" b="1476"/>
                    <a:stretch>
                      <a:fillRect/>
                    </a:stretch>
                  </pic:blipFill>
                  <pic:spPr>
                    <a:xfrm>
                      <a:off x="0" y="0"/>
                      <a:ext cx="5911699" cy="8299174"/>
                    </a:xfrm>
                    <a:prstGeom prst="rect">
                      <a:avLst/>
                    </a:prstGeom>
                    <a:noFill/>
                    <a:ln>
                      <a:noFill/>
                    </a:ln>
                  </pic:spPr>
                </pic:pic>
              </a:graphicData>
            </a:graphic>
          </wp:anchor>
        </w:drawing>
      </w:r>
    </w:p>
    <w:p w14:paraId="2FE509B3">
      <w:pPr>
        <w:pStyle w:val="23"/>
        <w:sectPr>
          <w:headerReference r:id="rId39" w:type="default"/>
          <w:pgSz w:w="11906" w:h="16838"/>
          <w:pgMar w:top="1440" w:right="1440" w:bottom="1440" w:left="1440" w:header="720" w:footer="720" w:gutter="0"/>
          <w:cols w:space="720" w:num="1"/>
          <w:vAlign w:val="center"/>
          <w:docGrid w:linePitch="360" w:charSpace="0"/>
        </w:sectPr>
      </w:pPr>
      <w:bookmarkStart w:id="626" w:name="_Ref173087262"/>
      <w:bookmarkStart w:id="627" w:name="_Toc171917067"/>
      <w:bookmarkStart w:id="628" w:name="_Toc173252776"/>
      <w:bookmarkStart w:id="629" w:name="_Toc179556802"/>
      <w:r>
        <w:t xml:space="preserve">Appendix </w:t>
      </w:r>
      <w:r>
        <w:fldChar w:fldCharType="begin"/>
      </w:r>
      <w:r>
        <w:instrText xml:space="preserve"> SEQ Appendix \* ARABIC </w:instrText>
      </w:r>
      <w:r>
        <w:fldChar w:fldCharType="separate"/>
      </w:r>
      <w:r>
        <w:t>2</w:t>
      </w:r>
      <w:r>
        <w:fldChar w:fldCharType="end"/>
      </w:r>
      <w:bookmarkEnd w:id="626"/>
      <w:r>
        <w:t xml:space="preserve">: List of participants in the Stakeholder </w:t>
      </w:r>
      <w:bookmarkEnd w:id="625"/>
      <w:bookmarkEnd w:id="627"/>
      <w:bookmarkEnd w:id="628"/>
      <w:r>
        <w:t xml:space="preserve"> Engagement Meeting</w:t>
      </w:r>
      <w:bookmarkEnd w:id="629"/>
    </w:p>
    <w:p w14:paraId="47D82DDB">
      <w:pPr>
        <w:pStyle w:val="23"/>
      </w:pPr>
      <w:r>
        <w:rPr>
          <w:snapToGrid w:val="0"/>
          <w:w w:val="0"/>
          <w:u w:color="000000"/>
          <w:shd w:val="clear" w:color="000000" w:fill="000000"/>
        </w:rPr>
        <w:t xml:space="preserve"> </w:t>
      </w:r>
    </w:p>
    <w:tbl>
      <w:tblPr>
        <w:tblStyle w:val="12"/>
        <w:tblW w:w="0" w:type="auto"/>
        <w:tblInd w:w="0" w:type="dxa"/>
        <w:tblLayout w:type="autofit"/>
        <w:tblCellMar>
          <w:top w:w="0" w:type="dxa"/>
          <w:left w:w="108" w:type="dxa"/>
          <w:bottom w:w="0" w:type="dxa"/>
          <w:right w:w="108" w:type="dxa"/>
        </w:tblCellMar>
      </w:tblPr>
      <w:tblGrid>
        <w:gridCol w:w="9690"/>
      </w:tblGrid>
      <w:tr w14:paraId="55EA1BA8">
        <w:tblPrEx>
          <w:tblCellMar>
            <w:top w:w="0" w:type="dxa"/>
            <w:left w:w="108" w:type="dxa"/>
            <w:bottom w:w="0" w:type="dxa"/>
            <w:right w:w="108" w:type="dxa"/>
          </w:tblCellMar>
        </w:tblPrEx>
        <w:tc>
          <w:tcPr>
            <w:tcW w:w="9576" w:type="dxa"/>
          </w:tcPr>
          <w:p w14:paraId="4B63FCE8">
            <w:pPr>
              <w:tabs>
                <w:tab w:val="left" w:pos="709"/>
              </w:tabs>
              <w:spacing w:before="100" w:beforeAutospacing="1" w:after="100" w:afterAutospacing="1" w:line="240" w:lineRule="auto"/>
              <w:jc w:val="both"/>
            </w:pPr>
            <w:r>
              <w:pict>
                <v:shape id="_x0000_i1041" o:spt="75" type="#_x0000_t75" style="height:616pt;width:487.5pt;" filled="f" o:preferrelative="t" stroked="f" coordsize="21600,21600">
                  <v:path/>
                  <v:fill on="f" focussize="0,0"/>
                  <v:stroke on="f" joinstyle="miter"/>
                  <v:imagedata r:id="rId87" o:title="WhatsApp Image 2024-08-04 at 10"/>
                  <o:lock v:ext="edit" aspectratio="t"/>
                  <w10:wrap type="none"/>
                  <w10:anchorlock/>
                </v:shape>
              </w:pict>
            </w:r>
          </w:p>
        </w:tc>
      </w:tr>
      <w:tr w14:paraId="10D3AD52">
        <w:tblPrEx>
          <w:tblCellMar>
            <w:top w:w="0" w:type="dxa"/>
            <w:left w:w="108" w:type="dxa"/>
            <w:bottom w:w="0" w:type="dxa"/>
            <w:right w:w="108" w:type="dxa"/>
          </w:tblCellMar>
        </w:tblPrEx>
        <w:tc>
          <w:tcPr>
            <w:tcW w:w="9576" w:type="dxa"/>
          </w:tcPr>
          <w:p w14:paraId="1133F1E6">
            <w:pPr>
              <w:tabs>
                <w:tab w:val="left" w:pos="709"/>
              </w:tabs>
              <w:spacing w:before="100" w:beforeAutospacing="1" w:after="100" w:afterAutospacing="1" w:line="240" w:lineRule="auto"/>
              <w:jc w:val="both"/>
            </w:pPr>
          </w:p>
        </w:tc>
      </w:tr>
      <w:tr w14:paraId="3790CCCB">
        <w:tblPrEx>
          <w:tblCellMar>
            <w:top w:w="0" w:type="dxa"/>
            <w:left w:w="108" w:type="dxa"/>
            <w:bottom w:w="0" w:type="dxa"/>
            <w:right w:w="108" w:type="dxa"/>
          </w:tblCellMar>
        </w:tblPrEx>
        <w:tc>
          <w:tcPr>
            <w:tcW w:w="9576" w:type="dxa"/>
          </w:tcPr>
          <w:p w14:paraId="23ACCF13">
            <w:pPr>
              <w:tabs>
                <w:tab w:val="left" w:pos="709"/>
              </w:tabs>
              <w:spacing w:before="100" w:beforeAutospacing="1" w:after="100" w:afterAutospacing="1" w:line="240" w:lineRule="auto"/>
              <w:jc w:val="both"/>
            </w:pPr>
            <w:r>
              <w:pict>
                <v:shape id="_x0000_i1042" o:spt="75" type="#_x0000_t75" style="height:294.5pt;width:451pt;" filled="f" o:preferrelative="t" stroked="f" coordsize="21600,21600">
                  <v:path/>
                  <v:fill on="f" focussize="0,0"/>
                  <v:stroke on="f" joinstyle="miter"/>
                  <v:imagedata r:id="rId88" o:title="WhatsApp Image 2024-08-04 at 10"/>
                  <o:lock v:ext="edit" aspectratio="t"/>
                  <w10:wrap type="none"/>
                  <w10:anchorlock/>
                </v:shape>
              </w:pict>
            </w:r>
          </w:p>
        </w:tc>
      </w:tr>
      <w:tr w14:paraId="1D607777">
        <w:tblPrEx>
          <w:tblCellMar>
            <w:top w:w="0" w:type="dxa"/>
            <w:left w:w="108" w:type="dxa"/>
            <w:bottom w:w="0" w:type="dxa"/>
            <w:right w:w="108" w:type="dxa"/>
          </w:tblCellMar>
        </w:tblPrEx>
        <w:tc>
          <w:tcPr>
            <w:tcW w:w="9576" w:type="dxa"/>
          </w:tcPr>
          <w:p w14:paraId="490D46C3">
            <w:pPr>
              <w:tabs>
                <w:tab w:val="left" w:pos="709"/>
              </w:tabs>
              <w:spacing w:before="100" w:beforeAutospacing="1" w:after="100" w:afterAutospacing="1" w:line="240" w:lineRule="auto"/>
              <w:jc w:val="both"/>
            </w:pPr>
          </w:p>
        </w:tc>
      </w:tr>
    </w:tbl>
    <w:p w14:paraId="18D3D4CB">
      <w:pPr>
        <w:tabs>
          <w:tab w:val="left" w:pos="709"/>
          <w:tab w:val="left" w:pos="6585"/>
          <w:tab w:val="left" w:pos="6857"/>
        </w:tabs>
        <w:spacing w:before="100" w:beforeAutospacing="1" w:after="100" w:afterAutospacing="1" w:line="240" w:lineRule="auto"/>
        <w:jc w:val="both"/>
      </w:pPr>
      <w:r>
        <w:tab/>
      </w:r>
    </w:p>
    <w:p w14:paraId="11972AF1">
      <w:pPr>
        <w:tabs>
          <w:tab w:val="left" w:pos="709"/>
          <w:tab w:val="left" w:pos="6857"/>
        </w:tabs>
        <w:spacing w:before="100" w:beforeAutospacing="1" w:after="100" w:afterAutospacing="1" w:line="240" w:lineRule="auto"/>
        <w:jc w:val="both"/>
      </w:pPr>
      <w:r>
        <w:pict>
          <v:shape id="_x0000_i1043" o:spt="75" type="#_x0000_t75" style="height:329pt;width:451pt;" filled="f" o:preferrelative="t" stroked="f" coordsize="21600,21600">
            <v:path/>
            <v:fill on="f" focussize="0,0"/>
            <v:stroke on="f" joinstyle="miter"/>
            <v:imagedata r:id="rId89" o:title="WhatsApp Image 2024-08-04 at 10"/>
            <o:lock v:ext="edit" aspectratio="t"/>
            <w10:wrap type="none"/>
            <w10:anchorlock/>
          </v:shape>
        </w:pict>
      </w:r>
    </w:p>
    <w:p w14:paraId="6F57260E">
      <w:pPr>
        <w:tabs>
          <w:tab w:val="left" w:pos="709"/>
          <w:tab w:val="left" w:pos="6857"/>
        </w:tabs>
        <w:spacing w:before="100" w:beforeAutospacing="1" w:after="100" w:afterAutospacing="1" w:line="240" w:lineRule="auto"/>
        <w:jc w:val="both"/>
      </w:pPr>
    </w:p>
    <w:p w14:paraId="7D5BE45D">
      <w:pPr>
        <w:tabs>
          <w:tab w:val="left" w:pos="709"/>
          <w:tab w:val="left" w:pos="6857"/>
        </w:tabs>
        <w:spacing w:before="100" w:beforeAutospacing="1" w:after="100" w:afterAutospacing="1"/>
        <w:jc w:val="both"/>
      </w:pPr>
      <w:r>
        <w:tab/>
      </w:r>
      <w:r>
        <w:pict>
          <v:shape id="_x0000_i1044" o:spt="75" type="#_x0000_t75" style="height:550.5pt;width:477pt;" filled="f" o:preferrelative="t" stroked="f" coordsize="21600,21600">
            <v:path/>
            <v:fill on="f" focussize="0,0"/>
            <v:stroke on="f" joinstyle="miter"/>
            <v:imagedata r:id="rId90" o:title="WhatsApp Image 2024-08-04 at 10"/>
            <o:lock v:ext="edit" aspectratio="t"/>
            <w10:wrap type="none"/>
            <w10:anchorlock/>
          </v:shape>
        </w:pict>
      </w:r>
    </w:p>
    <w:p w14:paraId="4954B899">
      <w:pPr>
        <w:tabs>
          <w:tab w:val="left" w:pos="709"/>
        </w:tabs>
        <w:spacing w:before="100" w:beforeAutospacing="1" w:after="100" w:afterAutospacing="1"/>
        <w:jc w:val="both"/>
      </w:pPr>
    </w:p>
    <w:p w14:paraId="523AA650">
      <w:pPr>
        <w:tabs>
          <w:tab w:val="left" w:pos="709"/>
        </w:tabs>
        <w:spacing w:before="100" w:beforeAutospacing="1" w:after="100" w:afterAutospacing="1"/>
        <w:jc w:val="both"/>
      </w:pPr>
      <w:r>
        <w:drawing>
          <wp:inline distT="0" distB="0" distL="0" distR="0">
            <wp:extent cx="6057900" cy="8277225"/>
            <wp:effectExtent l="0" t="0" r="0" b="9525"/>
            <wp:docPr id="11" name="Picture 11" descr="C:\Users\Ndava\AppData\Local\Microsoft\Windows\INetCache\Content.Word\WhatsApp Image 2024-08-04 at 10.57.04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Users\Ndava\AppData\Local\Microsoft\Windows\INetCache\Content.Word\WhatsApp Image 2024-08-04 at 10.57.04 (3).jpe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6057900" cy="8277225"/>
                    </a:xfrm>
                    <a:prstGeom prst="rect">
                      <a:avLst/>
                    </a:prstGeom>
                    <a:noFill/>
                    <a:ln>
                      <a:noFill/>
                    </a:ln>
                  </pic:spPr>
                </pic:pic>
              </a:graphicData>
            </a:graphic>
          </wp:inline>
        </w:drawing>
      </w:r>
    </w:p>
    <w:p w14:paraId="2F0B3802">
      <w:pPr>
        <w:tabs>
          <w:tab w:val="left" w:pos="709"/>
          <w:tab w:val="left" w:pos="1335"/>
        </w:tabs>
        <w:spacing w:before="100" w:beforeAutospacing="1" w:after="100" w:afterAutospacing="1"/>
        <w:jc w:val="both"/>
      </w:pPr>
    </w:p>
    <w:p w14:paraId="5C70829C">
      <w:pPr>
        <w:tabs>
          <w:tab w:val="left" w:pos="709"/>
          <w:tab w:val="left" w:pos="1335"/>
        </w:tabs>
        <w:spacing w:before="100" w:beforeAutospacing="1" w:after="100" w:afterAutospacing="1"/>
        <w:jc w:val="center"/>
        <w:rPr>
          <w:i/>
        </w:rPr>
      </w:pPr>
      <w:bookmarkStart w:id="630" w:name="_Ref173087274"/>
      <w:bookmarkStart w:id="631" w:name="_Toc179556803"/>
      <w:bookmarkStart w:id="632" w:name="_Toc171917068"/>
      <w:bookmarkStart w:id="633" w:name="_Toc173252777"/>
      <w:bookmarkStart w:id="634" w:name="_Toc160706765"/>
      <w:r>
        <w:t xml:space="preserve">Appendix </w:t>
      </w:r>
      <w:r>
        <w:fldChar w:fldCharType="begin"/>
      </w:r>
      <w:r>
        <w:instrText xml:space="preserve"> SEQ Appendix \* ARABIC </w:instrText>
      </w:r>
      <w:r>
        <w:fldChar w:fldCharType="separate"/>
      </w:r>
      <w:r>
        <w:t>3</w:t>
      </w:r>
      <w:r>
        <w:fldChar w:fldCharType="end"/>
      </w:r>
      <w:bookmarkEnd w:id="630"/>
      <w:r>
        <w:t>: Minutes of the Stakeholders Meeting</w:t>
      </w:r>
      <w:bookmarkEnd w:id="631"/>
      <w:bookmarkEnd w:id="632"/>
      <w:bookmarkEnd w:id="633"/>
    </w:p>
    <w:p w14:paraId="634F8B5D">
      <w:pPr>
        <w:tabs>
          <w:tab w:val="left" w:pos="709"/>
        </w:tabs>
        <w:spacing w:before="100" w:beforeAutospacing="1" w:after="100" w:afterAutospacing="1"/>
        <w:jc w:val="both"/>
      </w:pPr>
    </w:p>
    <w:p w14:paraId="7DA24FD0">
      <w:pPr>
        <w:tabs>
          <w:tab w:val="left" w:pos="709"/>
        </w:tabs>
        <w:spacing w:before="100" w:beforeAutospacing="1" w:after="100" w:afterAutospacing="1" w:line="240" w:lineRule="auto"/>
        <w:jc w:val="both"/>
        <w:rPr>
          <w:rFonts w:cstheme="minorHAnsi"/>
          <w:b/>
          <w:u w:val="single"/>
        </w:rPr>
      </w:pPr>
      <w:r>
        <w:rPr>
          <w:b/>
          <w:u w:val="single"/>
        </w:rPr>
        <w:t>STAKEHOLDER ENGAGEMENT MEETING FOR THE PROPOSED WAJIR FAECAL SLUDGE TREATMENT PLANT</w:t>
      </w:r>
      <w:r>
        <w:rPr>
          <w:rFonts w:cstheme="minorHAnsi"/>
          <w:b/>
          <w:u w:val="single"/>
        </w:rPr>
        <w:t xml:space="preserve"> HELD ON 31</w:t>
      </w:r>
      <w:r>
        <w:rPr>
          <w:rFonts w:cstheme="minorHAnsi"/>
          <w:b/>
          <w:u w:val="single"/>
          <w:vertAlign w:val="superscript"/>
        </w:rPr>
        <w:t>st</w:t>
      </w:r>
      <w:r>
        <w:rPr>
          <w:rFonts w:cstheme="minorHAnsi"/>
          <w:b/>
          <w:u w:val="single"/>
        </w:rPr>
        <w:t xml:space="preserve"> JULY, 2024 AT THE MIDPOINT COFFEE HOUSE</w:t>
      </w:r>
    </w:p>
    <w:p w14:paraId="56DCE761">
      <w:pPr>
        <w:tabs>
          <w:tab w:val="left" w:pos="709"/>
        </w:tabs>
        <w:spacing w:before="100" w:beforeAutospacing="1" w:after="100" w:afterAutospacing="1" w:line="240" w:lineRule="auto"/>
        <w:jc w:val="both"/>
        <w:rPr>
          <w:rFonts w:cstheme="minorHAnsi"/>
        </w:rPr>
      </w:pPr>
    </w:p>
    <w:p w14:paraId="73A56826">
      <w:pPr>
        <w:tabs>
          <w:tab w:val="left" w:pos="709"/>
        </w:tabs>
        <w:spacing w:before="100" w:beforeAutospacing="1" w:after="100" w:afterAutospacing="1" w:line="240" w:lineRule="auto"/>
        <w:jc w:val="both"/>
        <w:rPr>
          <w:rFonts w:cstheme="minorHAnsi"/>
          <w:b/>
          <w:u w:val="single"/>
        </w:rPr>
      </w:pPr>
      <w:r>
        <w:rPr>
          <w:rFonts w:cstheme="minorHAnsi"/>
          <w:b/>
          <w:u w:val="single"/>
        </w:rPr>
        <mc:AlternateContent>
          <mc:Choice Requires="wps">
            <w:drawing>
              <wp:anchor distT="0" distB="0" distL="114300" distR="114300" simplePos="0" relativeHeight="251670528" behindDoc="0" locked="0" layoutInCell="1" allowOverlap="1">
                <wp:simplePos x="0" y="0"/>
                <wp:positionH relativeFrom="column">
                  <wp:posOffset>4849495</wp:posOffset>
                </wp:positionH>
                <wp:positionV relativeFrom="paragraph">
                  <wp:posOffset>71755</wp:posOffset>
                </wp:positionV>
                <wp:extent cx="1000125" cy="653415"/>
                <wp:effectExtent l="0" t="0" r="0" b="0"/>
                <wp:wrapNone/>
                <wp:docPr id="34" name="Text Box 8"/>
                <wp:cNvGraphicFramePr/>
                <a:graphic xmlns:a="http://schemas.openxmlformats.org/drawingml/2006/main">
                  <a:graphicData uri="http://schemas.microsoft.com/office/word/2010/wordprocessingShape">
                    <wps:wsp>
                      <wps:cNvSpPr txBox="1"/>
                      <wps:spPr bwMode="auto">
                        <a:xfrm>
                          <a:off x="0" y="0"/>
                          <a:ext cx="1000125" cy="653415"/>
                        </a:xfrm>
                        <a:prstGeom prst="rect">
                          <a:avLst/>
                        </a:prstGeom>
                        <a:solidFill>
                          <a:srgbClr val="FFFFFF"/>
                        </a:solidFill>
                        <a:ln>
                          <a:noFill/>
                        </a:ln>
                      </wps:spPr>
                      <wps:txbx>
                        <w:txbxContent>
                          <w:p w14:paraId="44B9EB8B">
                            <w:pPr>
                              <w:rPr>
                                <w:rFonts w:cstheme="minorHAnsi"/>
                                <w:b/>
                                <w:u w:val="single"/>
                              </w:rPr>
                            </w:pPr>
                            <w:r>
                              <w:rPr>
                                <w:rFonts w:cstheme="minorHAnsi"/>
                                <w:b/>
                                <w:u w:val="single"/>
                              </w:rPr>
                              <w:t>APOLOGIES</w:t>
                            </w:r>
                          </w:p>
                          <w:p w14:paraId="2B8E1AAD">
                            <w:pPr>
                              <w:rPr>
                                <w:rFonts w:cstheme="minorHAnsi"/>
                              </w:rPr>
                            </w:pPr>
                            <w:r>
                              <w:rPr>
                                <w:rFonts w:cstheme="minorHAnsi"/>
                              </w:rPr>
                              <w:t>NIL</w:t>
                            </w:r>
                          </w:p>
                          <w:p w14:paraId="05A216E6">
                            <w:pPr>
                              <w:rPr>
                                <w:rFonts w:cstheme="minorHAnsi"/>
                              </w:rPr>
                            </w:pPr>
                          </w:p>
                        </w:txbxContent>
                      </wps:txbx>
                      <wps:bodyPr rot="0" vert="horz" wrap="square" lIns="91440" tIns="45720" rIns="91440" bIns="45720" anchor="t" anchorCtr="0" upright="1">
                        <a:noAutofit/>
                      </wps:bodyPr>
                    </wps:wsp>
                  </a:graphicData>
                </a:graphic>
              </wp:anchor>
            </w:drawing>
          </mc:Choice>
          <mc:Fallback>
            <w:pict>
              <v:shape id="Text Box 8" o:spid="_x0000_s1026" o:spt="202" type="#_x0000_t202" style="position:absolute;left:0pt;margin-left:381.85pt;margin-top:5.65pt;height:51.45pt;width:78.75pt;z-index:251670528;mso-width-relative:page;mso-height-relative:page;" fillcolor="#FFFFFF" filled="t" stroked="f" coordsize="21600,21600" o:gfxdata="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UmdNvXAAAACgEAAA8AAAAAAAAAAQAgAAAAIgAAAGRycy9kb3du&#10;cmV2LnhtbFBLAQIUABQAAAAIAIdO4kBdcBS/AAIAAA4EAAAOAAAAAAAAAAEAIAAAACYBAABkcnMv&#10;ZTJvRG9jLnhtbFBLBQYAAAAABgAGAFkBAACYBQAAAAA=&#10;">
                <v:fill on="t" focussize="0,0"/>
                <v:stroke on="f"/>
                <v:imagedata o:title=""/>
                <o:lock v:ext="edit" aspectratio="f"/>
                <v:textbox>
                  <w:txbxContent>
                    <w:p w14:paraId="44B9EB8B">
                      <w:pPr>
                        <w:rPr>
                          <w:rFonts w:cstheme="minorHAnsi"/>
                          <w:b/>
                          <w:u w:val="single"/>
                        </w:rPr>
                      </w:pPr>
                      <w:r>
                        <w:rPr>
                          <w:rFonts w:cstheme="minorHAnsi"/>
                          <w:b/>
                          <w:u w:val="single"/>
                        </w:rPr>
                        <w:t>APOLOGIES</w:t>
                      </w:r>
                    </w:p>
                    <w:p w14:paraId="2B8E1AAD">
                      <w:pPr>
                        <w:rPr>
                          <w:rFonts w:cstheme="minorHAnsi"/>
                        </w:rPr>
                      </w:pPr>
                      <w:r>
                        <w:rPr>
                          <w:rFonts w:cstheme="minorHAnsi"/>
                        </w:rPr>
                        <w:t>NIL</w:t>
                      </w:r>
                    </w:p>
                    <w:p w14:paraId="05A216E6">
                      <w:pPr>
                        <w:rPr>
                          <w:rFonts w:cstheme="minorHAnsi"/>
                        </w:rPr>
                      </w:pPr>
                    </w:p>
                  </w:txbxContent>
                </v:textbox>
              </v:shape>
            </w:pict>
          </mc:Fallback>
        </mc:AlternateContent>
      </w:r>
      <w:r>
        <w:rPr>
          <w:rFonts w:cstheme="minorHAnsi"/>
          <w:b/>
          <w:u w:val="single"/>
        </w:rPr>
        <w:t>MEMBERS PRESENT</w:t>
      </w:r>
    </w:p>
    <w:p w14:paraId="2B9979EF">
      <w:pPr>
        <w:pStyle w:val="115"/>
      </w:pPr>
      <w:r>
        <w:t>Wajir Water and Sewerage Company (WAJWASCO).</w:t>
      </w:r>
    </w:p>
    <w:p w14:paraId="39E790AE">
      <w:pPr>
        <w:pStyle w:val="115"/>
      </w:pPr>
      <w:r>
        <w:t>Director, National Drought Management Authority</w:t>
      </w:r>
    </w:p>
    <w:p w14:paraId="03A6284D">
      <w:pPr>
        <w:pStyle w:val="115"/>
      </w:pPr>
      <w:r>
        <w:t>CEC Education</w:t>
      </w:r>
    </w:p>
    <w:p w14:paraId="1864B138">
      <w:pPr>
        <w:pStyle w:val="115"/>
      </w:pPr>
      <w:r>
        <w:t>CEC Public Health</w:t>
      </w:r>
    </w:p>
    <w:p w14:paraId="69EF815D">
      <w:pPr>
        <w:pStyle w:val="115"/>
      </w:pPr>
      <w:r>
        <w:t>CEC Lands and physical planning</w:t>
      </w:r>
    </w:p>
    <w:p w14:paraId="2442CCB1">
      <w:pPr>
        <w:pStyle w:val="115"/>
      </w:pPr>
      <w:r>
        <w:t>CEC Water and sanitation</w:t>
      </w:r>
    </w:p>
    <w:p w14:paraId="31B3581A">
      <w:pPr>
        <w:pStyle w:val="115"/>
      </w:pPr>
      <w:r>
        <w:t xml:space="preserve">Religious leaders </w:t>
      </w:r>
    </w:p>
    <w:p w14:paraId="4847A0F5">
      <w:pPr>
        <w:pStyle w:val="115"/>
      </w:pPr>
      <w:r>
        <w:t>Local Government and administration</w:t>
      </w:r>
    </w:p>
    <w:p w14:paraId="7EF6A3BA">
      <w:pPr>
        <w:pStyle w:val="115"/>
      </w:pPr>
      <w:r>
        <w:t>Wajir Municipality director</w:t>
      </w:r>
    </w:p>
    <w:p w14:paraId="56F416C6">
      <w:pPr>
        <w:pStyle w:val="115"/>
      </w:pPr>
      <w:r>
        <w:t>County Commissioner</w:t>
      </w:r>
    </w:p>
    <w:p w14:paraId="6D1A7BAD">
      <w:pPr>
        <w:pStyle w:val="115"/>
      </w:pPr>
      <w:r>
        <w:t xml:space="preserve">Wajir County NEMA director </w:t>
      </w:r>
    </w:p>
    <w:p w14:paraId="2C077C35">
      <w:pPr>
        <w:pStyle w:val="115"/>
        <w:rPr>
          <w:rFonts w:cs="Calibri"/>
        </w:rPr>
      </w:pPr>
      <w:r>
        <w:t>Engineers</w:t>
      </w:r>
    </w:p>
    <w:p w14:paraId="3634C782">
      <w:pPr>
        <w:tabs>
          <w:tab w:val="left" w:pos="709"/>
        </w:tabs>
        <w:spacing w:before="100" w:beforeAutospacing="1" w:after="100" w:afterAutospacing="1" w:line="240" w:lineRule="auto"/>
        <w:jc w:val="both"/>
        <w:rPr>
          <w:rFonts w:cstheme="minorHAnsi"/>
          <w:b/>
          <w:u w:val="single"/>
        </w:rPr>
      </w:pPr>
      <w:r>
        <w:rPr>
          <w:rFonts w:cstheme="minorHAnsi"/>
          <w:b/>
          <w:u w:val="single"/>
        </w:rPr>
        <w:t>AGENDA</w:t>
      </w:r>
    </w:p>
    <w:p w14:paraId="21D6A04B">
      <w:pPr>
        <w:pStyle w:val="115"/>
        <w:numPr>
          <w:ilvl w:val="0"/>
          <w:numId w:val="47"/>
        </w:numPr>
      </w:pPr>
      <w:r>
        <w:t>Introductions</w:t>
      </w:r>
    </w:p>
    <w:p w14:paraId="41D01D76">
      <w:pPr>
        <w:pStyle w:val="115"/>
        <w:numPr>
          <w:ilvl w:val="0"/>
          <w:numId w:val="47"/>
        </w:numPr>
      </w:pPr>
      <w:r>
        <w:t>Proposed project presentations</w:t>
      </w:r>
    </w:p>
    <w:p w14:paraId="680704E4">
      <w:pPr>
        <w:pStyle w:val="115"/>
        <w:numPr>
          <w:ilvl w:val="0"/>
          <w:numId w:val="47"/>
        </w:numPr>
      </w:pPr>
      <w:r>
        <w:t>Public participation Guidelines</w:t>
      </w:r>
    </w:p>
    <w:p w14:paraId="7053948A">
      <w:pPr>
        <w:pStyle w:val="115"/>
        <w:numPr>
          <w:ilvl w:val="0"/>
          <w:numId w:val="47"/>
        </w:numPr>
      </w:pPr>
      <w:r>
        <w:t>Stakeholder feedback and discussions</w:t>
      </w:r>
    </w:p>
    <w:p w14:paraId="517659AF">
      <w:pPr>
        <w:pStyle w:val="115"/>
        <w:numPr>
          <w:ilvl w:val="0"/>
          <w:numId w:val="47"/>
        </w:numPr>
      </w:pPr>
      <w:r>
        <w:t xml:space="preserve">Closing remarks </w:t>
      </w:r>
    </w:p>
    <w:p w14:paraId="445B699D">
      <w:pPr>
        <w:tabs>
          <w:tab w:val="left" w:pos="709"/>
        </w:tabs>
        <w:spacing w:before="100" w:beforeAutospacing="1" w:after="100" w:afterAutospacing="1" w:line="240" w:lineRule="auto"/>
        <w:jc w:val="both"/>
        <w:rPr>
          <w:rFonts w:cstheme="minorHAnsi"/>
          <w:b/>
          <w:u w:val="single"/>
        </w:rPr>
      </w:pPr>
      <w:r>
        <w:rPr>
          <w:rFonts w:cstheme="minorHAnsi"/>
          <w:b/>
          <w:u w:val="single"/>
        </w:rPr>
        <w:t xml:space="preserve">MIN 01/03/2024: Introduction </w:t>
      </w:r>
    </w:p>
    <w:p w14:paraId="01EF7A1D">
      <w:pPr>
        <w:tabs>
          <w:tab w:val="left" w:pos="709"/>
        </w:tabs>
        <w:spacing w:before="100" w:beforeAutospacing="1" w:after="100" w:afterAutospacing="1" w:line="240" w:lineRule="auto"/>
        <w:jc w:val="both"/>
        <w:rPr>
          <w:rFonts w:cstheme="minorHAnsi"/>
        </w:rPr>
      </w:pPr>
      <w:r>
        <w:rPr>
          <w:rFonts w:cstheme="minorHAnsi"/>
        </w:rPr>
        <w:t xml:space="preserve">The meeting was called in order by the WAJWASCO Managing Director, it started with a word of prayer at 11.32 AM. The MD called in for all consultants for introduction before welcoming the other members for self-introduction. </w:t>
      </w:r>
    </w:p>
    <w:p w14:paraId="5B2C685A">
      <w:pPr>
        <w:tabs>
          <w:tab w:val="left" w:pos="709"/>
        </w:tabs>
        <w:spacing w:before="100" w:beforeAutospacing="1" w:after="100" w:afterAutospacing="1" w:line="240" w:lineRule="auto"/>
        <w:jc w:val="both"/>
        <w:rPr>
          <w:rFonts w:cstheme="minorHAnsi"/>
          <w:b/>
          <w:u w:val="single"/>
        </w:rPr>
      </w:pPr>
      <w:r>
        <w:rPr>
          <w:rFonts w:cstheme="minorHAnsi"/>
          <w:b/>
          <w:u w:val="single"/>
        </w:rPr>
        <w:t>MIN 02/03/2024: Project awareness</w:t>
      </w:r>
    </w:p>
    <w:p w14:paraId="51AC18EB">
      <w:pPr>
        <w:tabs>
          <w:tab w:val="left" w:pos="709"/>
        </w:tabs>
        <w:spacing w:before="100" w:beforeAutospacing="1" w:after="100" w:afterAutospacing="1" w:line="240" w:lineRule="auto"/>
        <w:jc w:val="both"/>
        <w:rPr>
          <w:rFonts w:cstheme="minorHAnsi"/>
        </w:rPr>
      </w:pPr>
      <w:r>
        <w:rPr>
          <w:rFonts w:cstheme="minorHAnsi"/>
        </w:rPr>
        <w:t>The MD thanked the consultant representative for sharing the important information with the community. He told the meeting that the agenda of the day on awareness of the proposed project. The consultant took the meeting through the procedures and processes of the project and the importance the community members plays in such consultative meetings of the proposed project. The project is a consultative and community input and contributions is key that’s why they should be consulted. She told the meeting that both environmental and social issues affect members of the community during project implementation phase.</w:t>
      </w:r>
    </w:p>
    <w:p w14:paraId="5244C025">
      <w:pPr>
        <w:tabs>
          <w:tab w:val="left" w:pos="709"/>
        </w:tabs>
        <w:spacing w:before="100" w:beforeAutospacing="1" w:after="100" w:afterAutospacing="1" w:line="240" w:lineRule="auto"/>
        <w:jc w:val="both"/>
        <w:rPr>
          <w:rFonts w:cstheme="minorHAnsi"/>
        </w:rPr>
      </w:pPr>
      <w:r>
        <w:rPr>
          <w:rFonts w:cstheme="minorHAnsi"/>
        </w:rPr>
        <w:t>She then took the members through the anticipated project impacts and proposed mitigation measures.</w:t>
      </w:r>
    </w:p>
    <w:p w14:paraId="328C1DF0">
      <w:pPr>
        <w:tabs>
          <w:tab w:val="left" w:pos="709"/>
        </w:tabs>
        <w:spacing w:before="100" w:beforeAutospacing="1" w:after="100" w:afterAutospacing="1" w:line="240" w:lineRule="auto"/>
        <w:contextualSpacing/>
        <w:jc w:val="both"/>
        <w:rPr>
          <w:rFonts w:cstheme="minorHAnsi"/>
          <w:b/>
          <w:u w:val="single"/>
        </w:rPr>
      </w:pPr>
      <w:r>
        <w:rPr>
          <w:rFonts w:cstheme="minorHAnsi"/>
          <w:b/>
          <w:u w:val="single"/>
        </w:rPr>
        <w:t>MIN 03/03/2024: Stakeholders’ Concerns and matters arising</w:t>
      </w:r>
      <w:r>
        <w:rPr>
          <w:rFonts w:cstheme="minorHAnsi"/>
          <w:b/>
        </w:rPr>
        <w:t xml:space="preserve"> </w:t>
      </w:r>
    </w:p>
    <w:tbl>
      <w:tblPr>
        <w:tblStyle w:val="86"/>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7"/>
        <w:gridCol w:w="3908"/>
        <w:gridCol w:w="4866"/>
      </w:tblGrid>
      <w:tr w14:paraId="4B2C4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shd w:val="clear" w:color="auto" w:fill="70AD47" w:themeFill="accent6"/>
          </w:tcPr>
          <w:p w14:paraId="44655981">
            <w:pPr>
              <w:tabs>
                <w:tab w:val="left" w:pos="709"/>
              </w:tabs>
              <w:spacing w:before="100" w:beforeAutospacing="1" w:after="100" w:afterAutospacing="1" w:line="240" w:lineRule="auto"/>
              <w:jc w:val="both"/>
              <w:rPr>
                <w:rFonts w:cstheme="minorHAnsi"/>
                <w:b/>
              </w:rPr>
            </w:pPr>
            <w:r>
              <w:rPr>
                <w:rFonts w:cstheme="minorHAnsi"/>
                <w:b/>
              </w:rPr>
              <w:t>S No.</w:t>
            </w:r>
          </w:p>
        </w:tc>
        <w:tc>
          <w:tcPr>
            <w:tcW w:w="3908" w:type="dxa"/>
            <w:shd w:val="clear" w:color="auto" w:fill="70AD47" w:themeFill="accent6"/>
          </w:tcPr>
          <w:p w14:paraId="7F27711E">
            <w:pPr>
              <w:tabs>
                <w:tab w:val="left" w:pos="709"/>
              </w:tabs>
              <w:spacing w:before="100" w:beforeAutospacing="1" w:after="100" w:afterAutospacing="1" w:line="240" w:lineRule="auto"/>
              <w:jc w:val="both"/>
              <w:rPr>
                <w:rFonts w:cstheme="minorHAnsi"/>
                <w:b/>
              </w:rPr>
            </w:pPr>
            <w:r>
              <w:rPr>
                <w:rFonts w:cstheme="minorHAnsi"/>
                <w:b/>
              </w:rPr>
              <w:t>Concern/Comment/Question</w:t>
            </w:r>
          </w:p>
        </w:tc>
        <w:tc>
          <w:tcPr>
            <w:tcW w:w="4866" w:type="dxa"/>
            <w:shd w:val="clear" w:color="auto" w:fill="70AD47" w:themeFill="accent6"/>
          </w:tcPr>
          <w:p w14:paraId="272B8223">
            <w:pPr>
              <w:tabs>
                <w:tab w:val="left" w:pos="709"/>
              </w:tabs>
              <w:spacing w:before="100" w:beforeAutospacing="1" w:after="100" w:afterAutospacing="1" w:line="240" w:lineRule="auto"/>
              <w:jc w:val="both"/>
              <w:rPr>
                <w:rFonts w:cstheme="minorHAnsi"/>
                <w:b/>
              </w:rPr>
            </w:pPr>
            <w:r>
              <w:rPr>
                <w:rFonts w:cstheme="minorHAnsi"/>
                <w:b/>
              </w:rPr>
              <w:t>Response/Recommendation</w:t>
            </w:r>
          </w:p>
        </w:tc>
      </w:tr>
      <w:tr w14:paraId="6FB8D1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7C4B7B91">
            <w:pPr>
              <w:tabs>
                <w:tab w:val="left" w:pos="709"/>
              </w:tabs>
              <w:spacing w:before="100" w:beforeAutospacing="1" w:after="100" w:afterAutospacing="1" w:line="240" w:lineRule="auto"/>
              <w:jc w:val="both"/>
              <w:rPr>
                <w:rFonts w:cstheme="minorHAnsi"/>
              </w:rPr>
            </w:pPr>
            <w:r>
              <w:rPr>
                <w:rFonts w:cstheme="minorHAnsi"/>
              </w:rPr>
              <w:t>1</w:t>
            </w:r>
          </w:p>
        </w:tc>
        <w:tc>
          <w:tcPr>
            <w:tcW w:w="3908" w:type="dxa"/>
          </w:tcPr>
          <w:p w14:paraId="76D070EB">
            <w:pPr>
              <w:tabs>
                <w:tab w:val="left" w:pos="709"/>
              </w:tabs>
              <w:spacing w:before="100" w:beforeAutospacing="1" w:after="100" w:afterAutospacing="1" w:line="240" w:lineRule="auto"/>
              <w:jc w:val="both"/>
              <w:rPr>
                <w:rFonts w:cstheme="minorHAnsi"/>
              </w:rPr>
            </w:pPr>
            <w:r>
              <w:rPr>
                <w:rFonts w:cstheme="minorHAnsi"/>
              </w:rPr>
              <w:t>Why shouldn’t the client do the sewer system that had been proposed initially?</w:t>
            </w:r>
          </w:p>
        </w:tc>
        <w:tc>
          <w:tcPr>
            <w:tcW w:w="4866" w:type="dxa"/>
          </w:tcPr>
          <w:p w14:paraId="3588E254">
            <w:pPr>
              <w:tabs>
                <w:tab w:val="left" w:pos="709"/>
              </w:tabs>
              <w:spacing w:before="100" w:beforeAutospacing="1" w:after="100" w:afterAutospacing="1" w:line="240" w:lineRule="auto"/>
              <w:jc w:val="both"/>
              <w:rPr>
                <w:rFonts w:cstheme="minorHAnsi"/>
              </w:rPr>
            </w:pPr>
            <w:r>
              <w:rPr>
                <w:rFonts w:cstheme="minorHAnsi"/>
              </w:rPr>
              <w:t>The sewer system is not feasible given the area does not have sufficient water supply. Sewer system can only operate in areas where there is a lot of water sufficient to push the wastes in the trunks.</w:t>
            </w:r>
          </w:p>
          <w:p w14:paraId="5F5F8D33">
            <w:pPr>
              <w:tabs>
                <w:tab w:val="left" w:pos="709"/>
              </w:tabs>
              <w:spacing w:before="100" w:beforeAutospacing="1" w:after="100" w:afterAutospacing="1" w:line="240" w:lineRule="auto"/>
              <w:jc w:val="both"/>
              <w:rPr>
                <w:rFonts w:cstheme="minorHAnsi"/>
              </w:rPr>
            </w:pPr>
            <w:r>
              <w:rPr>
                <w:rFonts w:cstheme="minorHAnsi"/>
              </w:rPr>
              <w:t>The area is also a flat plain, making it difficult for sewer system to operate as it is also dependent on gravity to enable the flow of the wastes down slope to the FSTP.</w:t>
            </w:r>
          </w:p>
        </w:tc>
      </w:tr>
      <w:tr w14:paraId="24B837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2056152C">
            <w:pPr>
              <w:tabs>
                <w:tab w:val="left" w:pos="709"/>
              </w:tabs>
              <w:spacing w:before="100" w:beforeAutospacing="1" w:after="100" w:afterAutospacing="1" w:line="240" w:lineRule="auto"/>
              <w:jc w:val="both"/>
              <w:rPr>
                <w:rFonts w:cstheme="minorHAnsi"/>
              </w:rPr>
            </w:pPr>
            <w:r>
              <w:rPr>
                <w:rFonts w:cstheme="minorHAnsi"/>
              </w:rPr>
              <w:t>2</w:t>
            </w:r>
          </w:p>
        </w:tc>
        <w:tc>
          <w:tcPr>
            <w:tcW w:w="3908" w:type="dxa"/>
          </w:tcPr>
          <w:p w14:paraId="2176EF29">
            <w:pPr>
              <w:tabs>
                <w:tab w:val="left" w:pos="709"/>
              </w:tabs>
              <w:spacing w:before="100" w:beforeAutospacing="1" w:after="100" w:afterAutospacing="1" w:line="240" w:lineRule="auto"/>
              <w:jc w:val="both"/>
              <w:rPr>
                <w:rFonts w:cstheme="minorHAnsi"/>
              </w:rPr>
            </w:pPr>
            <w:r>
              <w:rPr>
                <w:rFonts w:cstheme="minorHAnsi"/>
              </w:rPr>
              <w:t>Are there design methods that have been considered to mitigate the possible negative impacts of the plant, given it is a high risk, where there will be production of greenhouse gases in the ponds?</w:t>
            </w:r>
          </w:p>
        </w:tc>
        <w:tc>
          <w:tcPr>
            <w:tcW w:w="4866" w:type="dxa"/>
          </w:tcPr>
          <w:p w14:paraId="6AC1B7E2">
            <w:pPr>
              <w:tabs>
                <w:tab w:val="left" w:pos="709"/>
              </w:tabs>
              <w:spacing w:before="100" w:beforeAutospacing="1" w:after="100" w:afterAutospacing="1" w:line="240" w:lineRule="auto"/>
              <w:jc w:val="both"/>
              <w:rPr>
                <w:rFonts w:cstheme="minorHAnsi"/>
              </w:rPr>
            </w:pPr>
            <w:r>
              <w:rPr>
                <w:rFonts w:cstheme="minorHAnsi"/>
              </w:rPr>
              <w:t>Yes, there are engineers who are still designing the plant with operation and maintenance considered, and a final design report shall be shared and discussed.</w:t>
            </w:r>
          </w:p>
        </w:tc>
      </w:tr>
      <w:tr w14:paraId="40C905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4A395134">
            <w:pPr>
              <w:tabs>
                <w:tab w:val="left" w:pos="709"/>
              </w:tabs>
              <w:spacing w:before="100" w:beforeAutospacing="1" w:after="100" w:afterAutospacing="1" w:line="240" w:lineRule="auto"/>
              <w:jc w:val="both"/>
              <w:rPr>
                <w:rFonts w:cstheme="minorHAnsi"/>
              </w:rPr>
            </w:pPr>
            <w:r>
              <w:rPr>
                <w:rFonts w:cstheme="minorHAnsi"/>
              </w:rPr>
              <w:t>3</w:t>
            </w:r>
          </w:p>
        </w:tc>
        <w:tc>
          <w:tcPr>
            <w:tcW w:w="3908" w:type="dxa"/>
          </w:tcPr>
          <w:p w14:paraId="13ED1E52">
            <w:pPr>
              <w:tabs>
                <w:tab w:val="left" w:pos="709"/>
              </w:tabs>
              <w:spacing w:before="100" w:beforeAutospacing="1" w:after="100" w:afterAutospacing="1" w:line="240" w:lineRule="auto"/>
              <w:jc w:val="both"/>
              <w:rPr>
                <w:rFonts w:cstheme="minorHAnsi"/>
              </w:rPr>
            </w:pPr>
            <w:r>
              <w:rPr>
                <w:rFonts w:cstheme="minorHAnsi"/>
              </w:rPr>
              <w:t>With the existing court case on the management of the existing dumpsite, how is the client going to ensure it is handled to prevent conflicts with the locals</w:t>
            </w:r>
          </w:p>
        </w:tc>
        <w:tc>
          <w:tcPr>
            <w:tcW w:w="4866" w:type="dxa"/>
          </w:tcPr>
          <w:p w14:paraId="07A9C680">
            <w:pPr>
              <w:tabs>
                <w:tab w:val="left" w:pos="709"/>
              </w:tabs>
              <w:spacing w:before="100" w:beforeAutospacing="1" w:after="100" w:afterAutospacing="1" w:line="240" w:lineRule="auto"/>
              <w:jc w:val="both"/>
              <w:rPr>
                <w:rFonts w:cstheme="minorHAnsi"/>
              </w:rPr>
            </w:pPr>
            <w:r>
              <w:rPr>
                <w:rFonts w:cstheme="minorHAnsi"/>
              </w:rPr>
              <w:t>The client expressed his concern and said that he shall ensure every issue is addressed to enable the project progresses without fail for the better of the community and Wajir as a whole.</w:t>
            </w:r>
          </w:p>
          <w:p w14:paraId="1730BFC9">
            <w:pPr>
              <w:tabs>
                <w:tab w:val="left" w:pos="709"/>
              </w:tabs>
              <w:spacing w:before="100" w:beforeAutospacing="1" w:after="100" w:afterAutospacing="1" w:line="240" w:lineRule="auto"/>
              <w:jc w:val="both"/>
              <w:rPr>
                <w:rFonts w:cstheme="minorHAnsi"/>
              </w:rPr>
            </w:pPr>
            <w:r>
              <w:rPr>
                <w:rFonts w:cstheme="minorHAnsi"/>
              </w:rPr>
              <w:t>In order to ensure fair hearing, this question shall be anchored in the project SEP as an ongoing concern.</w:t>
            </w:r>
          </w:p>
          <w:p w14:paraId="443A3B71">
            <w:pPr>
              <w:tabs>
                <w:tab w:val="left" w:pos="709"/>
              </w:tabs>
              <w:spacing w:before="100" w:beforeAutospacing="1" w:after="100" w:afterAutospacing="1" w:line="240" w:lineRule="auto"/>
              <w:jc w:val="both"/>
              <w:rPr>
                <w:rFonts w:cstheme="minorHAnsi"/>
              </w:rPr>
            </w:pPr>
            <w:r>
              <w:rPr>
                <w:rFonts w:cstheme="minorHAnsi"/>
              </w:rPr>
              <w:t xml:space="preserve">The Court has issued Stay Orders on the case and allowed parties to remedy the situation at the Dumpsite. The Environmental &amp; Management Coordination Act that regulates the proceedings of Tribunal and Environmental Law Court  provides an </w:t>
            </w:r>
            <w:r>
              <w:rPr>
                <w:rFonts w:cstheme="minorHAnsi"/>
                <w:b/>
                <w:bCs/>
              </w:rPr>
              <w:t>automatic stay</w:t>
            </w:r>
            <w:r>
              <w:rPr>
                <w:rFonts w:cstheme="minorHAnsi"/>
              </w:rPr>
              <w:t xml:space="preserve"> under section 130 which states the following;</w:t>
            </w:r>
            <w:r>
              <w:rPr>
                <w:rFonts w:cstheme="minorHAnsi"/>
                <w:i/>
                <w:iCs/>
              </w:rPr>
              <w:t xml:space="preserve"> No decision or order of the Tribunal shall be enforced until the time for lodging an appeal has expired or, where the appeal has been commenced, until the appeal has been determined. </w:t>
            </w:r>
          </w:p>
          <w:p w14:paraId="0907448E">
            <w:pPr>
              <w:rPr>
                <w:rFonts w:cstheme="minorHAnsi"/>
              </w:rPr>
            </w:pPr>
            <w:r>
              <w:rPr>
                <w:rFonts w:cstheme="minorHAnsi"/>
              </w:rPr>
              <w:t>The Appeal has been allowed by the Environment and Court and amention done. As of now one of the Petitioners out of the two who had filed the case has since withdrawn from the Petition and sent withdrawal to the Court email. </w:t>
            </w:r>
          </w:p>
          <w:p w14:paraId="0AB0EEE2">
            <w:pPr>
              <w:tabs>
                <w:tab w:val="left" w:pos="709"/>
              </w:tabs>
              <w:spacing w:before="100" w:beforeAutospacing="1" w:after="100" w:afterAutospacing="1" w:line="240" w:lineRule="auto"/>
              <w:jc w:val="both"/>
              <w:rPr>
                <w:rFonts w:cstheme="minorHAnsi"/>
              </w:rPr>
            </w:pPr>
            <w:r>
              <w:rPr>
                <w:rFonts w:cstheme="minorHAnsi"/>
              </w:rPr>
              <w:t>This Project is one of the definite actions that the County is taking in order to improve the site and ensure the site in question is managed well including access control, solid waste management and air-fouling.</w:t>
            </w:r>
          </w:p>
        </w:tc>
      </w:tr>
      <w:tr w14:paraId="3C29AD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7ADE4E50">
            <w:pPr>
              <w:tabs>
                <w:tab w:val="left" w:pos="709"/>
              </w:tabs>
              <w:spacing w:before="100" w:beforeAutospacing="1" w:after="100" w:afterAutospacing="1" w:line="240" w:lineRule="auto"/>
              <w:jc w:val="both"/>
              <w:rPr>
                <w:rFonts w:cstheme="minorHAnsi"/>
              </w:rPr>
            </w:pPr>
            <w:r>
              <w:rPr>
                <w:rFonts w:cstheme="minorHAnsi"/>
              </w:rPr>
              <w:t>4</w:t>
            </w:r>
          </w:p>
        </w:tc>
        <w:tc>
          <w:tcPr>
            <w:tcW w:w="3908" w:type="dxa"/>
          </w:tcPr>
          <w:p w14:paraId="3D6F5B5C">
            <w:pPr>
              <w:tabs>
                <w:tab w:val="left" w:pos="709"/>
              </w:tabs>
              <w:spacing w:before="100" w:beforeAutospacing="1" w:after="100" w:afterAutospacing="1" w:line="240" w:lineRule="auto"/>
              <w:jc w:val="both"/>
              <w:rPr>
                <w:rFonts w:cstheme="minorHAnsi"/>
              </w:rPr>
            </w:pPr>
            <w:r>
              <w:rPr>
                <w:rFonts w:cstheme="minorHAnsi"/>
              </w:rPr>
              <w:t>A member proposed Public Private Partnerships during the proposed project operation phase to enable proper management of the plant.</w:t>
            </w:r>
          </w:p>
        </w:tc>
        <w:tc>
          <w:tcPr>
            <w:tcW w:w="4866" w:type="dxa"/>
          </w:tcPr>
          <w:p w14:paraId="74109B7B">
            <w:pPr>
              <w:tabs>
                <w:tab w:val="left" w:pos="709"/>
              </w:tabs>
              <w:spacing w:before="100" w:beforeAutospacing="1" w:after="100" w:afterAutospacing="1" w:line="240" w:lineRule="auto"/>
              <w:jc w:val="both"/>
              <w:rPr>
                <w:rFonts w:cstheme="minorHAnsi"/>
              </w:rPr>
            </w:pPr>
            <w:r>
              <w:rPr>
                <w:rFonts w:cstheme="minorHAnsi"/>
              </w:rPr>
              <w:t>This was noted</w:t>
            </w:r>
          </w:p>
        </w:tc>
      </w:tr>
      <w:tr w14:paraId="77B760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25EB3BDF">
            <w:pPr>
              <w:tabs>
                <w:tab w:val="left" w:pos="709"/>
              </w:tabs>
              <w:spacing w:before="100" w:beforeAutospacing="1" w:after="100" w:afterAutospacing="1" w:line="240" w:lineRule="auto"/>
              <w:jc w:val="both"/>
              <w:rPr>
                <w:rFonts w:cstheme="minorHAnsi"/>
              </w:rPr>
            </w:pPr>
            <w:r>
              <w:rPr>
                <w:rFonts w:cstheme="minorHAnsi"/>
              </w:rPr>
              <w:t>5</w:t>
            </w:r>
          </w:p>
        </w:tc>
        <w:tc>
          <w:tcPr>
            <w:tcW w:w="3908" w:type="dxa"/>
          </w:tcPr>
          <w:p w14:paraId="4C649102">
            <w:pPr>
              <w:tabs>
                <w:tab w:val="left" w:pos="709"/>
              </w:tabs>
              <w:spacing w:before="100" w:beforeAutospacing="1" w:after="100" w:afterAutospacing="1" w:line="240" w:lineRule="auto"/>
              <w:jc w:val="both"/>
              <w:rPr>
                <w:rFonts w:cstheme="minorHAnsi"/>
              </w:rPr>
            </w:pPr>
            <w:r>
              <w:rPr>
                <w:rFonts w:cstheme="minorHAnsi"/>
              </w:rPr>
              <w:t>The attendees wanted to understand the importance of the byproducts of the proposed plant.</w:t>
            </w:r>
          </w:p>
        </w:tc>
        <w:tc>
          <w:tcPr>
            <w:tcW w:w="4866" w:type="dxa"/>
          </w:tcPr>
          <w:p w14:paraId="491BE001">
            <w:pPr>
              <w:tabs>
                <w:tab w:val="left" w:pos="709"/>
              </w:tabs>
              <w:spacing w:before="100" w:beforeAutospacing="1" w:after="100" w:afterAutospacing="1" w:line="240" w:lineRule="auto"/>
              <w:jc w:val="both"/>
              <w:rPr>
                <w:rFonts w:cstheme="minorHAnsi"/>
              </w:rPr>
            </w:pPr>
            <w:r>
              <w:rPr>
                <w:rFonts w:cstheme="minorHAnsi"/>
              </w:rPr>
              <w:t>There will be production of waste water, that after undergoing treatment can be used for irrigation in farms.</w:t>
            </w:r>
          </w:p>
          <w:p w14:paraId="4D6D5DE1">
            <w:pPr>
              <w:tabs>
                <w:tab w:val="left" w:pos="709"/>
              </w:tabs>
              <w:spacing w:before="100" w:beforeAutospacing="1" w:after="100" w:afterAutospacing="1" w:line="240" w:lineRule="auto"/>
              <w:jc w:val="both"/>
              <w:rPr>
                <w:rFonts w:cstheme="minorHAnsi"/>
              </w:rPr>
            </w:pPr>
            <w:r>
              <w:rPr>
                <w:rFonts w:cstheme="minorHAnsi"/>
              </w:rPr>
              <w:t>The dried sludge could be used as manure, or processed into briquettes.</w:t>
            </w:r>
          </w:p>
        </w:tc>
      </w:tr>
      <w:tr w14:paraId="0DC6EE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5100A717">
            <w:pPr>
              <w:tabs>
                <w:tab w:val="left" w:pos="709"/>
              </w:tabs>
              <w:spacing w:before="100" w:beforeAutospacing="1" w:after="100" w:afterAutospacing="1" w:line="240" w:lineRule="auto"/>
              <w:jc w:val="both"/>
              <w:rPr>
                <w:rFonts w:cstheme="minorHAnsi"/>
              </w:rPr>
            </w:pPr>
            <w:r>
              <w:rPr>
                <w:rFonts w:cstheme="minorHAnsi"/>
              </w:rPr>
              <w:t>6</w:t>
            </w:r>
          </w:p>
        </w:tc>
        <w:tc>
          <w:tcPr>
            <w:tcW w:w="3908" w:type="dxa"/>
          </w:tcPr>
          <w:p w14:paraId="2117067B">
            <w:pPr>
              <w:tabs>
                <w:tab w:val="left" w:pos="709"/>
              </w:tabs>
              <w:spacing w:before="100" w:beforeAutospacing="1" w:after="100" w:afterAutospacing="1" w:line="240" w:lineRule="auto"/>
              <w:jc w:val="both"/>
              <w:rPr>
                <w:rFonts w:cstheme="minorHAnsi"/>
              </w:rPr>
            </w:pPr>
            <w:r>
              <w:rPr>
                <w:rFonts w:cstheme="minorHAnsi"/>
              </w:rPr>
              <w:t>This is a high risk project, it should be taken with a lot of seriousness, and ensure all the possible negative impacts are addressed well.</w:t>
            </w:r>
          </w:p>
        </w:tc>
        <w:tc>
          <w:tcPr>
            <w:tcW w:w="4866" w:type="dxa"/>
          </w:tcPr>
          <w:p w14:paraId="0B607075">
            <w:pPr>
              <w:tabs>
                <w:tab w:val="left" w:pos="709"/>
              </w:tabs>
              <w:spacing w:before="100" w:beforeAutospacing="1" w:after="100" w:afterAutospacing="1" w:line="240" w:lineRule="auto"/>
              <w:jc w:val="both"/>
              <w:rPr>
                <w:rFonts w:cstheme="minorHAnsi"/>
              </w:rPr>
            </w:pPr>
            <w:r>
              <w:rPr>
                <w:rFonts w:cstheme="minorHAnsi"/>
              </w:rPr>
              <w:t>There shall be an ESMMP available that shall be addressing all the anticipated negative impacts and the costs indicated.</w:t>
            </w:r>
          </w:p>
        </w:tc>
      </w:tr>
    </w:tbl>
    <w:p w14:paraId="23C508F1">
      <w:pPr>
        <w:tabs>
          <w:tab w:val="left" w:pos="709"/>
        </w:tabs>
        <w:spacing w:before="100" w:beforeAutospacing="1" w:after="100" w:afterAutospacing="1" w:line="240" w:lineRule="auto"/>
        <w:contextualSpacing/>
        <w:jc w:val="both"/>
        <w:rPr>
          <w:rFonts w:cstheme="minorHAnsi"/>
        </w:rPr>
      </w:pPr>
    </w:p>
    <w:p w14:paraId="58F4DBCB">
      <w:pPr>
        <w:tabs>
          <w:tab w:val="left" w:pos="709"/>
        </w:tabs>
        <w:spacing w:before="100" w:beforeAutospacing="1" w:after="100" w:afterAutospacing="1" w:line="240" w:lineRule="auto"/>
        <w:jc w:val="both"/>
        <w:rPr>
          <w:b/>
        </w:rPr>
      </w:pPr>
      <w:r>
        <w:rPr>
          <w:b/>
        </w:rPr>
        <w:t>Any Other Business</w:t>
      </w:r>
    </w:p>
    <w:p w14:paraId="44A0D735">
      <w:pPr>
        <w:tabs>
          <w:tab w:val="left" w:pos="709"/>
        </w:tabs>
        <w:spacing w:before="100" w:beforeAutospacing="1" w:after="100" w:afterAutospacing="1" w:line="240" w:lineRule="auto"/>
        <w:jc w:val="both"/>
      </w:pPr>
      <w:r>
        <w:t>There being no any other business, the meeting ended with a word of prayer from Roble Ahmed.</w:t>
      </w:r>
    </w:p>
    <w:p w14:paraId="696CEBA3">
      <w:pPr>
        <w:tabs>
          <w:tab w:val="left" w:pos="709"/>
        </w:tabs>
        <w:spacing w:before="100" w:beforeAutospacing="1" w:after="100" w:afterAutospacing="1" w:line="240" w:lineRule="auto"/>
        <w:jc w:val="both"/>
        <w:rPr>
          <w:b/>
        </w:rPr>
      </w:pPr>
      <w:r>
        <w:rPr>
          <w:b/>
        </w:rPr>
        <w:t>Meeting Minutes prepared by;</w:t>
      </w:r>
    </w:p>
    <w:p w14:paraId="1298AED3">
      <w:pPr>
        <w:tabs>
          <w:tab w:val="left" w:pos="709"/>
        </w:tabs>
        <w:spacing w:before="100" w:beforeAutospacing="1" w:after="100" w:afterAutospacing="1" w:line="240" w:lineRule="auto"/>
        <w:jc w:val="both"/>
      </w:pPr>
      <w:r>
        <w:t>Name ......</w:t>
      </w:r>
      <w:r>
        <w:rPr>
          <w:i/>
        </w:rPr>
        <w:t>Saraphina Nasimiyu</w:t>
      </w:r>
      <w:r>
        <w:t>...........</w:t>
      </w:r>
    </w:p>
    <w:p w14:paraId="067789A1">
      <w:pPr>
        <w:tabs>
          <w:tab w:val="left" w:pos="709"/>
        </w:tabs>
        <w:spacing w:before="100" w:beforeAutospacing="1" w:after="100" w:afterAutospacing="1" w:line="240" w:lineRule="auto"/>
        <w:jc w:val="both"/>
      </w:pPr>
      <w:r>
        <w:t>Signature ..............</w:t>
      </w:r>
      <w:r>
        <w:rPr>
          <w:rFonts w:eastAsia="Times New Roman" w:cs="Times New Roman"/>
          <w:snapToGrid w:val="0"/>
          <w:color w:val="000000"/>
          <w:w w:val="0"/>
          <w:u w:color="000000"/>
          <w:shd w:val="clear" w:color="000000" w:fill="000000"/>
          <w:lang w:val="zh-CN" w:eastAsia="zh-CN" w:bidi="zh-CN"/>
        </w:rPr>
        <w:t xml:space="preserve"> </w:t>
      </w:r>
      <w:r>
        <w:drawing>
          <wp:inline distT="0" distB="0" distL="0" distR="0">
            <wp:extent cx="691515" cy="318135"/>
            <wp:effectExtent l="0" t="0" r="0" b="5715"/>
            <wp:docPr id="43" name="Picture 43" descr="C:\Users\Ndava\Downloads\WhatsApp Image 2024-08-02 at 07.4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Users\Ndava\Downloads\WhatsApp Image 2024-08-02 at 07.42.24.jpeg"/>
                    <pic:cNvPicPr>
                      <a:picLocks noChangeAspect="1" noChangeArrowheads="1"/>
                    </pic:cNvPicPr>
                  </pic:nvPicPr>
                  <pic:blipFill>
                    <a:blip r:embed="rId92" cstate="print">
                      <a:extLst>
                        <a:ext uri="{28A0092B-C50C-407E-A947-70E740481C1C}">
                          <a14:useLocalDpi xmlns:a14="http://schemas.microsoft.com/office/drawing/2010/main" val="0"/>
                        </a:ext>
                      </a:extLst>
                    </a:blip>
                    <a:srcRect t="29968"/>
                    <a:stretch>
                      <a:fillRect/>
                    </a:stretch>
                  </pic:blipFill>
                  <pic:spPr>
                    <a:xfrm>
                      <a:off x="0" y="0"/>
                      <a:ext cx="707164" cy="325248"/>
                    </a:xfrm>
                    <a:prstGeom prst="rect">
                      <a:avLst/>
                    </a:prstGeom>
                    <a:noFill/>
                    <a:ln>
                      <a:noFill/>
                    </a:ln>
                  </pic:spPr>
                </pic:pic>
              </a:graphicData>
            </a:graphic>
          </wp:inline>
        </w:drawing>
      </w:r>
      <w:r>
        <w:t>............</w:t>
      </w:r>
    </w:p>
    <w:p w14:paraId="32E7A913">
      <w:pPr>
        <w:tabs>
          <w:tab w:val="left" w:pos="709"/>
        </w:tabs>
        <w:spacing w:before="100" w:beforeAutospacing="1" w:after="100" w:afterAutospacing="1" w:line="240" w:lineRule="auto"/>
        <w:jc w:val="both"/>
      </w:pPr>
      <w:r>
        <w:t xml:space="preserve">Date </w:t>
      </w:r>
      <w:r>
        <w:rPr>
          <w:i/>
        </w:rPr>
        <w:t>....31st July 2024............</w:t>
      </w:r>
    </w:p>
    <w:p w14:paraId="7C4E1198">
      <w:pPr>
        <w:tabs>
          <w:tab w:val="left" w:pos="709"/>
        </w:tabs>
        <w:spacing w:before="100" w:beforeAutospacing="1" w:after="100" w:afterAutospacing="1" w:line="240" w:lineRule="auto"/>
        <w:jc w:val="both"/>
      </w:pPr>
      <w:r>
        <w:t xml:space="preserve"> </w:t>
      </w:r>
    </w:p>
    <w:p w14:paraId="5A05F04C">
      <w:pPr>
        <w:tabs>
          <w:tab w:val="left" w:pos="709"/>
        </w:tabs>
        <w:spacing w:before="100" w:beforeAutospacing="1" w:after="100" w:afterAutospacing="1" w:line="240" w:lineRule="auto"/>
        <w:jc w:val="both"/>
        <w:rPr>
          <w:rFonts w:eastAsia="Times New Roman" w:cs="Times New Roman"/>
        </w:rPr>
      </w:pPr>
    </w:p>
    <w:p w14:paraId="114DD258">
      <w:pPr>
        <w:tabs>
          <w:tab w:val="left" w:pos="709"/>
        </w:tabs>
        <w:spacing w:before="100" w:beforeAutospacing="1" w:after="100" w:afterAutospacing="1"/>
        <w:jc w:val="both"/>
        <w:sectPr>
          <w:headerReference r:id="rId40" w:type="default"/>
          <w:pgSz w:w="11906" w:h="16838"/>
          <w:pgMar w:top="1440" w:right="1440" w:bottom="1440" w:left="992" w:header="720" w:footer="720" w:gutter="0"/>
          <w:cols w:space="708" w:num="1"/>
          <w:vAlign w:val="center"/>
          <w:docGrid w:linePitch="360" w:charSpace="0"/>
        </w:sectPr>
      </w:pPr>
    </w:p>
    <w:p w14:paraId="11970E25">
      <w:pPr>
        <w:tabs>
          <w:tab w:val="left" w:pos="709"/>
        </w:tabs>
        <w:spacing w:before="100" w:beforeAutospacing="1" w:after="100" w:afterAutospacing="1"/>
        <w:jc w:val="center"/>
        <w:sectPr>
          <w:headerReference r:id="rId41" w:type="default"/>
          <w:pgSz w:w="11906" w:h="16838"/>
          <w:pgMar w:top="1440" w:right="1440" w:bottom="1440" w:left="1440" w:header="709" w:footer="709" w:gutter="0"/>
          <w:cols w:space="708" w:num="1"/>
          <w:vAlign w:val="center"/>
          <w:docGrid w:linePitch="360" w:charSpace="0"/>
        </w:sectPr>
      </w:pPr>
      <w:bookmarkStart w:id="635" w:name="_Ref173087301"/>
      <w:bookmarkStart w:id="636" w:name="_Toc173252778"/>
      <w:bookmarkStart w:id="637" w:name="_Toc171917069"/>
      <w:bookmarkStart w:id="638" w:name="_Toc179556804"/>
      <w:r>
        <w:t xml:space="preserve">Appendix </w:t>
      </w:r>
      <w:r>
        <w:fldChar w:fldCharType="begin"/>
      </w:r>
      <w:r>
        <w:instrText xml:space="preserve"> SEQ Appendix \* ARABIC </w:instrText>
      </w:r>
      <w:r>
        <w:fldChar w:fldCharType="separate"/>
      </w:r>
      <w:r>
        <w:t>4</w:t>
      </w:r>
      <w:r>
        <w:fldChar w:fldCharType="end"/>
      </w:r>
      <w:bookmarkEnd w:id="635"/>
      <w:r>
        <w:t>: Sample of filled stakeholder questionnaire</w:t>
      </w:r>
      <w:bookmarkEnd w:id="634"/>
      <w:bookmarkEnd w:id="636"/>
      <w:bookmarkEnd w:id="637"/>
      <w:bookmarkEnd w:id="638"/>
    </w:p>
    <w:p w14:paraId="13CE2D23">
      <w:pPr>
        <w:tabs>
          <w:tab w:val="left" w:pos="709"/>
        </w:tabs>
        <w:spacing w:before="100" w:beforeAutospacing="1" w:after="100" w:afterAutospacing="1"/>
        <w:jc w:val="both"/>
      </w:pPr>
      <w:r>
        <w:pict>
          <v:shape id="_x0000_i1045" o:spt="75" type="#_x0000_t75" style="height:610.5pt;width:450pt;" filled="f" o:preferrelative="t" stroked="f" coordsize="21600,21600">
            <v:path/>
            <v:fill on="f" focussize="0,0"/>
            <v:stroke on="f" joinstyle="miter"/>
            <v:imagedata r:id="rId93" o:title="WhatsApp Image 2024-08-04 at 11"/>
            <o:lock v:ext="edit" aspectratio="t"/>
            <w10:wrap type="none"/>
            <w10:anchorlock/>
          </v:shape>
        </w:pict>
      </w:r>
    </w:p>
    <w:p w14:paraId="67A65E5F">
      <w:pPr>
        <w:tabs>
          <w:tab w:val="left" w:pos="709"/>
        </w:tabs>
        <w:spacing w:before="100" w:beforeAutospacing="1" w:after="100" w:afterAutospacing="1"/>
        <w:jc w:val="both"/>
      </w:pPr>
      <w:r>
        <w:pict>
          <v:shape id="_x0000_i1046" o:spt="75" type="#_x0000_t75" style="height:374pt;width:451pt;" filled="f" o:preferrelative="t" stroked="f" coordsize="21600,21600">
            <v:path/>
            <v:fill on="f" focussize="0,0"/>
            <v:stroke on="f" joinstyle="miter"/>
            <v:imagedata r:id="rId94" o:title="WhatsApp Image 2024-08-04 at 11"/>
            <o:lock v:ext="edit" aspectratio="t"/>
            <w10:wrap type="none"/>
            <w10:anchorlock/>
          </v:shape>
        </w:pict>
      </w:r>
    </w:p>
    <w:p w14:paraId="747F475D">
      <w:pPr>
        <w:tabs>
          <w:tab w:val="left" w:pos="709"/>
        </w:tabs>
        <w:spacing w:before="100" w:beforeAutospacing="1" w:after="100" w:afterAutospacing="1"/>
        <w:jc w:val="both"/>
      </w:pPr>
      <w:r>
        <w:pict>
          <v:shape id="_x0000_i1047" o:spt="75" type="#_x0000_t75" style="height:642pt;width:450pt;" filled="f" o:preferrelative="t" stroked="f" coordsize="21600,21600">
            <v:path/>
            <v:fill on="f" focussize="0,0"/>
            <v:stroke on="f" joinstyle="miter"/>
            <v:imagedata r:id="rId95" o:title="WhatsApp Image 2024-08-04 at 11"/>
            <o:lock v:ext="edit" aspectratio="t"/>
            <w10:wrap type="none"/>
            <w10:anchorlock/>
          </v:shape>
        </w:pict>
      </w:r>
    </w:p>
    <w:p w14:paraId="51E1A75B">
      <w:pPr>
        <w:tabs>
          <w:tab w:val="left" w:pos="709"/>
        </w:tabs>
        <w:spacing w:before="100" w:beforeAutospacing="1" w:after="100" w:afterAutospacing="1"/>
        <w:jc w:val="both"/>
      </w:pPr>
      <w:r>
        <w:pict>
          <v:shape id="_x0000_i1048" o:spt="75" type="#_x0000_t75" style="height:377.5pt;width:451pt;" filled="f" o:preferrelative="t" stroked="f" coordsize="21600,21600">
            <v:path/>
            <v:fill on="f" focussize="0,0"/>
            <v:stroke on="f" joinstyle="miter"/>
            <v:imagedata r:id="rId96" o:title="WhatsApp Image 2024-08-04 at 11"/>
            <o:lock v:ext="edit" aspectratio="t"/>
            <w10:wrap type="none"/>
            <w10:anchorlock/>
          </v:shape>
        </w:pict>
      </w:r>
    </w:p>
    <w:p w14:paraId="58DE2F8A">
      <w:pPr>
        <w:tabs>
          <w:tab w:val="left" w:pos="709"/>
        </w:tabs>
        <w:spacing w:before="100" w:beforeAutospacing="1" w:after="100" w:afterAutospacing="1"/>
        <w:jc w:val="both"/>
      </w:pPr>
      <w:r>
        <w:pict>
          <v:shape id="_x0000_i1049" o:spt="75" type="#_x0000_t75" style="height:644pt;width:451.5pt;" filled="f" o:preferrelative="t" stroked="f" coordsize="21600,21600">
            <v:path/>
            <v:fill on="f" focussize="0,0"/>
            <v:stroke on="f" joinstyle="miter"/>
            <v:imagedata r:id="rId97" o:title="WhatsApp Image 2024-08-04 at 11"/>
            <o:lock v:ext="edit" aspectratio="t"/>
            <w10:wrap type="none"/>
            <w10:anchorlock/>
          </v:shape>
        </w:pict>
      </w:r>
    </w:p>
    <w:p w14:paraId="5ED2A709">
      <w:pPr>
        <w:tabs>
          <w:tab w:val="left" w:pos="709"/>
        </w:tabs>
        <w:spacing w:before="100" w:beforeAutospacing="1" w:after="100" w:afterAutospacing="1"/>
        <w:jc w:val="both"/>
      </w:pPr>
      <w:r>
        <w:pict>
          <v:shape id="_x0000_i1050" o:spt="75" type="#_x0000_t75" style="height:369pt;width:451pt;" filled="f" o:preferrelative="t" stroked="f" coordsize="21600,21600">
            <v:path/>
            <v:fill on="f" focussize="0,0"/>
            <v:stroke on="f" joinstyle="miter"/>
            <v:imagedata r:id="rId98" o:title="WhatsApp Image 2024-08-04 at 11"/>
            <o:lock v:ext="edit" aspectratio="t"/>
            <w10:wrap type="none"/>
            <w10:anchorlock/>
          </v:shape>
        </w:pict>
      </w:r>
    </w:p>
    <w:p w14:paraId="525EDF4E">
      <w:pPr>
        <w:tabs>
          <w:tab w:val="left" w:pos="709"/>
        </w:tabs>
        <w:spacing w:before="100" w:beforeAutospacing="1" w:after="100" w:afterAutospacing="1"/>
        <w:jc w:val="both"/>
      </w:pPr>
      <w:r>
        <w:pict>
          <v:shape id="_x0000_i1051" o:spt="75" type="#_x0000_t75" style="height:602pt;width:451pt;" filled="f" o:preferrelative="t" stroked="f" coordsize="21600,21600">
            <v:path/>
            <v:fill on="f" focussize="0,0"/>
            <v:stroke on="f" joinstyle="miter"/>
            <v:imagedata r:id="rId99" o:title="WhatsApp Image 2024-08-04 at 11"/>
            <o:lock v:ext="edit" aspectratio="t"/>
            <w10:wrap type="none"/>
            <w10:anchorlock/>
          </v:shape>
        </w:pict>
      </w:r>
    </w:p>
    <w:p w14:paraId="1CA9A7C7">
      <w:pPr>
        <w:tabs>
          <w:tab w:val="left" w:pos="709"/>
        </w:tabs>
        <w:spacing w:before="100" w:beforeAutospacing="1" w:after="100" w:afterAutospacing="1"/>
        <w:jc w:val="both"/>
      </w:pPr>
      <w:r>
        <w:pict>
          <v:shape id="_x0000_i1052" o:spt="75" type="#_x0000_t75" style="height:390.5pt;width:450.5pt;" filled="f" o:preferrelative="t" stroked="f" coordsize="21600,21600">
            <v:path/>
            <v:fill on="f" focussize="0,0"/>
            <v:stroke on="f" joinstyle="miter"/>
            <v:imagedata r:id="rId100" o:title="WhatsApp Image 2024-08-04 at 11"/>
            <o:lock v:ext="edit" aspectratio="t"/>
            <w10:wrap type="none"/>
            <w10:anchorlock/>
          </v:shape>
        </w:pict>
      </w:r>
    </w:p>
    <w:p w14:paraId="33963B1C">
      <w:pPr>
        <w:tabs>
          <w:tab w:val="left" w:pos="709"/>
        </w:tabs>
        <w:spacing w:before="100" w:beforeAutospacing="1" w:after="100" w:afterAutospacing="1"/>
        <w:jc w:val="both"/>
      </w:pPr>
      <w:r>
        <w:pict>
          <v:shape id="_x0000_i1053" o:spt="75" type="#_x0000_t75" style="height:629.5pt;width:451pt;" filled="f" o:preferrelative="t" stroked="f" coordsize="21600,21600">
            <v:path/>
            <v:fill on="f" focussize="0,0"/>
            <v:stroke on="f" joinstyle="miter"/>
            <v:imagedata r:id="rId101" o:title="WhatsApp Image 2024-08-04 at 11"/>
            <o:lock v:ext="edit" aspectratio="t"/>
            <w10:wrap type="none"/>
            <w10:anchorlock/>
          </v:shape>
        </w:pict>
      </w:r>
    </w:p>
    <w:p w14:paraId="25667565">
      <w:pPr>
        <w:tabs>
          <w:tab w:val="left" w:pos="709"/>
        </w:tabs>
        <w:spacing w:before="100" w:beforeAutospacing="1" w:after="100" w:afterAutospacing="1"/>
        <w:jc w:val="both"/>
      </w:pPr>
      <w:r>
        <w:pict>
          <v:shape id="_x0000_i1054" o:spt="75" type="#_x0000_t75" style="height:334pt;width:450.5pt;" filled="f" o:preferrelative="t" stroked="f" coordsize="21600,21600">
            <v:path/>
            <v:fill on="f" focussize="0,0"/>
            <v:stroke on="f" joinstyle="miter"/>
            <v:imagedata r:id="rId102" o:title="WhatsApp Image 2024-08-04 at 11"/>
            <o:lock v:ext="edit" aspectratio="t"/>
            <w10:wrap type="none"/>
            <w10:anchorlock/>
          </v:shape>
        </w:pict>
      </w:r>
    </w:p>
    <w:p w14:paraId="66B25D76">
      <w:pPr>
        <w:tabs>
          <w:tab w:val="left" w:pos="709"/>
        </w:tabs>
        <w:spacing w:before="100" w:beforeAutospacing="1" w:after="100" w:afterAutospacing="1"/>
        <w:jc w:val="both"/>
      </w:pPr>
      <w:r>
        <w:pict>
          <v:shape id="_x0000_i1055" o:spt="75" type="#_x0000_t75" style="height:624.5pt;width:449.5pt;" filled="f" o:preferrelative="t" stroked="f" coordsize="21600,21600">
            <v:path/>
            <v:fill on="f" focussize="0,0"/>
            <v:stroke on="f" joinstyle="miter"/>
            <v:imagedata r:id="rId103" o:title="WhatsApp Image 2024-08-04 at 11"/>
            <o:lock v:ext="edit" aspectratio="t"/>
            <w10:wrap type="none"/>
            <w10:anchorlock/>
          </v:shape>
        </w:pict>
      </w:r>
    </w:p>
    <w:p w14:paraId="63B8536D">
      <w:pPr>
        <w:tabs>
          <w:tab w:val="left" w:pos="709"/>
        </w:tabs>
        <w:spacing w:before="100" w:beforeAutospacing="1" w:after="100" w:afterAutospacing="1"/>
        <w:jc w:val="both"/>
      </w:pPr>
      <w:r>
        <w:pict>
          <v:shape id="_x0000_i1056" o:spt="75" type="#_x0000_t75" style="height:312.5pt;width:450.5pt;" filled="f" o:preferrelative="t" stroked="f" coordsize="21600,21600">
            <v:path/>
            <v:fill on="f" focussize="0,0"/>
            <v:stroke on="f" joinstyle="miter"/>
            <v:imagedata r:id="rId104" o:title="WhatsApp Image 2024-08-04 at 11"/>
            <o:lock v:ext="edit" aspectratio="t"/>
            <w10:wrap type="none"/>
            <w10:anchorlock/>
          </v:shape>
        </w:pict>
      </w:r>
    </w:p>
    <w:p w14:paraId="31657B74">
      <w:pPr>
        <w:tabs>
          <w:tab w:val="left" w:pos="709"/>
        </w:tabs>
        <w:spacing w:before="100" w:beforeAutospacing="1" w:after="100" w:afterAutospacing="1"/>
        <w:jc w:val="both"/>
      </w:pPr>
      <w:r>
        <w:pict>
          <v:shape id="_x0000_i1057" o:spt="75" type="#_x0000_t75" style="height:605pt;width:451pt;" filled="f" o:preferrelative="t" stroked="f" coordsize="21600,21600">
            <v:path/>
            <v:fill on="f" focussize="0,0"/>
            <v:stroke on="f" joinstyle="miter"/>
            <v:imagedata r:id="rId105" o:title="WhatsApp Image 2024-08-04 at 11"/>
            <o:lock v:ext="edit" aspectratio="t"/>
            <w10:wrap type="none"/>
            <w10:anchorlock/>
          </v:shape>
        </w:pict>
      </w:r>
    </w:p>
    <w:p w14:paraId="1D3DD87A">
      <w:pPr>
        <w:tabs>
          <w:tab w:val="left" w:pos="709"/>
        </w:tabs>
        <w:spacing w:before="100" w:beforeAutospacing="1" w:after="100" w:afterAutospacing="1"/>
        <w:jc w:val="both"/>
      </w:pPr>
      <w:r>
        <w:pict>
          <v:shape id="_x0000_i1058" o:spt="75" type="#_x0000_t75" style="height:309.5pt;width:450.5pt;" filled="f" o:preferrelative="t" stroked="f" coordsize="21600,21600">
            <v:path/>
            <v:fill on="f" focussize="0,0"/>
            <v:stroke on="f" joinstyle="miter"/>
            <v:imagedata r:id="rId106" o:title="WhatsApp Image 2024-08-04 at 11"/>
            <o:lock v:ext="edit" aspectratio="t"/>
            <w10:wrap type="none"/>
            <w10:anchorlock/>
          </v:shape>
        </w:pict>
      </w:r>
    </w:p>
    <w:p w14:paraId="68A670CC">
      <w:pPr>
        <w:tabs>
          <w:tab w:val="left" w:pos="709"/>
        </w:tabs>
        <w:spacing w:before="100" w:beforeAutospacing="1" w:after="100" w:afterAutospacing="1"/>
        <w:jc w:val="both"/>
      </w:pPr>
      <w:r>
        <w:pict>
          <v:shape id="_x0000_i1059" o:spt="75" type="#_x0000_t75" style="height:624.5pt;width:451pt;" filled="f" o:preferrelative="t" stroked="f" coordsize="21600,21600">
            <v:path/>
            <v:fill on="f" focussize="0,0"/>
            <v:stroke on="f" joinstyle="miter"/>
            <v:imagedata r:id="rId107" o:title="WhatsApp Image 2024-08-04 at 11"/>
            <o:lock v:ext="edit" aspectratio="t"/>
            <w10:wrap type="none"/>
            <w10:anchorlock/>
          </v:shape>
        </w:pict>
      </w:r>
    </w:p>
    <w:p w14:paraId="54422FF4">
      <w:pPr>
        <w:tabs>
          <w:tab w:val="left" w:pos="709"/>
        </w:tabs>
        <w:spacing w:before="100" w:beforeAutospacing="1" w:after="100" w:afterAutospacing="1"/>
        <w:jc w:val="both"/>
      </w:pPr>
      <w:r>
        <w:pict>
          <v:shape id="_x0000_i1060" o:spt="75" type="#_x0000_t75" style="height:325.5pt;width:450.5pt;" filled="f" o:preferrelative="t" stroked="f" coordsize="21600,21600">
            <v:path/>
            <v:fill on="f" focussize="0,0"/>
            <v:stroke on="f" joinstyle="miter"/>
            <v:imagedata r:id="rId108" o:title="WhatsApp Image 2024-08-04 at 11"/>
            <o:lock v:ext="edit" aspectratio="t"/>
            <w10:wrap type="none"/>
            <w10:anchorlock/>
          </v:shape>
        </w:pict>
      </w:r>
    </w:p>
    <w:p w14:paraId="0A36886C">
      <w:pPr>
        <w:tabs>
          <w:tab w:val="left" w:pos="709"/>
        </w:tabs>
        <w:spacing w:before="100" w:beforeAutospacing="1" w:after="100" w:afterAutospacing="1"/>
        <w:jc w:val="both"/>
      </w:pPr>
    </w:p>
    <w:p w14:paraId="691C5679">
      <w:pPr>
        <w:tabs>
          <w:tab w:val="left" w:pos="709"/>
        </w:tabs>
        <w:spacing w:before="100" w:beforeAutospacing="1" w:after="100" w:afterAutospacing="1"/>
        <w:jc w:val="both"/>
      </w:pPr>
    </w:p>
    <w:p w14:paraId="04EECCBB">
      <w:pPr>
        <w:tabs>
          <w:tab w:val="left" w:pos="709"/>
        </w:tabs>
        <w:spacing w:before="100" w:beforeAutospacing="1" w:after="100" w:afterAutospacing="1"/>
        <w:jc w:val="both"/>
        <w:sectPr>
          <w:headerReference r:id="rId42" w:type="default"/>
          <w:pgSz w:w="11906" w:h="16838"/>
          <w:pgMar w:top="1440" w:right="1440" w:bottom="1440" w:left="1440" w:header="709" w:footer="709" w:gutter="0"/>
          <w:cols w:space="708" w:num="1"/>
          <w:docGrid w:linePitch="360" w:charSpace="0"/>
        </w:sectPr>
      </w:pPr>
    </w:p>
    <w:p w14:paraId="24E65BF6">
      <w:pPr>
        <w:pStyle w:val="23"/>
      </w:pPr>
      <w:bookmarkStart w:id="639" w:name="_Ref179902778"/>
      <w:bookmarkStart w:id="640" w:name="_Toc179556805"/>
      <w:r>
        <w:t xml:space="preserve">Appendix </w:t>
      </w:r>
      <w:r>
        <w:fldChar w:fldCharType="begin"/>
      </w:r>
      <w:r>
        <w:instrText xml:space="preserve"> SEQ Appendix \* ARABIC </w:instrText>
      </w:r>
      <w:r>
        <w:fldChar w:fldCharType="separate"/>
      </w:r>
      <w:r>
        <w:t>5</w:t>
      </w:r>
      <w:r>
        <w:fldChar w:fldCharType="end"/>
      </w:r>
      <w:bookmarkEnd w:id="639"/>
      <w:r>
        <w:t>: Public participation Attendance List</w:t>
      </w:r>
      <w:bookmarkEnd w:id="640"/>
    </w:p>
    <w:p w14:paraId="3462A397">
      <w:pPr>
        <w:tabs>
          <w:tab w:val="left" w:pos="709"/>
        </w:tabs>
        <w:spacing w:before="100" w:beforeAutospacing="1" w:after="100" w:afterAutospacing="1"/>
        <w:jc w:val="both"/>
      </w:pPr>
      <w:r>
        <w:pict>
          <v:shape id="_x0000_i1061" o:spt="75" type="#_x0000_t75" style="height:540.5pt;width:451pt;" filled="f" o:preferrelative="t" stroked="f" coordsize="21600,21600">
            <v:path/>
            <v:fill on="f" focussize="0,0"/>
            <v:stroke on="f" joinstyle="miter"/>
            <v:imagedata r:id="rId109" o:title="WhatsApp Image 2024-08-04 at 11"/>
            <o:lock v:ext="edit" aspectratio="t"/>
            <w10:wrap type="none"/>
            <w10:anchorlock/>
          </v:shape>
        </w:pict>
      </w:r>
    </w:p>
    <w:p w14:paraId="472AACAD">
      <w:pPr>
        <w:tabs>
          <w:tab w:val="left" w:pos="709"/>
        </w:tabs>
        <w:spacing w:before="100" w:beforeAutospacing="1" w:after="100" w:afterAutospacing="1"/>
        <w:jc w:val="both"/>
      </w:pPr>
      <w:r>
        <w:pict>
          <v:shape id="_x0000_i1062" o:spt="75" type="#_x0000_t75" style="height:573.5pt;width:451.5pt;" filled="f" o:preferrelative="t" stroked="f" coordsize="21600,21600">
            <v:path/>
            <v:fill on="f" focussize="0,0"/>
            <v:stroke on="f" joinstyle="miter"/>
            <v:imagedata r:id="rId110" o:title="WhatsApp Image 2024-08-04 at 11"/>
            <o:lock v:ext="edit" aspectratio="t"/>
            <w10:wrap type="none"/>
            <w10:anchorlock/>
          </v:shape>
        </w:pict>
      </w:r>
    </w:p>
    <w:p w14:paraId="4C9560D9">
      <w:pPr>
        <w:tabs>
          <w:tab w:val="left" w:pos="709"/>
        </w:tabs>
        <w:spacing w:before="100" w:beforeAutospacing="1" w:after="100" w:afterAutospacing="1"/>
        <w:jc w:val="both"/>
        <w:sectPr>
          <w:headerReference r:id="rId43" w:type="default"/>
          <w:pgSz w:w="11906" w:h="16838"/>
          <w:pgMar w:top="1440" w:right="1440" w:bottom="1440" w:left="1440" w:header="709" w:footer="709" w:gutter="0"/>
          <w:cols w:space="708" w:num="1"/>
          <w:docGrid w:linePitch="360" w:charSpace="0"/>
        </w:sectPr>
      </w:pPr>
      <w:r>
        <w:pict>
          <v:shape id="_x0000_i1063" o:spt="75" type="#_x0000_t75" style="height:398.5pt;width:450.5pt;" filled="f" o:preferrelative="t" stroked="f" coordsize="21600,21600">
            <v:path/>
            <v:fill on="f" focussize="0,0"/>
            <v:stroke on="f" joinstyle="miter"/>
            <v:imagedata r:id="rId111" o:title="WhatsApp Image 2024-08-04 at 11"/>
            <o:lock v:ext="edit" aspectratio="t"/>
            <w10:wrap type="none"/>
            <w10:anchorlock/>
          </v:shape>
        </w:pict>
      </w:r>
    </w:p>
    <w:p w14:paraId="6CEAC4F4">
      <w:pPr>
        <w:pStyle w:val="23"/>
      </w:pPr>
      <w:bookmarkStart w:id="641" w:name="_Ref173671978"/>
      <w:bookmarkStart w:id="642" w:name="_Toc179556806"/>
      <w:r>
        <w:t xml:space="preserve">Appendix </w:t>
      </w:r>
      <w:r>
        <w:fldChar w:fldCharType="begin"/>
      </w:r>
      <w:r>
        <w:instrText xml:space="preserve"> SEQ Appendix \* ARABIC </w:instrText>
      </w:r>
      <w:r>
        <w:fldChar w:fldCharType="separate"/>
      </w:r>
      <w:r>
        <w:t>6</w:t>
      </w:r>
      <w:r>
        <w:fldChar w:fldCharType="end"/>
      </w:r>
      <w:bookmarkEnd w:id="641"/>
      <w:r>
        <w:t>: Minutes of the Public Participation Meeting</w:t>
      </w:r>
      <w:bookmarkEnd w:id="642"/>
    </w:p>
    <w:p w14:paraId="0592C67F">
      <w:pPr>
        <w:tabs>
          <w:tab w:val="left" w:pos="709"/>
        </w:tabs>
        <w:spacing w:before="100" w:beforeAutospacing="1" w:after="100" w:afterAutospacing="1" w:line="240" w:lineRule="auto"/>
        <w:jc w:val="both"/>
        <w:rPr>
          <w:rFonts w:cstheme="minorHAnsi"/>
          <w:b/>
          <w:u w:val="single"/>
        </w:rPr>
      </w:pPr>
      <w:r>
        <w:rPr>
          <w:b/>
          <w:u w:val="single"/>
        </w:rPr>
        <w:t>STAKEHOLDER ENGAGEMENT MEETING FOR THE PROPOSED WAJIR FAECAL SLUDGE TREATMENT PLANT</w:t>
      </w:r>
      <w:r>
        <w:rPr>
          <w:rFonts w:cstheme="minorHAnsi"/>
          <w:b/>
          <w:u w:val="single"/>
        </w:rPr>
        <w:t xml:space="preserve"> HELD ON 1</w:t>
      </w:r>
      <w:r>
        <w:rPr>
          <w:rFonts w:cstheme="minorHAnsi"/>
          <w:b/>
          <w:u w:val="single"/>
          <w:vertAlign w:val="superscript"/>
        </w:rPr>
        <w:t>st</w:t>
      </w:r>
      <w:r>
        <w:rPr>
          <w:rFonts w:cstheme="minorHAnsi"/>
          <w:b/>
          <w:u w:val="single"/>
        </w:rPr>
        <w:t xml:space="preserve"> AUGUST, 2024 AT THE MIDPOINT COFFEE HOUSE</w:t>
      </w:r>
    </w:p>
    <w:p w14:paraId="6AD5A15E">
      <w:pPr>
        <w:tabs>
          <w:tab w:val="left" w:pos="709"/>
        </w:tabs>
        <w:spacing w:before="100" w:beforeAutospacing="1" w:after="100" w:afterAutospacing="1" w:line="240" w:lineRule="auto"/>
        <w:jc w:val="both"/>
        <w:rPr>
          <w:rFonts w:cstheme="minorHAnsi"/>
        </w:rPr>
      </w:pPr>
    </w:p>
    <w:p w14:paraId="209C8BEF">
      <w:pPr>
        <w:tabs>
          <w:tab w:val="left" w:pos="709"/>
        </w:tabs>
        <w:spacing w:before="100" w:beforeAutospacing="1" w:after="100" w:afterAutospacing="1" w:line="240" w:lineRule="auto"/>
        <w:jc w:val="both"/>
        <w:rPr>
          <w:rFonts w:cstheme="minorHAnsi"/>
          <w:b/>
          <w:u w:val="single"/>
        </w:rPr>
      </w:pPr>
      <w:r>
        <w:rPr>
          <w:rFonts w:cstheme="minorHAnsi"/>
          <w:b/>
          <w:u w:val="single"/>
        </w:rPr>
        <mc:AlternateContent>
          <mc:Choice Requires="wps">
            <w:drawing>
              <wp:anchor distT="0" distB="0" distL="114300" distR="114300" simplePos="0" relativeHeight="251671552" behindDoc="0" locked="0" layoutInCell="1" allowOverlap="1">
                <wp:simplePos x="0" y="0"/>
                <wp:positionH relativeFrom="column">
                  <wp:posOffset>4849495</wp:posOffset>
                </wp:positionH>
                <wp:positionV relativeFrom="paragraph">
                  <wp:posOffset>71755</wp:posOffset>
                </wp:positionV>
                <wp:extent cx="1000125" cy="653415"/>
                <wp:effectExtent l="0" t="0" r="0" b="0"/>
                <wp:wrapNone/>
                <wp:docPr id="44" name="Text Box 8"/>
                <wp:cNvGraphicFramePr/>
                <a:graphic xmlns:a="http://schemas.openxmlformats.org/drawingml/2006/main">
                  <a:graphicData uri="http://schemas.microsoft.com/office/word/2010/wordprocessingShape">
                    <wps:wsp>
                      <wps:cNvSpPr txBox="1"/>
                      <wps:spPr bwMode="auto">
                        <a:xfrm>
                          <a:off x="0" y="0"/>
                          <a:ext cx="1000125" cy="653415"/>
                        </a:xfrm>
                        <a:prstGeom prst="rect">
                          <a:avLst/>
                        </a:prstGeom>
                        <a:solidFill>
                          <a:srgbClr val="FFFFFF"/>
                        </a:solidFill>
                        <a:ln>
                          <a:noFill/>
                        </a:ln>
                      </wps:spPr>
                      <wps:txbx>
                        <w:txbxContent>
                          <w:p w14:paraId="7B50725E">
                            <w:pPr>
                              <w:rPr>
                                <w:rFonts w:cstheme="minorHAnsi"/>
                                <w:b/>
                                <w:u w:val="single"/>
                              </w:rPr>
                            </w:pPr>
                            <w:r>
                              <w:rPr>
                                <w:rFonts w:cstheme="minorHAnsi"/>
                                <w:b/>
                                <w:u w:val="single"/>
                              </w:rPr>
                              <w:t>APOLOGIES</w:t>
                            </w:r>
                          </w:p>
                          <w:p w14:paraId="58408B97">
                            <w:pPr>
                              <w:rPr>
                                <w:rFonts w:cstheme="minorHAnsi"/>
                              </w:rPr>
                            </w:pPr>
                            <w:r>
                              <w:rPr>
                                <w:rFonts w:cstheme="minorHAnsi"/>
                              </w:rPr>
                              <w:t>NIL</w:t>
                            </w:r>
                          </w:p>
                          <w:p w14:paraId="3F37FB0B">
                            <w:pPr>
                              <w:rPr>
                                <w:rFonts w:cstheme="minorHAnsi"/>
                              </w:rPr>
                            </w:pPr>
                          </w:p>
                        </w:txbxContent>
                      </wps:txbx>
                      <wps:bodyPr rot="0" vert="horz" wrap="square" lIns="91440" tIns="45720" rIns="91440" bIns="45720" anchor="t" anchorCtr="0" upright="1">
                        <a:noAutofit/>
                      </wps:bodyPr>
                    </wps:wsp>
                  </a:graphicData>
                </a:graphic>
              </wp:anchor>
            </w:drawing>
          </mc:Choice>
          <mc:Fallback>
            <w:pict>
              <v:shape id="Text Box 8" o:spid="_x0000_s1026" o:spt="202" type="#_x0000_t202" style="position:absolute;left:0pt;margin-left:381.85pt;margin-top:5.65pt;height:51.45pt;width:78.75pt;z-index:251671552;mso-width-relative:page;mso-height-relative:page;" fillcolor="#FFFFFF" filled="t" stroked="f" coordsize="21600,21600" o:gfxdata="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">
                <v:fill on="t" focussize="0,0"/>
                <v:stroke on="f"/>
                <v:imagedata o:title=""/>
                <o:lock v:ext="edit" aspectratio="f"/>
                <v:textbox>
                  <w:txbxContent>
                    <w:p w14:paraId="7B50725E">
                      <w:pPr>
                        <w:rPr>
                          <w:rFonts w:cstheme="minorHAnsi"/>
                          <w:b/>
                          <w:u w:val="single"/>
                        </w:rPr>
                      </w:pPr>
                      <w:r>
                        <w:rPr>
                          <w:rFonts w:cstheme="minorHAnsi"/>
                          <w:b/>
                          <w:u w:val="single"/>
                        </w:rPr>
                        <w:t>APOLOGIES</w:t>
                      </w:r>
                    </w:p>
                    <w:p w14:paraId="58408B97">
                      <w:pPr>
                        <w:rPr>
                          <w:rFonts w:cstheme="minorHAnsi"/>
                        </w:rPr>
                      </w:pPr>
                      <w:r>
                        <w:rPr>
                          <w:rFonts w:cstheme="minorHAnsi"/>
                        </w:rPr>
                        <w:t>NIL</w:t>
                      </w:r>
                    </w:p>
                    <w:p w14:paraId="3F37FB0B">
                      <w:pPr>
                        <w:rPr>
                          <w:rFonts w:cstheme="minorHAnsi"/>
                        </w:rPr>
                      </w:pPr>
                    </w:p>
                  </w:txbxContent>
                </v:textbox>
              </v:shape>
            </w:pict>
          </mc:Fallback>
        </mc:AlternateContent>
      </w:r>
      <w:r>
        <w:rPr>
          <w:rFonts w:cstheme="minorHAnsi"/>
          <w:b/>
          <w:u w:val="single"/>
        </w:rPr>
        <w:t>MEMBERS PRESENT</w:t>
      </w:r>
    </w:p>
    <w:p w14:paraId="30B1222C">
      <w:pPr>
        <w:pStyle w:val="115"/>
      </w:pPr>
      <w:r>
        <w:t>Wajir Water and Sewerage Company (WAJWASCO).</w:t>
      </w:r>
    </w:p>
    <w:p w14:paraId="1678BD5D">
      <w:pPr>
        <w:pStyle w:val="115"/>
      </w:pPr>
      <w:r>
        <w:t>CEC Education</w:t>
      </w:r>
    </w:p>
    <w:p w14:paraId="31056849">
      <w:pPr>
        <w:pStyle w:val="115"/>
      </w:pPr>
      <w:r>
        <w:t>Local Government and administration</w:t>
      </w:r>
    </w:p>
    <w:p w14:paraId="377E87A5">
      <w:pPr>
        <w:pStyle w:val="115"/>
      </w:pPr>
      <w:r>
        <w:t>Engineers</w:t>
      </w:r>
    </w:p>
    <w:p w14:paraId="0C269797">
      <w:pPr>
        <w:pStyle w:val="115"/>
      </w:pPr>
      <w:r>
        <w:t>Alimaow chief</w:t>
      </w:r>
    </w:p>
    <w:p w14:paraId="3F923CBE">
      <w:pPr>
        <w:pStyle w:val="115"/>
        <w:rPr>
          <w:rFonts w:cs="Calibri"/>
        </w:rPr>
      </w:pPr>
      <w:r>
        <w:t>Furaha Chief</w:t>
      </w:r>
    </w:p>
    <w:p w14:paraId="68312A66">
      <w:pPr>
        <w:tabs>
          <w:tab w:val="left" w:pos="709"/>
        </w:tabs>
        <w:spacing w:before="100" w:beforeAutospacing="1" w:after="100" w:afterAutospacing="1" w:line="240" w:lineRule="auto"/>
        <w:jc w:val="both"/>
        <w:rPr>
          <w:rFonts w:cstheme="minorHAnsi"/>
          <w:b/>
          <w:u w:val="single"/>
        </w:rPr>
      </w:pPr>
      <w:r>
        <w:rPr>
          <w:rFonts w:cstheme="minorHAnsi"/>
          <w:b/>
          <w:u w:val="single"/>
        </w:rPr>
        <w:t>AGENDA</w:t>
      </w:r>
    </w:p>
    <w:p w14:paraId="4134820B">
      <w:pPr>
        <w:pStyle w:val="115"/>
        <w:numPr>
          <w:ilvl w:val="0"/>
          <w:numId w:val="47"/>
        </w:numPr>
      </w:pPr>
      <w:r>
        <w:t>Introductions</w:t>
      </w:r>
    </w:p>
    <w:p w14:paraId="166DA48F">
      <w:pPr>
        <w:pStyle w:val="115"/>
        <w:numPr>
          <w:ilvl w:val="0"/>
          <w:numId w:val="47"/>
        </w:numPr>
      </w:pPr>
      <w:r>
        <w:t>Proposed project presentations</w:t>
      </w:r>
    </w:p>
    <w:p w14:paraId="074EBD25">
      <w:pPr>
        <w:pStyle w:val="115"/>
        <w:numPr>
          <w:ilvl w:val="0"/>
          <w:numId w:val="47"/>
        </w:numPr>
      </w:pPr>
      <w:r>
        <w:t>Public participation Guidelines</w:t>
      </w:r>
    </w:p>
    <w:p w14:paraId="72BAFAF2">
      <w:pPr>
        <w:pStyle w:val="115"/>
        <w:numPr>
          <w:ilvl w:val="0"/>
          <w:numId w:val="47"/>
        </w:numPr>
      </w:pPr>
      <w:r>
        <w:t>Stakeholder feedback and discussions</w:t>
      </w:r>
    </w:p>
    <w:p w14:paraId="0A3A1333">
      <w:pPr>
        <w:pStyle w:val="115"/>
        <w:numPr>
          <w:ilvl w:val="0"/>
          <w:numId w:val="47"/>
        </w:numPr>
      </w:pPr>
      <w:r>
        <w:t xml:space="preserve">Closing remarks </w:t>
      </w:r>
    </w:p>
    <w:p w14:paraId="70FF339C">
      <w:pPr>
        <w:tabs>
          <w:tab w:val="left" w:pos="709"/>
        </w:tabs>
        <w:spacing w:before="100" w:beforeAutospacing="1" w:after="100" w:afterAutospacing="1" w:line="240" w:lineRule="auto"/>
        <w:jc w:val="both"/>
        <w:rPr>
          <w:rFonts w:cstheme="minorHAnsi"/>
          <w:b/>
          <w:u w:val="single"/>
        </w:rPr>
      </w:pPr>
      <w:r>
        <w:rPr>
          <w:rFonts w:cstheme="minorHAnsi"/>
          <w:b/>
          <w:u w:val="single"/>
        </w:rPr>
        <w:t xml:space="preserve">MIN 01/03/2024: Introduction </w:t>
      </w:r>
    </w:p>
    <w:p w14:paraId="096BEEB2">
      <w:pPr>
        <w:tabs>
          <w:tab w:val="left" w:pos="709"/>
        </w:tabs>
        <w:spacing w:before="100" w:beforeAutospacing="1" w:after="100" w:afterAutospacing="1" w:line="240" w:lineRule="auto"/>
        <w:jc w:val="both"/>
        <w:rPr>
          <w:rFonts w:cstheme="minorHAnsi"/>
        </w:rPr>
      </w:pPr>
      <w:r>
        <w:rPr>
          <w:rFonts w:cstheme="minorHAnsi"/>
        </w:rPr>
        <w:t xml:space="preserve">The meeting was called in order by the WAJWASCO Managing Director, it started with a word of prayer at 11.40 AM. The MD called in for all consultants for introduction before welcoming the other members for self-introduction. </w:t>
      </w:r>
    </w:p>
    <w:p w14:paraId="0CB0E26E">
      <w:pPr>
        <w:tabs>
          <w:tab w:val="left" w:pos="709"/>
        </w:tabs>
        <w:spacing w:before="100" w:beforeAutospacing="1" w:after="100" w:afterAutospacing="1" w:line="240" w:lineRule="auto"/>
        <w:jc w:val="both"/>
        <w:rPr>
          <w:rFonts w:cstheme="minorHAnsi"/>
          <w:b/>
          <w:u w:val="single"/>
        </w:rPr>
      </w:pPr>
      <w:r>
        <w:rPr>
          <w:rFonts w:cstheme="minorHAnsi"/>
          <w:b/>
          <w:u w:val="single"/>
        </w:rPr>
        <w:t>MIN 02/03/2024: Project awareness</w:t>
      </w:r>
    </w:p>
    <w:p w14:paraId="78EB5F8A">
      <w:pPr>
        <w:tabs>
          <w:tab w:val="left" w:pos="709"/>
        </w:tabs>
        <w:spacing w:before="100" w:beforeAutospacing="1" w:after="100" w:afterAutospacing="1" w:line="240" w:lineRule="auto"/>
        <w:jc w:val="both"/>
        <w:rPr>
          <w:rFonts w:cstheme="minorHAnsi"/>
        </w:rPr>
      </w:pPr>
      <w:r>
        <w:rPr>
          <w:rFonts w:cstheme="minorHAnsi"/>
        </w:rPr>
        <w:t>The MD thanked the consultant representative for sharing the important information with the community. He told the meeting that the agenda of the day on awareness of the proposed project. The consultant took the meeting through the procedures and processes of the project and the importance the community members plays in such consultative meetings of the proposed project. The project is a consultative and community input and contributions is key that’s why they should be consulted. She told the meeting that both environmental and social issues affect members of the community during project implementation phase.</w:t>
      </w:r>
    </w:p>
    <w:p w14:paraId="78BD1935">
      <w:pPr>
        <w:tabs>
          <w:tab w:val="left" w:pos="709"/>
        </w:tabs>
        <w:spacing w:before="100" w:beforeAutospacing="1" w:after="100" w:afterAutospacing="1" w:line="240" w:lineRule="auto"/>
        <w:jc w:val="both"/>
        <w:rPr>
          <w:rFonts w:cstheme="minorHAnsi"/>
        </w:rPr>
      </w:pPr>
      <w:r>
        <w:rPr>
          <w:rFonts w:cstheme="minorHAnsi"/>
        </w:rPr>
        <w:t>She then took the members through the anticipated project impacts and proposed mitigation measures.</w:t>
      </w:r>
    </w:p>
    <w:p w14:paraId="097CEBA3">
      <w:pPr>
        <w:tabs>
          <w:tab w:val="left" w:pos="709"/>
        </w:tabs>
        <w:spacing w:before="100" w:beforeAutospacing="1" w:after="100" w:afterAutospacing="1" w:line="240" w:lineRule="auto"/>
        <w:contextualSpacing/>
        <w:jc w:val="both"/>
        <w:rPr>
          <w:rFonts w:cstheme="minorHAnsi"/>
        </w:rPr>
      </w:pPr>
    </w:p>
    <w:p w14:paraId="1868768D">
      <w:pPr>
        <w:tabs>
          <w:tab w:val="left" w:pos="709"/>
        </w:tabs>
        <w:spacing w:before="100" w:beforeAutospacing="1" w:after="100" w:afterAutospacing="1" w:line="240" w:lineRule="auto"/>
        <w:contextualSpacing/>
        <w:jc w:val="both"/>
        <w:rPr>
          <w:rFonts w:cstheme="minorHAnsi"/>
          <w:b/>
          <w:u w:val="single"/>
        </w:rPr>
      </w:pPr>
      <w:r>
        <w:rPr>
          <w:rFonts w:cstheme="minorHAnsi"/>
          <w:b/>
          <w:u w:val="single"/>
        </w:rPr>
        <w:t>MIN 03/03/2024: Public Concerns and matters arising</w:t>
      </w:r>
      <w:r>
        <w:rPr>
          <w:rFonts w:cstheme="minorHAnsi"/>
          <w:b/>
        </w:rPr>
        <w:t xml:space="preserve"> </w:t>
      </w:r>
    </w:p>
    <w:tbl>
      <w:tblPr>
        <w:tblStyle w:val="86"/>
        <w:tblW w:w="935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77"/>
        <w:gridCol w:w="3908"/>
        <w:gridCol w:w="4866"/>
      </w:tblGrid>
      <w:tr w14:paraId="570102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577" w:type="dxa"/>
            <w:shd w:val="clear" w:color="auto" w:fill="70AD47" w:themeFill="accent6"/>
          </w:tcPr>
          <w:p w14:paraId="7A98CABF">
            <w:pPr>
              <w:tabs>
                <w:tab w:val="left" w:pos="709"/>
              </w:tabs>
              <w:spacing w:before="100" w:beforeAutospacing="1" w:after="100" w:afterAutospacing="1" w:line="240" w:lineRule="auto"/>
              <w:jc w:val="both"/>
              <w:rPr>
                <w:rFonts w:cstheme="minorHAnsi"/>
                <w:b/>
              </w:rPr>
            </w:pPr>
            <w:r>
              <w:rPr>
                <w:rFonts w:cstheme="minorHAnsi"/>
                <w:b/>
              </w:rPr>
              <w:t>S No.</w:t>
            </w:r>
          </w:p>
        </w:tc>
        <w:tc>
          <w:tcPr>
            <w:tcW w:w="3908" w:type="dxa"/>
            <w:shd w:val="clear" w:color="auto" w:fill="70AD47" w:themeFill="accent6"/>
          </w:tcPr>
          <w:p w14:paraId="52A7052F">
            <w:pPr>
              <w:tabs>
                <w:tab w:val="left" w:pos="709"/>
              </w:tabs>
              <w:spacing w:before="100" w:beforeAutospacing="1" w:after="100" w:afterAutospacing="1" w:line="240" w:lineRule="auto"/>
              <w:jc w:val="both"/>
              <w:rPr>
                <w:rFonts w:cstheme="minorHAnsi"/>
                <w:b/>
              </w:rPr>
            </w:pPr>
            <w:r>
              <w:rPr>
                <w:rFonts w:cstheme="minorHAnsi"/>
                <w:b/>
              </w:rPr>
              <w:t>Concern/Comment/Question</w:t>
            </w:r>
          </w:p>
        </w:tc>
        <w:tc>
          <w:tcPr>
            <w:tcW w:w="4866" w:type="dxa"/>
            <w:shd w:val="clear" w:color="auto" w:fill="70AD47" w:themeFill="accent6"/>
          </w:tcPr>
          <w:p w14:paraId="6C7EC964">
            <w:pPr>
              <w:tabs>
                <w:tab w:val="left" w:pos="709"/>
              </w:tabs>
              <w:spacing w:before="100" w:beforeAutospacing="1" w:after="100" w:afterAutospacing="1" w:line="240" w:lineRule="auto"/>
              <w:jc w:val="both"/>
              <w:rPr>
                <w:rFonts w:cstheme="minorHAnsi"/>
                <w:b/>
              </w:rPr>
            </w:pPr>
            <w:r>
              <w:rPr>
                <w:rFonts w:cstheme="minorHAnsi"/>
                <w:b/>
              </w:rPr>
              <w:t>Response/Recommendation</w:t>
            </w:r>
          </w:p>
        </w:tc>
      </w:tr>
      <w:tr w14:paraId="40E7C2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5CB8AF52">
            <w:pPr>
              <w:tabs>
                <w:tab w:val="left" w:pos="709"/>
              </w:tabs>
              <w:spacing w:before="100" w:beforeAutospacing="1" w:after="100" w:afterAutospacing="1" w:line="240" w:lineRule="auto"/>
              <w:jc w:val="both"/>
              <w:rPr>
                <w:rFonts w:cstheme="minorHAnsi"/>
              </w:rPr>
            </w:pPr>
            <w:r>
              <w:rPr>
                <w:rFonts w:cstheme="minorHAnsi"/>
              </w:rPr>
              <w:t>1</w:t>
            </w:r>
          </w:p>
        </w:tc>
        <w:tc>
          <w:tcPr>
            <w:tcW w:w="3908" w:type="dxa"/>
          </w:tcPr>
          <w:p w14:paraId="342ACDA2">
            <w:pPr>
              <w:tabs>
                <w:tab w:val="left" w:pos="709"/>
              </w:tabs>
              <w:spacing w:before="100" w:beforeAutospacing="1" w:after="100" w:afterAutospacing="1" w:line="240" w:lineRule="auto"/>
              <w:jc w:val="both"/>
              <w:rPr>
                <w:rFonts w:cstheme="minorHAnsi"/>
              </w:rPr>
            </w:pPr>
            <w:r>
              <w:rPr>
                <w:rFonts w:cstheme="minorHAnsi"/>
              </w:rPr>
              <w:t>Already the existing dumpsite has not been well managed, how can the client assure us that it will not be the same with the proposed FSTP?</w:t>
            </w:r>
          </w:p>
        </w:tc>
        <w:tc>
          <w:tcPr>
            <w:tcW w:w="4866" w:type="dxa"/>
          </w:tcPr>
          <w:p w14:paraId="691F8874">
            <w:pPr>
              <w:tabs>
                <w:tab w:val="left" w:pos="709"/>
              </w:tabs>
              <w:spacing w:before="100" w:beforeAutospacing="1" w:after="100" w:afterAutospacing="1" w:line="240" w:lineRule="auto"/>
              <w:jc w:val="both"/>
              <w:rPr>
                <w:rFonts w:cstheme="minorHAnsi"/>
              </w:rPr>
            </w:pPr>
            <w:r>
              <w:rPr>
                <w:rFonts w:cstheme="minorHAnsi"/>
              </w:rPr>
              <w:t>The consultant and client stated that there shall be operation and maintenance plans in place to manage the plant.</w:t>
            </w:r>
          </w:p>
          <w:p w14:paraId="79C2CAB7">
            <w:pPr>
              <w:tabs>
                <w:tab w:val="left" w:pos="709"/>
              </w:tabs>
              <w:spacing w:before="100" w:beforeAutospacing="1" w:after="100" w:afterAutospacing="1" w:line="240" w:lineRule="auto"/>
              <w:jc w:val="both"/>
              <w:rPr>
                <w:rFonts w:cstheme="minorHAnsi"/>
              </w:rPr>
            </w:pPr>
            <w:r>
              <w:rPr>
                <w:rFonts w:cstheme="minorHAnsi"/>
              </w:rPr>
              <w:t>There shall also be PPPs which will help in this as well.</w:t>
            </w:r>
          </w:p>
        </w:tc>
      </w:tr>
      <w:tr w14:paraId="706587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16307580">
            <w:pPr>
              <w:tabs>
                <w:tab w:val="left" w:pos="709"/>
              </w:tabs>
              <w:spacing w:before="100" w:beforeAutospacing="1" w:after="100" w:afterAutospacing="1" w:line="240" w:lineRule="auto"/>
              <w:jc w:val="both"/>
              <w:rPr>
                <w:rFonts w:cstheme="minorHAnsi"/>
              </w:rPr>
            </w:pPr>
            <w:r>
              <w:rPr>
                <w:rFonts w:cstheme="minorHAnsi"/>
              </w:rPr>
              <w:t>2</w:t>
            </w:r>
          </w:p>
        </w:tc>
        <w:tc>
          <w:tcPr>
            <w:tcW w:w="3908" w:type="dxa"/>
          </w:tcPr>
          <w:p w14:paraId="5C186034">
            <w:pPr>
              <w:tabs>
                <w:tab w:val="left" w:pos="709"/>
              </w:tabs>
              <w:spacing w:before="100" w:beforeAutospacing="1" w:after="100" w:afterAutospacing="1" w:line="240" w:lineRule="auto"/>
              <w:jc w:val="both"/>
              <w:rPr>
                <w:rFonts w:cstheme="minorHAnsi"/>
              </w:rPr>
            </w:pPr>
            <w:r>
              <w:rPr>
                <w:rFonts w:cstheme="minorHAnsi"/>
              </w:rPr>
              <w:t>There should be direct benefits to the locals of Alimaow and Furaha areas.</w:t>
            </w:r>
          </w:p>
        </w:tc>
        <w:tc>
          <w:tcPr>
            <w:tcW w:w="4866" w:type="dxa"/>
          </w:tcPr>
          <w:p w14:paraId="2E2F8747">
            <w:pPr>
              <w:tabs>
                <w:tab w:val="left" w:pos="709"/>
              </w:tabs>
              <w:spacing w:before="100" w:beforeAutospacing="1" w:after="100" w:afterAutospacing="1" w:line="240" w:lineRule="auto"/>
              <w:jc w:val="both"/>
              <w:rPr>
                <w:rFonts w:cstheme="minorHAnsi"/>
              </w:rPr>
            </w:pPr>
            <w:r>
              <w:rPr>
                <w:rFonts w:cstheme="minorHAnsi"/>
              </w:rPr>
              <w:t>This was noted.</w:t>
            </w:r>
          </w:p>
        </w:tc>
      </w:tr>
      <w:tr w14:paraId="42C88D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0200E2FC">
            <w:pPr>
              <w:tabs>
                <w:tab w:val="left" w:pos="709"/>
              </w:tabs>
              <w:spacing w:before="100" w:beforeAutospacing="1" w:after="100" w:afterAutospacing="1" w:line="240" w:lineRule="auto"/>
              <w:jc w:val="both"/>
              <w:rPr>
                <w:rFonts w:cstheme="minorHAnsi"/>
              </w:rPr>
            </w:pPr>
            <w:r>
              <w:rPr>
                <w:rFonts w:cstheme="minorHAnsi"/>
              </w:rPr>
              <w:t>3</w:t>
            </w:r>
          </w:p>
        </w:tc>
        <w:tc>
          <w:tcPr>
            <w:tcW w:w="3908" w:type="dxa"/>
          </w:tcPr>
          <w:p w14:paraId="77109238">
            <w:pPr>
              <w:tabs>
                <w:tab w:val="left" w:pos="709"/>
              </w:tabs>
              <w:spacing w:before="100" w:beforeAutospacing="1" w:after="100" w:afterAutospacing="1" w:line="240" w:lineRule="auto"/>
              <w:jc w:val="both"/>
              <w:rPr>
                <w:rFonts w:cstheme="minorHAnsi"/>
              </w:rPr>
            </w:pPr>
            <w:r>
              <w:rPr>
                <w:rFonts w:cstheme="minorHAnsi"/>
              </w:rPr>
              <w:t>With the existing court case on the management of the existing dumpsite, how is the client going to ensure it is handled to prevent conflicts with the locals</w:t>
            </w:r>
          </w:p>
        </w:tc>
        <w:tc>
          <w:tcPr>
            <w:tcW w:w="4866" w:type="dxa"/>
          </w:tcPr>
          <w:p w14:paraId="1AC55E46">
            <w:pPr>
              <w:tabs>
                <w:tab w:val="left" w:pos="709"/>
              </w:tabs>
              <w:spacing w:before="100" w:beforeAutospacing="1" w:after="100" w:afterAutospacing="1" w:line="240" w:lineRule="auto"/>
              <w:jc w:val="both"/>
              <w:rPr>
                <w:rFonts w:cstheme="minorHAnsi"/>
              </w:rPr>
            </w:pPr>
            <w:r>
              <w:rPr>
                <w:rFonts w:cstheme="minorHAnsi"/>
              </w:rPr>
              <w:t>The client expressed his concern and said that he shall ensure every issue is addressed to enable the project progresses without fail for the better of the community and Wajir as a whole.</w:t>
            </w:r>
          </w:p>
          <w:p w14:paraId="20BE6119">
            <w:pPr>
              <w:tabs>
                <w:tab w:val="left" w:pos="709"/>
              </w:tabs>
              <w:spacing w:before="100" w:beforeAutospacing="1" w:after="100" w:afterAutospacing="1" w:line="240" w:lineRule="auto"/>
              <w:jc w:val="both"/>
              <w:rPr>
                <w:rFonts w:cstheme="minorHAnsi"/>
              </w:rPr>
            </w:pPr>
            <w:r>
              <w:rPr>
                <w:rFonts w:cstheme="minorHAnsi"/>
              </w:rPr>
              <w:t>In order to ensure fair hearing, this question shall be anchored in the project SEP as an ongoing concern.</w:t>
            </w:r>
          </w:p>
          <w:p w14:paraId="429FC25D">
            <w:pPr>
              <w:tabs>
                <w:tab w:val="left" w:pos="709"/>
              </w:tabs>
              <w:spacing w:before="100" w:beforeAutospacing="1" w:after="100" w:afterAutospacing="1" w:line="240" w:lineRule="auto"/>
              <w:jc w:val="both"/>
              <w:rPr>
                <w:rFonts w:cstheme="minorHAnsi"/>
              </w:rPr>
            </w:pPr>
            <w:r>
              <w:rPr>
                <w:rFonts w:cstheme="minorHAnsi"/>
              </w:rPr>
              <w:t xml:space="preserve">The Court has issued Stay Orders on the case and allowed parties to remedy the situation at the Dumpsite. The Environmental &amp; Management Coordination Act that regulates the proceedings of Tribunal and Environmental Law Court  provides an </w:t>
            </w:r>
            <w:r>
              <w:rPr>
                <w:rFonts w:cstheme="minorHAnsi"/>
                <w:b/>
                <w:bCs/>
              </w:rPr>
              <w:t>automatic stay</w:t>
            </w:r>
            <w:r>
              <w:rPr>
                <w:rFonts w:cstheme="minorHAnsi"/>
              </w:rPr>
              <w:t xml:space="preserve"> under section 130 which states the following;</w:t>
            </w:r>
            <w:r>
              <w:rPr>
                <w:rFonts w:cstheme="minorHAnsi"/>
                <w:i/>
                <w:iCs/>
              </w:rPr>
              <w:t xml:space="preserve"> No decision or order of the Tribunal shall be enforced until the time for lodging an appeal has expired or, where the appeal has been commenced, until the appeal has been determined. </w:t>
            </w:r>
          </w:p>
          <w:p w14:paraId="05F0522A">
            <w:pPr>
              <w:rPr>
                <w:rFonts w:cstheme="minorHAnsi"/>
              </w:rPr>
            </w:pPr>
            <w:r>
              <w:rPr>
                <w:rFonts w:cstheme="minorHAnsi"/>
              </w:rPr>
              <w:t>The Appeal has been allowed by the Environment and Court and amention done. As of now one of the Petitioners out of the two who had filed the case has since withdrawn from the Petition and sent withdrawal to the Court email. </w:t>
            </w:r>
          </w:p>
          <w:p w14:paraId="51C662C9">
            <w:pPr>
              <w:tabs>
                <w:tab w:val="left" w:pos="709"/>
              </w:tabs>
              <w:spacing w:before="100" w:beforeAutospacing="1" w:after="100" w:afterAutospacing="1" w:line="240" w:lineRule="auto"/>
              <w:jc w:val="both"/>
              <w:rPr>
                <w:rFonts w:cstheme="minorHAnsi"/>
              </w:rPr>
            </w:pPr>
            <w:r>
              <w:rPr>
                <w:rFonts w:cstheme="minorHAnsi"/>
              </w:rPr>
              <w:t>This Project is one of the definite actions that the County is taking in order to improve the site and ensure the site in question is managed well including access control, solid waste management and air-fouling.</w:t>
            </w:r>
          </w:p>
        </w:tc>
      </w:tr>
      <w:tr w14:paraId="0D3331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22F91C22">
            <w:pPr>
              <w:tabs>
                <w:tab w:val="left" w:pos="709"/>
              </w:tabs>
              <w:spacing w:before="100" w:beforeAutospacing="1" w:after="100" w:afterAutospacing="1" w:line="240" w:lineRule="auto"/>
              <w:jc w:val="both"/>
              <w:rPr>
                <w:rFonts w:cstheme="minorHAnsi"/>
              </w:rPr>
            </w:pPr>
            <w:r>
              <w:rPr>
                <w:rFonts w:cstheme="minorHAnsi"/>
              </w:rPr>
              <w:t>4</w:t>
            </w:r>
          </w:p>
        </w:tc>
        <w:tc>
          <w:tcPr>
            <w:tcW w:w="3908" w:type="dxa"/>
          </w:tcPr>
          <w:p w14:paraId="49B8FAD3">
            <w:pPr>
              <w:tabs>
                <w:tab w:val="left" w:pos="709"/>
              </w:tabs>
              <w:spacing w:before="100" w:beforeAutospacing="1" w:after="100" w:afterAutospacing="1" w:line="240" w:lineRule="auto"/>
              <w:jc w:val="both"/>
              <w:rPr>
                <w:rFonts w:cstheme="minorHAnsi"/>
              </w:rPr>
            </w:pPr>
            <w:r>
              <w:rPr>
                <w:rFonts w:cstheme="minorHAnsi"/>
              </w:rPr>
              <w:t xml:space="preserve">A member stated that other members of the community who had not attended the meeting should also be consulted at a later stage before the project starts. </w:t>
            </w:r>
          </w:p>
        </w:tc>
        <w:tc>
          <w:tcPr>
            <w:tcW w:w="4866" w:type="dxa"/>
          </w:tcPr>
          <w:p w14:paraId="587B4C83">
            <w:pPr>
              <w:tabs>
                <w:tab w:val="left" w:pos="709"/>
              </w:tabs>
              <w:spacing w:before="100" w:beforeAutospacing="1" w:after="100" w:afterAutospacing="1" w:line="240" w:lineRule="auto"/>
              <w:jc w:val="both"/>
              <w:rPr>
                <w:rFonts w:cstheme="minorHAnsi"/>
              </w:rPr>
            </w:pPr>
            <w:r>
              <w:rPr>
                <w:rFonts w:cstheme="minorHAnsi"/>
              </w:rPr>
              <w:t>This was noted</w:t>
            </w:r>
          </w:p>
        </w:tc>
      </w:tr>
      <w:tr w14:paraId="1515D3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00103ADB">
            <w:pPr>
              <w:tabs>
                <w:tab w:val="left" w:pos="709"/>
              </w:tabs>
              <w:spacing w:before="100" w:beforeAutospacing="1" w:after="100" w:afterAutospacing="1" w:line="240" w:lineRule="auto"/>
              <w:jc w:val="both"/>
              <w:rPr>
                <w:rFonts w:cstheme="minorHAnsi"/>
              </w:rPr>
            </w:pPr>
            <w:r>
              <w:rPr>
                <w:rFonts w:cstheme="minorHAnsi"/>
              </w:rPr>
              <w:t>5</w:t>
            </w:r>
          </w:p>
        </w:tc>
        <w:tc>
          <w:tcPr>
            <w:tcW w:w="3908" w:type="dxa"/>
          </w:tcPr>
          <w:p w14:paraId="09AE958A">
            <w:pPr>
              <w:tabs>
                <w:tab w:val="left" w:pos="709"/>
              </w:tabs>
              <w:spacing w:before="100" w:beforeAutospacing="1" w:after="100" w:afterAutospacing="1" w:line="240" w:lineRule="auto"/>
              <w:jc w:val="both"/>
              <w:rPr>
                <w:rFonts w:cstheme="minorHAnsi"/>
              </w:rPr>
            </w:pPr>
            <w:r>
              <w:rPr>
                <w:rFonts w:cstheme="minorHAnsi"/>
              </w:rPr>
              <w:t>The attendees wanted to understand the importance of the byproducts of the proposed plant.</w:t>
            </w:r>
          </w:p>
        </w:tc>
        <w:tc>
          <w:tcPr>
            <w:tcW w:w="4866" w:type="dxa"/>
          </w:tcPr>
          <w:p w14:paraId="09AB8888">
            <w:pPr>
              <w:tabs>
                <w:tab w:val="left" w:pos="709"/>
              </w:tabs>
              <w:spacing w:before="100" w:beforeAutospacing="1" w:after="100" w:afterAutospacing="1" w:line="240" w:lineRule="auto"/>
              <w:jc w:val="both"/>
              <w:rPr>
                <w:rFonts w:cstheme="minorHAnsi"/>
              </w:rPr>
            </w:pPr>
            <w:r>
              <w:rPr>
                <w:rFonts w:cstheme="minorHAnsi"/>
              </w:rPr>
              <w:t>There will be production of waste water, that after undergoing treatment can be used for irrigation in farms.</w:t>
            </w:r>
          </w:p>
          <w:p w14:paraId="14A18FC9">
            <w:pPr>
              <w:tabs>
                <w:tab w:val="left" w:pos="709"/>
              </w:tabs>
              <w:spacing w:before="100" w:beforeAutospacing="1" w:after="100" w:afterAutospacing="1" w:line="240" w:lineRule="auto"/>
              <w:jc w:val="both"/>
              <w:rPr>
                <w:rFonts w:cstheme="minorHAnsi"/>
              </w:rPr>
            </w:pPr>
            <w:r>
              <w:rPr>
                <w:rFonts w:cstheme="minorHAnsi"/>
              </w:rPr>
              <w:t>The dried sludge could be used as manure, or processed into briquettes.</w:t>
            </w:r>
          </w:p>
        </w:tc>
      </w:tr>
      <w:tr w14:paraId="68F202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77" w:type="dxa"/>
          </w:tcPr>
          <w:p w14:paraId="01524B3E">
            <w:pPr>
              <w:tabs>
                <w:tab w:val="left" w:pos="709"/>
              </w:tabs>
              <w:spacing w:before="100" w:beforeAutospacing="1" w:after="100" w:afterAutospacing="1" w:line="240" w:lineRule="auto"/>
              <w:jc w:val="both"/>
              <w:rPr>
                <w:rFonts w:cstheme="minorHAnsi"/>
              </w:rPr>
            </w:pPr>
            <w:r>
              <w:rPr>
                <w:rFonts w:cstheme="minorHAnsi"/>
              </w:rPr>
              <w:t>6</w:t>
            </w:r>
          </w:p>
        </w:tc>
        <w:tc>
          <w:tcPr>
            <w:tcW w:w="3908" w:type="dxa"/>
          </w:tcPr>
          <w:p w14:paraId="4D1D4329">
            <w:pPr>
              <w:tabs>
                <w:tab w:val="left" w:pos="709"/>
              </w:tabs>
              <w:spacing w:before="100" w:beforeAutospacing="1" w:after="100" w:afterAutospacing="1" w:line="240" w:lineRule="auto"/>
              <w:jc w:val="both"/>
              <w:rPr>
                <w:rFonts w:cstheme="minorHAnsi"/>
              </w:rPr>
            </w:pPr>
            <w:r>
              <w:rPr>
                <w:rFonts w:cstheme="minorHAnsi"/>
              </w:rPr>
              <w:t>The attendees expressed their concern with the client, thus were reluctant if the project will be successful given the past incidences of corruption that have led to project failures in the community, and thus were requesting that the project to be taken with the serious it deserves  by audits to prevent project failures.</w:t>
            </w:r>
          </w:p>
        </w:tc>
        <w:tc>
          <w:tcPr>
            <w:tcW w:w="4866" w:type="dxa"/>
          </w:tcPr>
          <w:p w14:paraId="76A66808">
            <w:pPr>
              <w:tabs>
                <w:tab w:val="left" w:pos="709"/>
              </w:tabs>
              <w:spacing w:before="100" w:beforeAutospacing="1" w:after="100" w:afterAutospacing="1" w:line="240" w:lineRule="auto"/>
              <w:jc w:val="both"/>
              <w:rPr>
                <w:rFonts w:cstheme="minorHAnsi"/>
              </w:rPr>
            </w:pPr>
            <w:r>
              <w:rPr>
                <w:rFonts w:cstheme="minorHAnsi"/>
              </w:rPr>
              <w:t>This was noted.</w:t>
            </w:r>
          </w:p>
        </w:tc>
      </w:tr>
    </w:tbl>
    <w:p w14:paraId="27662578">
      <w:pPr>
        <w:tabs>
          <w:tab w:val="left" w:pos="709"/>
        </w:tabs>
        <w:spacing w:before="100" w:beforeAutospacing="1" w:after="100" w:afterAutospacing="1" w:line="240" w:lineRule="auto"/>
        <w:contextualSpacing/>
        <w:jc w:val="both"/>
        <w:rPr>
          <w:rFonts w:cstheme="minorHAnsi"/>
        </w:rPr>
      </w:pPr>
    </w:p>
    <w:p w14:paraId="14B8465C">
      <w:pPr>
        <w:tabs>
          <w:tab w:val="left" w:pos="709"/>
        </w:tabs>
        <w:spacing w:before="100" w:beforeAutospacing="1" w:after="100" w:afterAutospacing="1" w:line="240" w:lineRule="auto"/>
        <w:contextualSpacing/>
        <w:jc w:val="both"/>
        <w:rPr>
          <w:rFonts w:cstheme="minorHAnsi"/>
          <w:b/>
          <w:u w:val="single"/>
        </w:rPr>
      </w:pPr>
      <w:r>
        <w:rPr>
          <w:rFonts w:cstheme="minorHAnsi"/>
          <w:b/>
          <w:u w:val="single"/>
        </w:rPr>
        <w:t>MIN 4/03/2024: Other issues raised</w:t>
      </w:r>
    </w:p>
    <w:p w14:paraId="7C70021F">
      <w:pPr>
        <w:tabs>
          <w:tab w:val="left" w:pos="709"/>
        </w:tabs>
        <w:spacing w:before="100" w:beforeAutospacing="1" w:after="100" w:afterAutospacing="1" w:line="240" w:lineRule="auto"/>
        <w:contextualSpacing/>
        <w:jc w:val="both"/>
        <w:rPr>
          <w:rFonts w:cstheme="minorHAnsi"/>
        </w:rPr>
      </w:pPr>
    </w:p>
    <w:p w14:paraId="700E6322">
      <w:pPr>
        <w:tabs>
          <w:tab w:val="left" w:pos="709"/>
        </w:tabs>
        <w:spacing w:before="100" w:beforeAutospacing="1" w:after="100" w:afterAutospacing="1" w:line="240" w:lineRule="auto"/>
        <w:contextualSpacing/>
        <w:jc w:val="both"/>
        <w:rPr>
          <w:rFonts w:cstheme="minorHAnsi"/>
        </w:rPr>
      </w:pPr>
      <w:r>
        <w:rPr>
          <w:rFonts w:cstheme="minorHAnsi"/>
        </w:rPr>
        <w:t xml:space="preserve">The members raised an issue about the communication for the different meetings attendance since they said sometimes some of them don’t get the information when a meeting is supposed to take place. </w:t>
      </w:r>
    </w:p>
    <w:p w14:paraId="72FE0390">
      <w:pPr>
        <w:tabs>
          <w:tab w:val="left" w:pos="709"/>
        </w:tabs>
        <w:spacing w:before="100" w:beforeAutospacing="1" w:after="100" w:afterAutospacing="1" w:line="240" w:lineRule="auto"/>
        <w:contextualSpacing/>
        <w:jc w:val="both"/>
        <w:rPr>
          <w:rFonts w:cstheme="minorHAnsi"/>
        </w:rPr>
      </w:pPr>
      <w:r>
        <w:rPr>
          <w:rFonts w:cstheme="minorHAnsi"/>
        </w:rPr>
        <w:t>They requested that during project implementation casual laborers should be locals within the community and not sourced from somewhere else. The community also raised an issue on the awarding of contracts to contractors, they emphasized that they would like to have a member of the community getting the tender for the job.</w:t>
      </w:r>
    </w:p>
    <w:p w14:paraId="15DBA107">
      <w:pPr>
        <w:tabs>
          <w:tab w:val="left" w:pos="709"/>
        </w:tabs>
        <w:spacing w:before="100" w:beforeAutospacing="1" w:after="100" w:afterAutospacing="1" w:line="240" w:lineRule="auto"/>
        <w:contextualSpacing/>
        <w:jc w:val="both"/>
        <w:rPr>
          <w:rFonts w:cstheme="minorHAnsi"/>
        </w:rPr>
      </w:pPr>
    </w:p>
    <w:p w14:paraId="25BD4ACF">
      <w:pPr>
        <w:tabs>
          <w:tab w:val="left" w:pos="709"/>
        </w:tabs>
        <w:spacing w:before="100" w:beforeAutospacing="1" w:after="100" w:afterAutospacing="1" w:line="240" w:lineRule="auto"/>
        <w:jc w:val="both"/>
        <w:rPr>
          <w:b/>
        </w:rPr>
      </w:pPr>
      <w:r>
        <w:rPr>
          <w:b/>
        </w:rPr>
        <w:t>AOB</w:t>
      </w:r>
    </w:p>
    <w:p w14:paraId="69EBA2B1">
      <w:pPr>
        <w:tabs>
          <w:tab w:val="left" w:pos="709"/>
        </w:tabs>
        <w:spacing w:before="100" w:beforeAutospacing="1" w:after="100" w:afterAutospacing="1" w:line="240" w:lineRule="auto"/>
        <w:jc w:val="both"/>
      </w:pPr>
      <w:r>
        <w:t>There being no any other business, the meeting ended with a word of prayer from Abdi Mohammed.</w:t>
      </w:r>
    </w:p>
    <w:p w14:paraId="0FCD42AF">
      <w:pPr>
        <w:tabs>
          <w:tab w:val="left" w:pos="709"/>
        </w:tabs>
        <w:spacing w:before="100" w:beforeAutospacing="1" w:after="100" w:afterAutospacing="1" w:line="240" w:lineRule="auto"/>
        <w:jc w:val="both"/>
        <w:rPr>
          <w:b/>
        </w:rPr>
      </w:pPr>
      <w:r>
        <w:rPr>
          <w:b/>
        </w:rPr>
        <w:t>Meeting Minutes prepared by;</w:t>
      </w:r>
    </w:p>
    <w:p w14:paraId="5083FA02">
      <w:pPr>
        <w:tabs>
          <w:tab w:val="left" w:pos="709"/>
        </w:tabs>
        <w:spacing w:before="100" w:beforeAutospacing="1" w:after="100" w:afterAutospacing="1" w:line="240" w:lineRule="auto"/>
        <w:jc w:val="both"/>
      </w:pPr>
      <w:r>
        <w:t>Name ......</w:t>
      </w:r>
      <w:r>
        <w:rPr>
          <w:i/>
        </w:rPr>
        <w:t>Saraphina Nasimiyu</w:t>
      </w:r>
      <w:r>
        <w:t>...........</w:t>
      </w:r>
    </w:p>
    <w:p w14:paraId="721AEEAC">
      <w:pPr>
        <w:tabs>
          <w:tab w:val="left" w:pos="709"/>
        </w:tabs>
        <w:spacing w:before="100" w:beforeAutospacing="1" w:after="100" w:afterAutospacing="1" w:line="240" w:lineRule="auto"/>
        <w:jc w:val="both"/>
      </w:pPr>
      <w:r>
        <w:t>Signature ..............</w:t>
      </w:r>
      <w:r>
        <w:rPr>
          <w:rFonts w:eastAsia="Times New Roman" w:cs="Times New Roman"/>
          <w:snapToGrid w:val="0"/>
          <w:color w:val="000000"/>
          <w:w w:val="0"/>
          <w:u w:color="000000"/>
          <w:shd w:val="clear" w:color="000000" w:fill="000000"/>
          <w:lang w:val="zh-CN" w:eastAsia="zh-CN" w:bidi="zh-CN"/>
        </w:rPr>
        <w:t xml:space="preserve"> </w:t>
      </w:r>
      <w:r>
        <w:drawing>
          <wp:inline distT="0" distB="0" distL="0" distR="0">
            <wp:extent cx="691515" cy="318135"/>
            <wp:effectExtent l="0" t="0" r="0" b="5715"/>
            <wp:docPr id="45" name="Picture 45" descr="C:\Users\Ndava\Downloads\WhatsApp Image 2024-08-02 at 07.42.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Users\Ndava\Downloads\WhatsApp Image 2024-08-02 at 07.42.24.jpeg"/>
                    <pic:cNvPicPr>
                      <a:picLocks noChangeAspect="1" noChangeArrowheads="1"/>
                    </pic:cNvPicPr>
                  </pic:nvPicPr>
                  <pic:blipFill>
                    <a:blip r:embed="rId92" cstate="print">
                      <a:extLst>
                        <a:ext uri="{28A0092B-C50C-407E-A947-70E740481C1C}">
                          <a14:useLocalDpi xmlns:a14="http://schemas.microsoft.com/office/drawing/2010/main" val="0"/>
                        </a:ext>
                      </a:extLst>
                    </a:blip>
                    <a:srcRect t="29968"/>
                    <a:stretch>
                      <a:fillRect/>
                    </a:stretch>
                  </pic:blipFill>
                  <pic:spPr>
                    <a:xfrm>
                      <a:off x="0" y="0"/>
                      <a:ext cx="707164" cy="325248"/>
                    </a:xfrm>
                    <a:prstGeom prst="rect">
                      <a:avLst/>
                    </a:prstGeom>
                    <a:noFill/>
                    <a:ln>
                      <a:noFill/>
                    </a:ln>
                  </pic:spPr>
                </pic:pic>
              </a:graphicData>
            </a:graphic>
          </wp:inline>
        </w:drawing>
      </w:r>
      <w:r>
        <w:t>............</w:t>
      </w:r>
    </w:p>
    <w:p w14:paraId="06995B28">
      <w:pPr>
        <w:tabs>
          <w:tab w:val="left" w:pos="709"/>
        </w:tabs>
        <w:spacing w:before="100" w:beforeAutospacing="1" w:after="100" w:afterAutospacing="1" w:line="240" w:lineRule="auto"/>
        <w:jc w:val="both"/>
      </w:pPr>
      <w:r>
        <w:t xml:space="preserve">Date </w:t>
      </w:r>
      <w:r>
        <w:rPr>
          <w:i/>
        </w:rPr>
        <w:t>....31st July 2024............</w:t>
      </w:r>
    </w:p>
    <w:p w14:paraId="5EC2E697">
      <w:pPr>
        <w:tabs>
          <w:tab w:val="left" w:pos="709"/>
        </w:tabs>
        <w:spacing w:before="100" w:beforeAutospacing="1" w:after="100" w:afterAutospacing="1"/>
        <w:jc w:val="both"/>
        <w:sectPr>
          <w:headerReference r:id="rId44" w:type="default"/>
          <w:pgSz w:w="11906" w:h="16838"/>
          <w:pgMar w:top="1440" w:right="1440" w:bottom="1440" w:left="1440" w:header="709" w:footer="709" w:gutter="0"/>
          <w:cols w:space="708" w:num="1"/>
          <w:docGrid w:linePitch="360" w:charSpace="0"/>
        </w:sectPr>
      </w:pPr>
    </w:p>
    <w:p w14:paraId="0703FB91">
      <w:pPr>
        <w:pStyle w:val="23"/>
      </w:pPr>
      <w:bookmarkStart w:id="643" w:name="_Ref179552175"/>
      <w:bookmarkStart w:id="644" w:name="_Toc179556807"/>
      <w:r>
        <w:t xml:space="preserve">Appendix </w:t>
      </w:r>
      <w:r>
        <w:fldChar w:fldCharType="begin"/>
      </w:r>
      <w:r>
        <w:instrText xml:space="preserve"> SEQ Appendix \* ARABIC </w:instrText>
      </w:r>
      <w:r>
        <w:fldChar w:fldCharType="separate"/>
      </w:r>
      <w:r>
        <w:t>7</w:t>
      </w:r>
      <w:r>
        <w:fldChar w:fldCharType="end"/>
      </w:r>
      <w:bookmarkEnd w:id="643"/>
      <w:r>
        <w:t>: Land Ownership Documents</w:t>
      </w:r>
      <w:bookmarkEnd w:id="644"/>
    </w:p>
    <w:tbl>
      <w:tblPr>
        <w:tblStyle w:val="86"/>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224"/>
      </w:tblGrid>
      <w:tr w14:paraId="68C243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16" w:type="dxa"/>
          </w:tcPr>
          <w:p w14:paraId="7F5B330C">
            <w:pPr>
              <w:spacing w:after="0"/>
              <w:rPr>
                <w:rFonts w:cstheme="minorHAnsi"/>
                <w:lang w:val="en-GB" w:eastAsia="ja-JP"/>
              </w:rPr>
            </w:pPr>
            <w:r>
              <w:rPr>
                <w:rFonts w:cstheme="minorHAnsi"/>
              </w:rPr>
              <w:drawing>
                <wp:inline distT="0" distB="0" distL="0" distR="0">
                  <wp:extent cx="5579110" cy="7955915"/>
                  <wp:effectExtent l="0" t="0" r="254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a:xfrm>
                            <a:off x="0" y="0"/>
                            <a:ext cx="5579346" cy="7956000"/>
                          </a:xfrm>
                          <a:prstGeom prst="rect">
                            <a:avLst/>
                          </a:prstGeom>
                          <a:noFill/>
                          <a:ln>
                            <a:noFill/>
                          </a:ln>
                        </pic:spPr>
                      </pic:pic>
                    </a:graphicData>
                  </a:graphic>
                </wp:inline>
              </w:drawing>
            </w:r>
          </w:p>
        </w:tc>
      </w:tr>
      <w:tr w14:paraId="0EB2B2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16" w:type="dxa"/>
          </w:tcPr>
          <w:p w14:paraId="5766680E">
            <w:pPr>
              <w:spacing w:after="0"/>
              <w:rPr>
                <w:rFonts w:cstheme="minorHAnsi"/>
              </w:rPr>
            </w:pPr>
            <w:r>
              <w:rPr>
                <w:rFonts w:cstheme="minorHAnsi"/>
              </w:rPr>
              <w:drawing>
                <wp:inline distT="0" distB="0" distL="0" distR="0">
                  <wp:extent cx="5699125" cy="7846695"/>
                  <wp:effectExtent l="0" t="0" r="0" b="190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a:xfrm>
                            <a:off x="0" y="0"/>
                            <a:ext cx="5699125" cy="7846695"/>
                          </a:xfrm>
                          <a:prstGeom prst="rect">
                            <a:avLst/>
                          </a:prstGeom>
                          <a:noFill/>
                          <a:ln>
                            <a:noFill/>
                          </a:ln>
                        </pic:spPr>
                      </pic:pic>
                    </a:graphicData>
                  </a:graphic>
                </wp:inline>
              </w:drawing>
            </w:r>
          </w:p>
        </w:tc>
      </w:tr>
      <w:tr w14:paraId="55148B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016" w:type="dxa"/>
          </w:tcPr>
          <w:p w14:paraId="1C3FC27A">
            <w:pPr>
              <w:spacing w:after="0"/>
              <w:rPr>
                <w:rFonts w:cstheme="minorHAnsi"/>
              </w:rPr>
            </w:pPr>
            <w:r>
              <w:rPr>
                <w:rFonts w:cstheme="minorHAnsi"/>
              </w:rPr>
              <w:drawing>
                <wp:inline distT="0" distB="0" distL="0" distR="0">
                  <wp:extent cx="5720080" cy="793178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5720080" cy="7931785"/>
                          </a:xfrm>
                          <a:prstGeom prst="rect">
                            <a:avLst/>
                          </a:prstGeom>
                          <a:noFill/>
                          <a:ln>
                            <a:noFill/>
                          </a:ln>
                        </pic:spPr>
                      </pic:pic>
                    </a:graphicData>
                  </a:graphic>
                </wp:inline>
              </w:drawing>
            </w:r>
          </w:p>
        </w:tc>
      </w:tr>
    </w:tbl>
    <w:p w14:paraId="02E1E81C">
      <w:pPr>
        <w:rPr>
          <w:lang w:val="en-GB" w:eastAsia="ja-JP"/>
        </w:rPr>
        <w:sectPr>
          <w:headerReference r:id="rId45" w:type="default"/>
          <w:pgSz w:w="11906" w:h="16838"/>
          <w:pgMar w:top="1440" w:right="1440" w:bottom="1440" w:left="1440" w:header="709" w:footer="709" w:gutter="0"/>
          <w:cols w:space="708" w:num="1"/>
          <w:docGrid w:linePitch="360" w:charSpace="0"/>
        </w:sectPr>
      </w:pPr>
    </w:p>
    <w:p w14:paraId="004EB8C2">
      <w:pPr>
        <w:pStyle w:val="23"/>
      </w:pPr>
      <w:bookmarkStart w:id="645" w:name="_Toc179556808"/>
      <w:r>
        <w:t xml:space="preserve">Appendix </w:t>
      </w:r>
      <w:r>
        <w:fldChar w:fldCharType="begin"/>
      </w:r>
      <w:r>
        <w:instrText xml:space="preserve"> SEQ Appendix \* ARABIC </w:instrText>
      </w:r>
      <w:r>
        <w:fldChar w:fldCharType="separate"/>
      </w:r>
      <w:r>
        <w:t>8</w:t>
      </w:r>
      <w:r>
        <w:fldChar w:fldCharType="end"/>
      </w:r>
      <w:r>
        <w:t>: Proposed FSTP Schematics</w:t>
      </w:r>
      <w:bookmarkEnd w:id="645"/>
    </w:p>
    <w:p w14:paraId="6712AC43">
      <w:pPr>
        <w:pBdr>
          <w:top w:val="single" w:color="auto" w:sz="4" w:space="1"/>
          <w:left w:val="single" w:color="auto" w:sz="4" w:space="4"/>
          <w:bottom w:val="single" w:color="auto" w:sz="4" w:space="1"/>
          <w:right w:val="single" w:color="auto" w:sz="4" w:space="4"/>
        </w:pBdr>
        <w:tabs>
          <w:tab w:val="left" w:pos="709"/>
        </w:tabs>
        <w:spacing w:before="100" w:beforeAutospacing="1" w:after="100" w:afterAutospacing="1"/>
        <w:jc w:val="both"/>
        <w:rPr>
          <w:lang w:val="en-GB"/>
        </w:rPr>
      </w:pPr>
      <w:r>
        <mc:AlternateContent>
          <mc:Choice Requires="wps">
            <w:drawing>
              <wp:anchor distT="0" distB="0" distL="114300" distR="114300" simplePos="0" relativeHeight="251668480" behindDoc="0" locked="0" layoutInCell="1" allowOverlap="1">
                <wp:simplePos x="0" y="0"/>
                <wp:positionH relativeFrom="column">
                  <wp:posOffset>2625725</wp:posOffset>
                </wp:positionH>
                <wp:positionV relativeFrom="paragraph">
                  <wp:posOffset>293370</wp:posOffset>
                </wp:positionV>
                <wp:extent cx="777240" cy="709295"/>
                <wp:effectExtent l="0" t="0" r="3810" b="0"/>
                <wp:wrapNone/>
                <wp:docPr id="49" name="Rectangle 49"/>
                <wp:cNvGraphicFramePr/>
                <a:graphic xmlns:a="http://schemas.openxmlformats.org/drawingml/2006/main">
                  <a:graphicData uri="http://schemas.microsoft.com/office/word/2010/wordprocessingShape">
                    <wps:wsp>
                      <wps:cNvSpPr/>
                      <wps:spPr>
                        <a:xfrm>
                          <a:off x="0" y="0"/>
                          <a:ext cx="777484" cy="709027"/>
                        </a:xfrm>
                        <a:prstGeom prst="rect">
                          <a:avLst/>
                        </a:prstGeom>
                        <a:solidFill>
                          <a:srgbClr val="ED7D31">
                            <a:alpha val="50000"/>
                          </a:srgbClr>
                        </a:solidFill>
                        <a:ln>
                          <a:noFill/>
                        </a:ln>
                        <a:effectLst/>
                      </wps:spPr>
                      <wps:txbx>
                        <w:txbxContent>
                          <w:p w14:paraId="52E175A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9" o:spid="_x0000_s1026" o:spt="1" style="position:absolute;left:0pt;margin-left:206.75pt;margin-top:23.1pt;height:55.85pt;width:61.2pt;z-index:251668480;v-text-anchor:middle;mso-width-relative:page;mso-height-relative:page;" fillcolor="#ED7D31" filled="t" stroked="f" coordsize="21600,21600" o:gfxdata="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DtrWR3YAAAACgEAAA8AAAAAAAAA&#10;AQAgAAAAIgAAAGRycy9kb3ducmV2LnhtbFBLAQIUABQAAAAIAIdO4kCKSjp4SgIAAK4EAAAOAAAA&#10;AAAAAAEAIAAAACcBAABkcnMvZTJvRG9jLnhtbFBLBQYAAAAABgAGAFkBAADjBQAAAAA=&#10;">
                <v:fill on="t" opacity="32768f" focussize="0,0"/>
                <v:stroke on="f"/>
                <v:imagedata o:title=""/>
                <o:lock v:ext="edit" aspectratio="f"/>
                <v:textbox>
                  <w:txbxContent>
                    <w:p w14:paraId="52E175AA">
                      <w:pPr>
                        <w:jc w:val="center"/>
                      </w:pPr>
                    </w:p>
                  </w:txbxContent>
                </v:textbox>
              </v:rect>
            </w:pict>
          </mc:Fallback>
        </mc:AlternateContent>
      </w:r>
      <w:r>
        <mc:AlternateContent>
          <mc:Choice Requires="wps">
            <w:drawing>
              <wp:anchor distT="0" distB="0" distL="114300" distR="114300" simplePos="0" relativeHeight="251669504" behindDoc="0" locked="0" layoutInCell="1" allowOverlap="1">
                <wp:simplePos x="0" y="0"/>
                <wp:positionH relativeFrom="column">
                  <wp:posOffset>2626360</wp:posOffset>
                </wp:positionH>
                <wp:positionV relativeFrom="paragraph">
                  <wp:posOffset>2200910</wp:posOffset>
                </wp:positionV>
                <wp:extent cx="777240" cy="709295"/>
                <wp:effectExtent l="0" t="0" r="3810" b="0"/>
                <wp:wrapNone/>
                <wp:docPr id="50" name="Rectangle 50"/>
                <wp:cNvGraphicFramePr/>
                <a:graphic xmlns:a="http://schemas.openxmlformats.org/drawingml/2006/main">
                  <a:graphicData uri="http://schemas.microsoft.com/office/word/2010/wordprocessingShape">
                    <wps:wsp>
                      <wps:cNvSpPr/>
                      <wps:spPr>
                        <a:xfrm>
                          <a:off x="0" y="0"/>
                          <a:ext cx="777484" cy="709027"/>
                        </a:xfrm>
                        <a:prstGeom prst="rect">
                          <a:avLst/>
                        </a:prstGeom>
                        <a:solidFill>
                          <a:srgbClr val="ED7D31">
                            <a:alpha val="50000"/>
                          </a:srgbClr>
                        </a:solidFill>
                        <a:ln>
                          <a:noFill/>
                        </a:ln>
                        <a:effectLst/>
                      </wps:spPr>
                      <wps:txbx>
                        <w:txbxContent>
                          <w:p w14:paraId="790CEBA8">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50" o:spid="_x0000_s1026" o:spt="1" style="position:absolute;left:0pt;margin-left:206.8pt;margin-top:173.3pt;height:55.85pt;width:61.2pt;z-index:251669504;v-text-anchor:middle;mso-width-relative:page;mso-height-relative:page;" fillcolor="#ED7D31" filled="t" stroked="f" coordsize="21600,21600" o:gfxdata="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Ct/FjnZAAAACwEAAA8AAAAAAAAA&#10;AQAgAAAAIgAAAGRycy9kb3ducmV2LnhtbFBLAQIUABQAAAAIAIdO4kCSJlm+SQIAAK4EAAAOAAAA&#10;AAAAAAEAIAAAACgBAABkcnMvZTJvRG9jLnhtbFBLBQYAAAAABgAGAFkBAADjBQAAAAA=&#10;">
                <v:fill on="t" opacity="32768f" focussize="0,0"/>
                <v:stroke on="f"/>
                <v:imagedata o:title=""/>
                <o:lock v:ext="edit" aspectratio="f"/>
                <v:textbox>
                  <w:txbxContent>
                    <w:p w14:paraId="790CEBA8">
                      <w:pPr>
                        <w:jc w:val="center"/>
                      </w:pPr>
                    </w:p>
                  </w:txbxContent>
                </v:textbox>
              </v:rect>
            </w:pict>
          </mc:Fallback>
        </mc:AlternateContent>
      </w:r>
      <w:r>
        <mc:AlternateContent>
          <mc:Choice Requires="wps">
            <w:drawing>
              <wp:anchor distT="0" distB="0" distL="114300" distR="114300" simplePos="0" relativeHeight="251666432" behindDoc="0" locked="0" layoutInCell="1" allowOverlap="1">
                <wp:simplePos x="0" y="0"/>
                <wp:positionH relativeFrom="column">
                  <wp:posOffset>2625725</wp:posOffset>
                </wp:positionH>
                <wp:positionV relativeFrom="paragraph">
                  <wp:posOffset>1232535</wp:posOffset>
                </wp:positionV>
                <wp:extent cx="777240" cy="709295"/>
                <wp:effectExtent l="0" t="0" r="3810" b="0"/>
                <wp:wrapNone/>
                <wp:docPr id="42" name="Rectangle 42"/>
                <wp:cNvGraphicFramePr/>
                <a:graphic xmlns:a="http://schemas.openxmlformats.org/drawingml/2006/main">
                  <a:graphicData uri="http://schemas.microsoft.com/office/word/2010/wordprocessingShape">
                    <wps:wsp>
                      <wps:cNvSpPr/>
                      <wps:spPr>
                        <a:xfrm>
                          <a:off x="0" y="0"/>
                          <a:ext cx="777484" cy="709027"/>
                        </a:xfrm>
                        <a:prstGeom prst="rect">
                          <a:avLst/>
                        </a:prstGeom>
                        <a:solidFill>
                          <a:schemeClr val="accent2">
                            <a:alpha val="50000"/>
                          </a:schemeClr>
                        </a:solidFill>
                        <a:ln>
                          <a:noFill/>
                        </a:ln>
                      </wps:spPr>
                      <wps:style>
                        <a:lnRef idx="0">
                          <a:scrgbClr r="0" g="0" b="0"/>
                        </a:lnRef>
                        <a:fillRef idx="0">
                          <a:scrgbClr r="0" g="0" b="0"/>
                        </a:fillRef>
                        <a:effectRef idx="0">
                          <a:scrgbClr r="0" g="0" b="0"/>
                        </a:effectRef>
                        <a:fontRef idx="minor">
                          <a:schemeClr val="lt1"/>
                        </a:fontRef>
                      </wps:style>
                      <wps:txbx>
                        <w:txbxContent>
                          <w:p w14:paraId="0C1A8D69">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2" o:spid="_x0000_s1026" o:spt="1" style="position:absolute;left:0pt;margin-left:206.75pt;margin-top:97.05pt;height:55.85pt;width:61.2pt;z-index:251666432;v-text-anchor:middle;mso-width-relative:page;mso-height-relative:page;" fillcolor="#ED7D31 [3205]" filled="t" stroked="f" coordsize="21600,21600" o:gfxdata="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xS68j2QAAAAsBAAAPAAAAAAAAAAEAIAAA&#10;ACIAAABkcnMvZG93bnJldi54bWxQSwECFAAUAAAACACHTuJAeITkuUQCAACgBAAADgAAAAAAAAAB&#10;ACAAAAAoAQAAZHJzL2Uyb0RvYy54bWxQSwUGAAAAAAYABgBZAQAA3gUAAAAA&#10;">
                <v:fill on="t" opacity="32768f" focussize="0,0"/>
                <v:stroke on="f"/>
                <v:imagedata o:title=""/>
                <o:lock v:ext="edit" aspectratio="f"/>
                <v:textbox>
                  <w:txbxContent>
                    <w:p w14:paraId="0C1A8D69">
                      <w:pPr>
                        <w:jc w:val="center"/>
                      </w:pPr>
                    </w:p>
                  </w:txbxContent>
                </v:textbox>
              </v:rect>
            </w:pict>
          </mc:Fallback>
        </mc:AlternateContent>
      </w:r>
      <w:r>
        <mc:AlternateContent>
          <mc:Choice Requires="wps">
            <w:drawing>
              <wp:anchor distT="0" distB="0" distL="114300" distR="114300" simplePos="0" relativeHeight="251661312" behindDoc="0" locked="0" layoutInCell="1" allowOverlap="1">
                <wp:simplePos x="0" y="0"/>
                <wp:positionH relativeFrom="column">
                  <wp:posOffset>3862705</wp:posOffset>
                </wp:positionH>
                <wp:positionV relativeFrom="paragraph">
                  <wp:posOffset>1271270</wp:posOffset>
                </wp:positionV>
                <wp:extent cx="2180590" cy="635635"/>
                <wp:effectExtent l="0" t="0" r="10795" b="12065"/>
                <wp:wrapNone/>
                <wp:docPr id="30" name="Rectangle 30"/>
                <wp:cNvGraphicFramePr/>
                <a:graphic xmlns:a="http://schemas.openxmlformats.org/drawingml/2006/main">
                  <a:graphicData uri="http://schemas.microsoft.com/office/word/2010/wordprocessingShape">
                    <wps:wsp>
                      <wps:cNvSpPr/>
                      <wps:spPr>
                        <a:xfrm>
                          <a:off x="0" y="0"/>
                          <a:ext cx="2180274" cy="635679"/>
                        </a:xfrm>
                        <a:prstGeom prst="rect">
                          <a:avLst/>
                        </a:prstGeom>
                      </wps:spPr>
                      <wps:style>
                        <a:lnRef idx="2">
                          <a:schemeClr val="accent4"/>
                        </a:lnRef>
                        <a:fillRef idx="1">
                          <a:schemeClr val="lt1"/>
                        </a:fillRef>
                        <a:effectRef idx="0">
                          <a:schemeClr val="accent4"/>
                        </a:effectRef>
                        <a:fontRef idx="minor">
                          <a:schemeClr val="dk1"/>
                        </a:fontRef>
                      </wps:style>
                      <wps:txbx>
                        <w:txbxContent>
                          <w:p w14:paraId="7E5A0599">
                            <w:pPr>
                              <w:jc w:val="center"/>
                              <w:rPr>
                                <w:lang w:val="en-GB"/>
                              </w:rPr>
                            </w:pPr>
                          </w:p>
                          <w:p w14:paraId="5E95BB30">
                            <w:pPr>
                              <w:jc w:val="center"/>
                              <w:rPr>
                                <w:lang w:val="en-GB"/>
                              </w:rPr>
                            </w:pPr>
                            <w:r>
                              <w:rPr>
                                <w:lang w:val="en-GB"/>
                              </w:rPr>
                              <w:t>Facultative Ponds</w:t>
                            </w:r>
                          </w:p>
                          <w:p w14:paraId="313AFCFA">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30" o:spid="_x0000_s1026" o:spt="1" style="position:absolute;left:0pt;margin-left:304.15pt;margin-top:100.1pt;height:50.05pt;width:171.7pt;z-index:251661312;v-text-anchor:middle;mso-width-relative:page;mso-height-relative:page;" fillcolor="#FFFFFF [3201]" filled="t" stroked="t" coordsize="21600,21600" o:gfxdata="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AxSV+E2AAAAAsBAAAPAAAAAAAAAAEAIAAAACIAAABkcnMvZG93bnJl&#10;di54bWxQSwECFAAUAAAACACHTuJATWxLaW8CAAAEBQAADgAAAAAAAAABACAAAAAnAQAAZHJzL2Uy&#10;b0RvYy54bWxQSwUGAAAAAAYABgBZAQAACAYAAAAA&#10;">
                <v:fill on="t" focussize="0,0"/>
                <v:stroke weight="1pt" color="#FFC000 [3207]" miterlimit="8" joinstyle="miter"/>
                <v:imagedata o:title=""/>
                <o:lock v:ext="edit" aspectratio="f"/>
                <v:textbox>
                  <w:txbxContent>
                    <w:p w14:paraId="7E5A0599">
                      <w:pPr>
                        <w:jc w:val="center"/>
                        <w:rPr>
                          <w:lang w:val="en-GB"/>
                        </w:rPr>
                      </w:pPr>
                    </w:p>
                    <w:p w14:paraId="5E95BB30">
                      <w:pPr>
                        <w:jc w:val="center"/>
                        <w:rPr>
                          <w:lang w:val="en-GB"/>
                        </w:rPr>
                      </w:pPr>
                      <w:r>
                        <w:rPr>
                          <w:lang w:val="en-GB"/>
                        </w:rPr>
                        <w:t>Facultative Ponds</w:t>
                      </w:r>
                    </w:p>
                    <w:p w14:paraId="313AFCFA">
                      <w:pPr>
                        <w:jc w:val="center"/>
                      </w:pPr>
                    </w:p>
                  </w:txbxContent>
                </v:textbox>
              </v:rect>
            </w:pict>
          </mc:Fallback>
        </mc:AlternateContent>
      </w:r>
      <w:r>
        <mc:AlternateContent>
          <mc:Choice Requires="wps">
            <w:drawing>
              <wp:anchor distT="0" distB="0" distL="114300" distR="114300" simplePos="0" relativeHeight="251667456" behindDoc="0" locked="0" layoutInCell="1" allowOverlap="1">
                <wp:simplePos x="0" y="0"/>
                <wp:positionH relativeFrom="column">
                  <wp:posOffset>3862705</wp:posOffset>
                </wp:positionH>
                <wp:positionV relativeFrom="paragraph">
                  <wp:posOffset>2176145</wp:posOffset>
                </wp:positionV>
                <wp:extent cx="2156460" cy="610235"/>
                <wp:effectExtent l="0" t="0" r="15875" b="18415"/>
                <wp:wrapNone/>
                <wp:docPr id="46" name="Rectangle 46"/>
                <wp:cNvGraphicFramePr/>
                <a:graphic xmlns:a="http://schemas.openxmlformats.org/drawingml/2006/main">
                  <a:graphicData uri="http://schemas.microsoft.com/office/word/2010/wordprocessingShape">
                    <wps:wsp>
                      <wps:cNvSpPr/>
                      <wps:spPr>
                        <a:xfrm>
                          <a:off x="0" y="0"/>
                          <a:ext cx="2156419" cy="610238"/>
                        </a:xfrm>
                        <a:prstGeom prst="rect">
                          <a:avLst/>
                        </a:prstGeom>
                      </wps:spPr>
                      <wps:style>
                        <a:lnRef idx="2">
                          <a:schemeClr val="accent2"/>
                        </a:lnRef>
                        <a:fillRef idx="1">
                          <a:schemeClr val="lt1"/>
                        </a:fillRef>
                        <a:effectRef idx="0">
                          <a:schemeClr val="accent2"/>
                        </a:effectRef>
                        <a:fontRef idx="minor">
                          <a:schemeClr val="dk1"/>
                        </a:fontRef>
                      </wps:style>
                      <wps:txbx>
                        <w:txbxContent>
                          <w:p w14:paraId="27C95DB0">
                            <w:pPr>
                              <w:jc w:val="center"/>
                              <w:rPr>
                                <w:lang w:val="en-GB"/>
                              </w:rPr>
                            </w:pPr>
                            <w:r>
                              <w:rPr>
                                <w:lang w:val="en-GB"/>
                              </w:rPr>
                              <w:t>Facultative Ponds</w:t>
                            </w:r>
                          </w:p>
                          <w:p w14:paraId="731BDE49">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6" o:spid="_x0000_s1026" o:spt="1" style="position:absolute;left:0pt;margin-left:304.15pt;margin-top:171.35pt;height:48.05pt;width:169.8pt;z-index:251667456;v-text-anchor:middle;mso-width-relative:page;mso-height-relative:page;" fillcolor="#FFFFFF [3201]" filled="t" stroked="t" coordsize="21600,21600" o:gfxdata="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A&#10;AAAAZHJzL1BLAQIUABQAAAAIAIdO4kA31Eq+2wAAAAsBAAAPAAAAAAAAAAEAIAAAACIAAABkcnMv&#10;ZG93bnJldi54bWxQSwECFAAUAAAACACHTuJAG4E/xnICAAAEBQAADgAAAAAAAAABACAAAAAqAQAA&#10;ZHJzL2Uyb0RvYy54bWxQSwUGAAAAAAYABgBZAQAADgYAAAAA&#10;">
                <v:fill on="t" focussize="0,0"/>
                <v:stroke weight="1pt" color="#ED7D31 [3205]" miterlimit="8" joinstyle="miter"/>
                <v:imagedata o:title=""/>
                <o:lock v:ext="edit" aspectratio="f"/>
                <v:textbox>
                  <w:txbxContent>
                    <w:p w14:paraId="27C95DB0">
                      <w:pPr>
                        <w:jc w:val="center"/>
                        <w:rPr>
                          <w:lang w:val="en-GB"/>
                        </w:rPr>
                      </w:pPr>
                      <w:r>
                        <w:rPr>
                          <w:lang w:val="en-GB"/>
                        </w:rPr>
                        <w:t>Facultative Ponds</w:t>
                      </w:r>
                    </w:p>
                    <w:p w14:paraId="731BDE49">
                      <w:pPr>
                        <w:jc w:val="center"/>
                      </w:pPr>
                    </w:p>
                  </w:txbxContent>
                </v:textbox>
              </v:rect>
            </w:pict>
          </mc:Fallback>
        </mc:AlternateContent>
      </w:r>
      <w:r>
        <mc:AlternateContent>
          <mc:Choice Requires="wps">
            <w:drawing>
              <wp:anchor distT="0" distB="0" distL="114300" distR="114300" simplePos="0" relativeHeight="251662336" behindDoc="0" locked="0" layoutInCell="1" allowOverlap="1">
                <wp:simplePos x="0" y="0"/>
                <wp:positionH relativeFrom="column">
                  <wp:posOffset>6566535</wp:posOffset>
                </wp:positionH>
                <wp:positionV relativeFrom="paragraph">
                  <wp:posOffset>327660</wp:posOffset>
                </wp:positionV>
                <wp:extent cx="1129030" cy="444500"/>
                <wp:effectExtent l="0" t="0" r="13970" b="12700"/>
                <wp:wrapNone/>
                <wp:docPr id="38" name="Rectangle 38"/>
                <wp:cNvGraphicFramePr/>
                <a:graphic xmlns:a="http://schemas.openxmlformats.org/drawingml/2006/main">
                  <a:graphicData uri="http://schemas.microsoft.com/office/word/2010/wordprocessingShape">
                    <wps:wsp>
                      <wps:cNvSpPr/>
                      <wps:spPr>
                        <a:xfrm>
                          <a:off x="0" y="0"/>
                          <a:ext cx="1129030" cy="444623"/>
                        </a:xfrm>
                        <a:prstGeom prst="rect">
                          <a:avLst/>
                        </a:prstGeom>
                      </wps:spPr>
                      <wps:style>
                        <a:lnRef idx="2">
                          <a:schemeClr val="accent6"/>
                        </a:lnRef>
                        <a:fillRef idx="1">
                          <a:schemeClr val="lt1"/>
                        </a:fillRef>
                        <a:effectRef idx="0">
                          <a:schemeClr val="accent6"/>
                        </a:effectRef>
                        <a:fontRef idx="minor">
                          <a:schemeClr val="dk1"/>
                        </a:fontRef>
                      </wps:style>
                      <wps:txbx>
                        <w:txbxContent>
                          <w:p w14:paraId="12653572">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38" o:spid="_x0000_s1026" o:spt="1" style="position:absolute;left:0pt;margin-left:517.05pt;margin-top:25.8pt;height:35pt;width:88.9pt;z-index:251662336;v-text-anchor:middle;mso-width-relative:page;mso-height-relative:page;" fillcolor="#FFFFFF [3201]" filled="t" stroked="t" coordsize="21600,21600" o:gfxdata="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LMpIyvaAAAADAEAAA8AAAAAAAAAAQAgAAAAIgAAAGRycy9kb3du&#10;cmV2LnhtbFBLAQIUABQAAAAIAIdO4kC2V8xSbwIAAAQFAAAOAAAAAAAAAAEAIAAAACkBAABkcnMv&#10;ZTJvRG9jLnhtbFBLBQYAAAAABgAGAFkBAAAKBgAAAAA=&#10;">
                <v:fill on="t" focussize="0,0"/>
                <v:stroke weight="1pt" color="#70AD47 [3209]" miterlimit="8" joinstyle="miter"/>
                <v:imagedata o:title=""/>
                <o:lock v:ext="edit" aspectratio="f"/>
                <v:textbox>
                  <w:txbxContent>
                    <w:p w14:paraId="12653572">
                      <w:pPr>
                        <w:jc w:val="center"/>
                      </w:pPr>
                    </w:p>
                  </w:txbxContent>
                </v:textbox>
              </v:rect>
            </w:pict>
          </mc:Fallback>
        </mc:AlternateContent>
      </w:r>
      <w:r>
        <mc:AlternateContent>
          <mc:Choice Requires="wps">
            <w:drawing>
              <wp:anchor distT="0" distB="0" distL="114300" distR="114300" simplePos="0" relativeHeight="251663360" behindDoc="0" locked="0" layoutInCell="1" allowOverlap="1">
                <wp:simplePos x="0" y="0"/>
                <wp:positionH relativeFrom="column">
                  <wp:posOffset>6566535</wp:posOffset>
                </wp:positionH>
                <wp:positionV relativeFrom="paragraph">
                  <wp:posOffset>1716405</wp:posOffset>
                </wp:positionV>
                <wp:extent cx="1129030" cy="445135"/>
                <wp:effectExtent l="0" t="0" r="13970" b="12700"/>
                <wp:wrapNone/>
                <wp:docPr id="39" name="Rectangle 39"/>
                <wp:cNvGraphicFramePr/>
                <a:graphic xmlns:a="http://schemas.openxmlformats.org/drawingml/2006/main">
                  <a:graphicData uri="http://schemas.microsoft.com/office/word/2010/wordprocessingShape">
                    <wps:wsp>
                      <wps:cNvSpPr/>
                      <wps:spPr>
                        <a:xfrm>
                          <a:off x="0" y="0"/>
                          <a:ext cx="1129030" cy="444975"/>
                        </a:xfrm>
                        <a:prstGeom prst="rect">
                          <a:avLst/>
                        </a:prstGeom>
                      </wps:spPr>
                      <wps:style>
                        <a:lnRef idx="2">
                          <a:schemeClr val="accent6"/>
                        </a:lnRef>
                        <a:fillRef idx="1">
                          <a:schemeClr val="lt1"/>
                        </a:fillRef>
                        <a:effectRef idx="0">
                          <a:schemeClr val="accent6"/>
                        </a:effectRef>
                        <a:fontRef idx="minor">
                          <a:schemeClr val="dk1"/>
                        </a:fontRef>
                      </wps:style>
                      <wps:txbx>
                        <w:txbxContent>
                          <w:p w14:paraId="15FD595B">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39" o:spid="_x0000_s1026" o:spt="1" style="position:absolute;left:0pt;margin-left:517.05pt;margin-top:135.15pt;height:35.05pt;width:88.9pt;z-index:251663360;v-text-anchor:middle;mso-width-relative:page;mso-height-relative:page;" fillcolor="#FFFFFF [3201]" filled="t" stroked="t" coordsize="21600,21600" o:gfxdata="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">
                <v:fill on="t" focussize="0,0"/>
                <v:stroke weight="1pt" color="#70AD47 [3209]" miterlimit="8" joinstyle="miter"/>
                <v:imagedata o:title=""/>
                <o:lock v:ext="edit" aspectratio="f"/>
                <v:textbox>
                  <w:txbxContent>
                    <w:p w14:paraId="15FD595B">
                      <w:pPr>
                        <w:jc w:val="center"/>
                      </w:pPr>
                    </w:p>
                  </w:txbxContent>
                </v:textbox>
              </v:rect>
            </w:pict>
          </mc:Fallback>
        </mc:AlternateContent>
      </w:r>
      <w:r>
        <mc:AlternateContent>
          <mc:Choice Requires="wps">
            <w:drawing>
              <wp:anchor distT="0" distB="0" distL="114300" distR="114300" simplePos="0" relativeHeight="251664384" behindDoc="0" locked="0" layoutInCell="1" allowOverlap="1">
                <wp:simplePos x="0" y="0"/>
                <wp:positionH relativeFrom="column">
                  <wp:posOffset>6566535</wp:posOffset>
                </wp:positionH>
                <wp:positionV relativeFrom="paragraph">
                  <wp:posOffset>2361565</wp:posOffset>
                </wp:positionV>
                <wp:extent cx="1129030" cy="425450"/>
                <wp:effectExtent l="0" t="0" r="13970" b="13335"/>
                <wp:wrapNone/>
                <wp:docPr id="40" name="Rectangle 40"/>
                <wp:cNvGraphicFramePr/>
                <a:graphic xmlns:a="http://schemas.openxmlformats.org/drawingml/2006/main">
                  <a:graphicData uri="http://schemas.microsoft.com/office/word/2010/wordprocessingShape">
                    <wps:wsp>
                      <wps:cNvSpPr/>
                      <wps:spPr>
                        <a:xfrm>
                          <a:off x="0" y="0"/>
                          <a:ext cx="1129030" cy="425416"/>
                        </a:xfrm>
                        <a:prstGeom prst="rect">
                          <a:avLst/>
                        </a:prstGeom>
                      </wps:spPr>
                      <wps:style>
                        <a:lnRef idx="2">
                          <a:schemeClr val="accent6"/>
                        </a:lnRef>
                        <a:fillRef idx="1">
                          <a:schemeClr val="lt1"/>
                        </a:fillRef>
                        <a:effectRef idx="0">
                          <a:schemeClr val="accent6"/>
                        </a:effectRef>
                        <a:fontRef idx="minor">
                          <a:schemeClr val="dk1"/>
                        </a:fontRef>
                      </wps:style>
                      <wps:txbx>
                        <w:txbxContent>
                          <w:p w14:paraId="135B49D5">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0" o:spid="_x0000_s1026" o:spt="1" style="position:absolute;left:0pt;margin-left:517.05pt;margin-top:185.95pt;height:33.5pt;width:88.9pt;z-index:251664384;v-text-anchor:middle;mso-width-relative:page;mso-height-relative:page;" fillcolor="#FFFFFF [3201]" filled="t" stroked="t" coordsize="21600,21600" o:gfxdata="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OFrjNvaAAAADQEAAA8AAAAAAAAAAQAgAAAAIgAAAGRycy9kb3du&#10;cmV2LnhtbFBLAQIUABQAAAAIAIdO4kCYqYzNbwIAAAQFAAAOAAAAAAAAAAEAIAAAACkBAABkcnMv&#10;ZTJvRG9jLnhtbFBLBQYAAAAABgAGAFkBAAAKBgAAAAA=&#10;">
                <v:fill on="t" focussize="0,0"/>
                <v:stroke weight="1pt" color="#70AD47 [3209]" miterlimit="8" joinstyle="miter"/>
                <v:imagedata o:title=""/>
                <o:lock v:ext="edit" aspectratio="f"/>
                <v:textbox>
                  <w:txbxContent>
                    <w:p w14:paraId="135B49D5">
                      <w:pPr>
                        <w:jc w:val="center"/>
                      </w:pPr>
                    </w:p>
                  </w:txbxContent>
                </v:textbox>
              </v:rect>
            </w:pict>
          </mc:Fallback>
        </mc:AlternateContent>
      </w:r>
      <w:r>
        <mc:AlternateContent>
          <mc:Choice Requires="wps">
            <w:drawing>
              <wp:anchor distT="0" distB="0" distL="114300" distR="114300" simplePos="0" relativeHeight="251665408" behindDoc="0" locked="0" layoutInCell="1" allowOverlap="1">
                <wp:simplePos x="0" y="0"/>
                <wp:positionH relativeFrom="column">
                  <wp:posOffset>6566535</wp:posOffset>
                </wp:positionH>
                <wp:positionV relativeFrom="paragraph">
                  <wp:posOffset>967740</wp:posOffset>
                </wp:positionV>
                <wp:extent cx="1129030" cy="420370"/>
                <wp:effectExtent l="0" t="0" r="13970" b="17780"/>
                <wp:wrapNone/>
                <wp:docPr id="41" name="Rectangle 41"/>
                <wp:cNvGraphicFramePr/>
                <a:graphic xmlns:a="http://schemas.openxmlformats.org/drawingml/2006/main">
                  <a:graphicData uri="http://schemas.microsoft.com/office/word/2010/wordprocessingShape">
                    <wps:wsp>
                      <wps:cNvSpPr/>
                      <wps:spPr>
                        <a:xfrm>
                          <a:off x="0" y="0"/>
                          <a:ext cx="1129030" cy="420492"/>
                        </a:xfrm>
                        <a:prstGeom prst="rect">
                          <a:avLst/>
                        </a:prstGeom>
                      </wps:spPr>
                      <wps:style>
                        <a:lnRef idx="2">
                          <a:schemeClr val="accent6"/>
                        </a:lnRef>
                        <a:fillRef idx="1">
                          <a:schemeClr val="lt1"/>
                        </a:fillRef>
                        <a:effectRef idx="0">
                          <a:schemeClr val="accent6"/>
                        </a:effectRef>
                        <a:fontRef idx="minor">
                          <a:schemeClr val="dk1"/>
                        </a:fontRef>
                      </wps:style>
                      <wps:txbx>
                        <w:txbxContent>
                          <w:p w14:paraId="278B0431">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41" o:spid="_x0000_s1026" o:spt="1" style="position:absolute;left:0pt;margin-left:517.05pt;margin-top:76.2pt;height:33.1pt;width:88.9pt;z-index:251665408;v-text-anchor:middle;mso-width-relative:page;mso-height-relative:page;" fillcolor="#FFFFFF [3201]" filled="t" stroked="t" coordsize="21600,21600" o:gfxdata="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DaRUIy2wAAAA0BAAAPAAAAAAAAAAEAIAAAACIAAABkcnMvZG93&#10;bnJldi54bWxQSwECFAAUAAAACACHTuJARzsztW8CAAAEBQAADgAAAAAAAAABACAAAAAqAQAAZHJz&#10;L2Uyb0RvYy54bWxQSwUGAAAAAAYABgBZAQAACwYAAAAA&#10;">
                <v:fill on="t" focussize="0,0"/>
                <v:stroke weight="1pt" color="#70AD47 [3209]" miterlimit="8" joinstyle="miter"/>
                <v:imagedata o:title=""/>
                <o:lock v:ext="edit" aspectratio="f"/>
                <v:textbox>
                  <w:txbxContent>
                    <w:p w14:paraId="278B0431">
                      <w:pPr>
                        <w:jc w:val="center"/>
                      </w:pPr>
                    </w:p>
                  </w:txbxContent>
                </v:textbox>
              </v:rect>
            </w:pict>
          </mc:Fallback>
        </mc:AlternateContent>
      </w:r>
      <w:r>
        <w:drawing>
          <wp:inline distT="0" distB="0" distL="0" distR="0">
            <wp:extent cx="8590915" cy="4571365"/>
            <wp:effectExtent l="0" t="0" r="635"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pic:cNvPicPr>
                  </pic:nvPicPr>
                  <pic:blipFill>
                    <a:blip r:embed="rId115" cstate="print">
                      <a:extLst>
                        <a:ext uri="{BEBA8EAE-BF5A-486C-A8C5-ECC9F3942E4B}">
                          <a14:imgProps xmlns:a14="http://schemas.microsoft.com/office/drawing/2010/main">
                            <a14:imgLayer r:embed="rId116">
                              <a14:imgEffect>
                                <a14:sharpenSoften amount="50000"/>
                              </a14:imgEffect>
                            </a14:imgLayer>
                          </a14:imgProps>
                        </a:ext>
                      </a:extLst>
                    </a:blip>
                    <a:srcRect/>
                    <a:stretch>
                      <a:fillRect/>
                    </a:stretch>
                  </pic:blipFill>
                  <pic:spPr>
                    <a:xfrm>
                      <a:off x="0" y="0"/>
                      <a:ext cx="8614834" cy="4584304"/>
                    </a:xfrm>
                    <a:prstGeom prst="rect">
                      <a:avLst/>
                    </a:prstGeom>
                    <a:ln>
                      <a:noFill/>
                    </a:ln>
                  </pic:spPr>
                </pic:pic>
              </a:graphicData>
            </a:graphic>
          </wp:inline>
        </w:drawing>
      </w:r>
    </w:p>
    <w:p w14:paraId="3BF96072">
      <w:pPr>
        <w:tabs>
          <w:tab w:val="left" w:pos="709"/>
        </w:tabs>
        <w:spacing w:before="100" w:beforeAutospacing="1" w:after="100" w:afterAutospacing="1"/>
        <w:jc w:val="both"/>
        <w:sectPr>
          <w:headerReference r:id="rId46" w:type="default"/>
          <w:pgSz w:w="16838" w:h="11906" w:orient="landscape"/>
          <w:pgMar w:top="1440" w:right="1440" w:bottom="1440" w:left="1440" w:header="709" w:footer="709" w:gutter="0"/>
          <w:cols w:space="708" w:num="1"/>
          <w:docGrid w:linePitch="360" w:charSpace="0"/>
        </w:sectPr>
      </w:pPr>
    </w:p>
    <w:p w14:paraId="2912381E">
      <w:pPr>
        <w:pStyle w:val="23"/>
        <w:sectPr>
          <w:headerReference r:id="rId47" w:type="default"/>
          <w:pgSz w:w="11906" w:h="16838"/>
          <w:pgMar w:top="1440" w:right="1440" w:bottom="1440" w:left="1440" w:header="706" w:footer="706" w:gutter="0"/>
          <w:cols w:space="708" w:num="1"/>
          <w:vAlign w:val="center"/>
          <w:docGrid w:linePitch="360" w:charSpace="0"/>
        </w:sectPr>
      </w:pPr>
      <w:bookmarkStart w:id="646" w:name="_Ref179556623"/>
      <w:bookmarkStart w:id="647" w:name="_Toc179556809"/>
      <w:r>
        <w:t xml:space="preserve">Appendix </w:t>
      </w:r>
      <w:r>
        <w:fldChar w:fldCharType="begin"/>
      </w:r>
      <w:r>
        <w:instrText xml:space="preserve"> SEQ Appendix \* ARABIC </w:instrText>
      </w:r>
      <w:r>
        <w:fldChar w:fldCharType="separate"/>
      </w:r>
      <w:r>
        <w:t>9</w:t>
      </w:r>
      <w:r>
        <w:fldChar w:fldCharType="end"/>
      </w:r>
      <w:bookmarkEnd w:id="646"/>
      <w:r>
        <w:t>:</w:t>
      </w:r>
      <w:r>
        <w:tab/>
      </w:r>
      <w:r>
        <w:t>Chance Find Procedure</w:t>
      </w:r>
      <w:bookmarkEnd w:id="647"/>
    </w:p>
    <w:p w14:paraId="61EFCAF3">
      <w:pPr>
        <w:spacing w:after="245" w:line="249" w:lineRule="auto"/>
        <w:ind w:left="10" w:right="44"/>
        <w:rPr>
          <w:b/>
          <w:sz w:val="24"/>
          <w:szCs w:val="24"/>
        </w:rPr>
      </w:pPr>
      <w:r>
        <w:rPr>
          <w:b/>
          <w:sz w:val="24"/>
          <w:szCs w:val="24"/>
        </w:rPr>
        <w:t xml:space="preserve">Purpose of the chance find procedure </w:t>
      </w:r>
    </w:p>
    <w:p w14:paraId="4749C1C4">
      <w:pPr>
        <w:spacing w:after="245" w:line="249" w:lineRule="auto"/>
        <w:ind w:left="10" w:right="44"/>
        <w:rPr>
          <w:rFonts w:eastAsia="Calibri" w:cs="Calibri"/>
          <w:lang w:bidi="en-US"/>
        </w:rPr>
      </w:pPr>
      <w:r>
        <w:rPr>
          <w:rFonts w:eastAsia="Calibri" w:cs="Calibri"/>
          <w:lang w:bidi="en-US"/>
        </w:rPr>
        <w:t>The chance find procedure outlines actions required if previously unknown heritage resources, particularly archaeological resources, are encountered during project construction or operation. It is a process that prevents chance finds from being disturbed until an assessment by a competent specialist is made and actions consistent with the requirements are implemented.</w:t>
      </w:r>
    </w:p>
    <w:p w14:paraId="739B4ED9">
      <w:pPr>
        <w:spacing w:after="245" w:line="249" w:lineRule="auto"/>
        <w:ind w:left="10" w:right="44"/>
        <w:rPr>
          <w:b/>
          <w:sz w:val="24"/>
          <w:szCs w:val="24"/>
        </w:rPr>
      </w:pPr>
      <w:r>
        <w:rPr>
          <w:b/>
          <w:sz w:val="24"/>
          <w:szCs w:val="24"/>
        </w:rPr>
        <w:t xml:space="preserve">Scope of the chance find procedure </w:t>
      </w:r>
    </w:p>
    <w:p w14:paraId="282CC216">
      <w:pPr>
        <w:spacing w:after="245" w:line="249" w:lineRule="auto"/>
        <w:ind w:left="10" w:right="44"/>
      </w:pPr>
      <w:r>
        <w:rPr>
          <w:rFonts w:eastAsia="Arial" w:cs="Arial"/>
          <w:color w:val="231F20"/>
        </w:rPr>
        <w:t xml:space="preserve">This procedure is applicable to all activities conducted by the personnel, including contractors, that have the potential to uncover a heritage item/site. The procedure details the actions to be taken when a previously unidentified and potential heritage item/site is found during construction activities. Procedure outlines the roles and responsibilities and the response times required from both project staff, and any relevant heritage authority. </w:t>
      </w:r>
    </w:p>
    <w:p w14:paraId="581E8528">
      <w:pPr>
        <w:spacing w:after="245" w:line="249" w:lineRule="auto"/>
        <w:ind w:left="10" w:right="44"/>
        <w:rPr>
          <w:b/>
          <w:sz w:val="24"/>
          <w:szCs w:val="24"/>
        </w:rPr>
      </w:pPr>
      <w:r>
        <w:rPr>
          <w:b/>
          <w:sz w:val="24"/>
          <w:szCs w:val="24"/>
        </w:rPr>
        <w:t xml:space="preserve">Chance find procedure </w:t>
      </w:r>
    </w:p>
    <w:p w14:paraId="25E72E18">
      <w:pPr>
        <w:spacing w:after="5" w:line="249" w:lineRule="auto"/>
        <w:ind w:left="10" w:right="44"/>
      </w:pPr>
      <w:r>
        <w:rPr>
          <w:rFonts w:eastAsia="Arial" w:cs="Arial"/>
          <w:color w:val="231F20"/>
        </w:rPr>
        <w:t xml:space="preserve">If any person discovers a physical cultural resource, such as (but not limited to) archaeological sites, historical sites, remains and objects, or a cemetery and/or individual graves during excavation or construction, the following steps shall be taken: </w:t>
      </w:r>
    </w:p>
    <w:p w14:paraId="30E00B0A">
      <w:pPr>
        <w:numPr>
          <w:ilvl w:val="0"/>
          <w:numId w:val="48"/>
        </w:numPr>
        <w:spacing w:after="5" w:line="249" w:lineRule="auto"/>
        <w:ind w:right="44" w:hanging="427"/>
        <w:jc w:val="both"/>
      </w:pPr>
      <w:r>
        <w:rPr>
          <w:rFonts w:eastAsia="Arial" w:cs="Arial"/>
          <w:color w:val="231F20"/>
        </w:rPr>
        <w:t>Stop all works in the vicinity of the find, until a solution is found for the preservation of these artefacts, or advice from the relevant authorities is obtained;</w:t>
      </w:r>
    </w:p>
    <w:p w14:paraId="1E143A94">
      <w:pPr>
        <w:numPr>
          <w:ilvl w:val="0"/>
          <w:numId w:val="48"/>
        </w:numPr>
        <w:spacing w:after="5" w:line="249" w:lineRule="auto"/>
        <w:ind w:right="44" w:hanging="427"/>
        <w:jc w:val="both"/>
      </w:pPr>
      <w:r>
        <w:rPr>
          <w:rFonts w:eastAsia="Arial" w:cs="Arial"/>
          <w:color w:val="231F20"/>
        </w:rPr>
        <w:t>Immediately notify a foreman. The foreman will then notify the Construction Manager and the Environment Officer (EO)/Environmental Manager (EM);</w:t>
      </w:r>
    </w:p>
    <w:p w14:paraId="0917FF3C">
      <w:pPr>
        <w:numPr>
          <w:ilvl w:val="0"/>
          <w:numId w:val="48"/>
        </w:numPr>
        <w:spacing w:after="5" w:line="249" w:lineRule="auto"/>
        <w:ind w:right="44" w:hanging="427"/>
        <w:jc w:val="both"/>
      </w:pPr>
      <w:r>
        <w:rPr>
          <w:rFonts w:eastAsia="Arial" w:cs="Arial"/>
          <w:color w:val="231F20"/>
        </w:rPr>
        <w:t>Record details in Incident Report and take photos of the find;</w:t>
      </w:r>
    </w:p>
    <w:p w14:paraId="78A74E80">
      <w:pPr>
        <w:numPr>
          <w:ilvl w:val="0"/>
          <w:numId w:val="48"/>
        </w:numPr>
        <w:spacing w:after="5" w:line="249" w:lineRule="auto"/>
        <w:ind w:right="44" w:hanging="427"/>
        <w:jc w:val="both"/>
        <w:rPr>
          <w:color w:val="000000"/>
        </w:rPr>
      </w:pPr>
      <w:r>
        <w:rPr>
          <w:rFonts w:eastAsia="Arial" w:cs="Arial"/>
          <w:color w:val="231F20"/>
        </w:rPr>
        <w:t>Delineate the discovered site or area; secure the site to prevent any damage or loss of removable objects. In cases of removable antiquities or sensitive remains, a night guard shall be arranged until the responsible local authorities take over;</w:t>
      </w:r>
    </w:p>
    <w:p w14:paraId="457B7D0F">
      <w:pPr>
        <w:numPr>
          <w:ilvl w:val="0"/>
          <w:numId w:val="48"/>
        </w:numPr>
        <w:spacing w:after="5" w:line="249" w:lineRule="auto"/>
        <w:ind w:right="44" w:hanging="427"/>
        <w:jc w:val="both"/>
      </w:pPr>
      <w:r>
        <w:rPr>
          <w:color w:val="231F20"/>
        </w:rPr>
        <w:t>Notify the National Museums of Kenya as the Lead Agency of the Chance Find;</w:t>
      </w:r>
    </w:p>
    <w:p w14:paraId="2D798C55">
      <w:pPr>
        <w:numPr>
          <w:ilvl w:val="0"/>
          <w:numId w:val="48"/>
        </w:numPr>
        <w:spacing w:after="5" w:line="249" w:lineRule="auto"/>
        <w:ind w:right="44" w:hanging="427"/>
        <w:jc w:val="both"/>
      </w:pPr>
      <w:r>
        <w:rPr>
          <w:rFonts w:eastAsia="Arial" w:cs="Arial"/>
          <w:color w:val="231F20"/>
        </w:rPr>
        <w:t>Preliminary evaluation of the findings by archaeologists. The archaeologist must make a rapid assessment of the site or find to determine its importance. Based on this assessment the appropriate strategy can be implemented. The significance and importance of the findings should be assessed according to the various criteria relevant to cultural heritage such as aesthetic, historic, scientific or research, social and economic values of the find;</w:t>
      </w:r>
    </w:p>
    <w:p w14:paraId="2B09513A">
      <w:pPr>
        <w:numPr>
          <w:ilvl w:val="0"/>
          <w:numId w:val="48"/>
        </w:numPr>
        <w:spacing w:after="5" w:line="249" w:lineRule="auto"/>
        <w:ind w:right="44" w:hanging="427"/>
        <w:jc w:val="both"/>
      </w:pPr>
      <w:r>
        <w:rPr>
          <w:rFonts w:eastAsia="Arial" w:cs="Arial"/>
          <w:color w:val="231F20"/>
        </w:rPr>
        <w:t xml:space="preserve">Sites of minor significance (such as isolated or unclear features, and isolated finds) should be recorded immediately by </w:t>
      </w:r>
      <w:r>
        <w:rPr>
          <w:color w:val="231F20"/>
        </w:rPr>
        <w:t xml:space="preserve">Consultant </w:t>
      </w:r>
      <w:r>
        <w:rPr>
          <w:rFonts w:eastAsia="Arial" w:cs="Arial"/>
          <w:color w:val="231F20"/>
        </w:rPr>
        <w:t xml:space="preserve">archaeologist. The results of all archaeological work must be reported to the </w:t>
      </w:r>
      <w:r>
        <w:rPr>
          <w:color w:val="231F20"/>
        </w:rPr>
        <w:t>NMK</w:t>
      </w:r>
      <w:r>
        <w:rPr>
          <w:rFonts w:eastAsia="Arial" w:cs="Arial"/>
          <w:color w:val="231F20"/>
        </w:rPr>
        <w:t>.</w:t>
      </w:r>
    </w:p>
    <w:p w14:paraId="1F7DE854">
      <w:pPr>
        <w:numPr>
          <w:ilvl w:val="0"/>
          <w:numId w:val="48"/>
        </w:numPr>
        <w:spacing w:after="5" w:line="249" w:lineRule="auto"/>
        <w:ind w:right="44" w:hanging="427"/>
        <w:jc w:val="both"/>
      </w:pPr>
      <w:r>
        <w:rPr>
          <w:rFonts w:eastAsia="Arial" w:cs="Arial"/>
          <w:color w:val="231F20"/>
        </w:rPr>
        <w:t xml:space="preserve">In case of significant find the </w:t>
      </w:r>
      <w:r>
        <w:rPr>
          <w:color w:val="231F20"/>
        </w:rPr>
        <w:t xml:space="preserve">National Museums of Kenya </w:t>
      </w:r>
      <w:r>
        <w:rPr>
          <w:rFonts w:eastAsia="Arial" w:cs="Arial"/>
          <w:color w:val="231F20"/>
        </w:rPr>
        <w:t>should be informed immediately and in writing within 7 days from the find</w:t>
      </w:r>
      <w:r>
        <w:rPr>
          <w:color w:val="231F20"/>
        </w:rPr>
        <w:t>.</w:t>
      </w:r>
    </w:p>
    <w:p w14:paraId="3C469237">
      <w:pPr>
        <w:numPr>
          <w:ilvl w:val="0"/>
          <w:numId w:val="48"/>
        </w:numPr>
        <w:spacing w:after="5" w:line="249" w:lineRule="auto"/>
        <w:ind w:right="44" w:hanging="427"/>
        <w:jc w:val="both"/>
      </w:pPr>
      <w:r>
        <w:rPr>
          <w:rFonts w:eastAsia="Arial" w:cs="Arial"/>
          <w:color w:val="231F20"/>
        </w:rPr>
        <w:t xml:space="preserve">Decisions on how to handle the finding shall be taken by the </w:t>
      </w:r>
      <w:r>
        <w:rPr>
          <w:color w:val="231F20"/>
        </w:rPr>
        <w:t>NMK</w:t>
      </w:r>
      <w:r>
        <w:rPr>
          <w:rFonts w:eastAsia="Arial" w:cs="Arial"/>
          <w:color w:val="231F20"/>
        </w:rPr>
        <w:t xml:space="preserve">. This could include changes in the layout (such as when finding an irremovable remain of cultural or archaeological importance) conservation, preservation, restoration and salvage; </w:t>
      </w:r>
    </w:p>
    <w:p w14:paraId="7A642E8E">
      <w:pPr>
        <w:numPr>
          <w:ilvl w:val="0"/>
          <w:numId w:val="48"/>
        </w:numPr>
        <w:spacing w:after="5" w:line="249" w:lineRule="auto"/>
        <w:ind w:right="44" w:hanging="427"/>
        <w:jc w:val="both"/>
      </w:pPr>
      <w:r>
        <w:rPr>
          <w:rFonts w:eastAsia="Arial" w:cs="Arial"/>
          <w:color w:val="231F20"/>
        </w:rPr>
        <w:t xml:space="preserve">Construction works could resume only after permission is granted from the responsible authorities.  </w:t>
      </w:r>
    </w:p>
    <w:p w14:paraId="705AF0F9">
      <w:pPr>
        <w:numPr>
          <w:ilvl w:val="0"/>
          <w:numId w:val="48"/>
        </w:numPr>
        <w:spacing w:after="5" w:line="249" w:lineRule="auto"/>
        <w:ind w:right="44" w:hanging="427"/>
        <w:jc w:val="both"/>
      </w:pPr>
      <w:r>
        <w:rPr>
          <w:rFonts w:eastAsia="Arial" w:cs="Arial"/>
          <w:color w:val="231F20"/>
        </w:rPr>
        <w:t xml:space="preserve">In case no response received within the 2 weeks’ period mentioned above, this is considered as authorization to proceed with suspended construction works. </w:t>
      </w:r>
    </w:p>
    <w:p w14:paraId="6BDB762B">
      <w:pPr>
        <w:spacing w:after="0"/>
        <w:ind w:left="852"/>
      </w:pPr>
      <w:r>
        <w:rPr>
          <w:rFonts w:eastAsia="Arial" w:cs="Arial"/>
          <w:color w:val="231F20"/>
        </w:rPr>
        <w:t xml:space="preserve"> </w:t>
      </w:r>
    </w:p>
    <w:p w14:paraId="5267729D">
      <w:pPr>
        <w:spacing w:after="5" w:line="249" w:lineRule="auto"/>
        <w:ind w:left="10" w:right="44"/>
      </w:pPr>
      <w:r>
        <w:rPr>
          <w:rFonts w:eastAsia="Arial" w:cs="Arial"/>
          <w:color w:val="231F20"/>
        </w:rPr>
        <w:t>One of the main requirements of the procedure is record keeping.  All finds must be registered.  Photo log, copies of communication with decision making authorities, conclusions and recommendations/guidance, implementation reports ± kept.</w:t>
      </w:r>
    </w:p>
    <w:sectPr>
      <w:headerReference r:id="rId48" w:type="default"/>
      <w:pgSz w:w="12240" w:h="15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等线">
    <w:altName w:val="Arial Unicode MS"/>
    <w:panose1 w:val="00000000000000000000"/>
    <w:charset w:val="86"/>
    <w:family w:val="auto"/>
    <w:pitch w:val="default"/>
    <w:sig w:usb0="00000000" w:usb1="00000000" w:usb2="00000000" w:usb3="00000000" w:csb0="00000000" w:csb1="00000000"/>
  </w:font>
  <w:font w:name="Calibri">
    <w:panose1 w:val="020F0502020204030204"/>
    <w:charset w:val="00"/>
    <w:family w:val="auto"/>
    <w:pitch w:val="default"/>
    <w:sig w:usb0="E4002EFF" w:usb1="C200247B" w:usb2="00000009" w:usb3="00000000" w:csb0="200001FF" w:csb1="00000000"/>
  </w:font>
  <w:font w:name="Arial Narrow">
    <w:panose1 w:val="020B0606020202030204"/>
    <w:charset w:val="00"/>
    <w:family w:val="swiss"/>
    <w:pitch w:val="default"/>
    <w:sig w:usb0="00000287" w:usb1="00000800" w:usb2="00000000" w:usb3="00000000" w:csb0="2000009F" w:csb1="DFD70000"/>
  </w:font>
  <w:font w:name="等线 Light">
    <w:altName w:val="Segoe Print"/>
    <w:panose1 w:val="00000000000000000000"/>
    <w:charset w:val="00"/>
    <w:family w:val="auto"/>
    <w:pitch w:val="default"/>
    <w:sig w:usb0="00000000" w:usb1="00000000" w:usb2="00000000" w:usb3="00000000" w:csb0="00000000" w:csb1="00000000"/>
  </w:font>
  <w:font w:name="Calibri Light">
    <w:panose1 w:val="020F0302020204030204"/>
    <w:charset w:val="00"/>
    <w:family w:val="swiss"/>
    <w:pitch w:val="default"/>
    <w:sig w:usb0="E4002EFF" w:usb1="C2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Book Antiqua">
    <w:panose1 w:val="02040602050305030304"/>
    <w:charset w:val="00"/>
    <w:family w:val="roman"/>
    <w:pitch w:val="default"/>
    <w:sig w:usb0="00000287" w:usb1="00000000" w:usb2="00000000" w:usb3="00000000" w:csb0="2000009F" w:csb1="DFD70000"/>
  </w:font>
  <w:font w:name="Cordia New">
    <w:altName w:val="Microsoft Sans Serif"/>
    <w:panose1 w:val="020B0304020202020204"/>
    <w:charset w:val="DE"/>
    <w:family w:val="swiss"/>
    <w:pitch w:val="default"/>
    <w:sig w:usb0="00000000" w:usb1="00000000" w:usb2="00000000" w:usb3="00000000" w:csb0="00010001" w:csb1="00000000"/>
  </w:font>
  <w:font w:name="Tahoma">
    <w:panose1 w:val="020B0604030504040204"/>
    <w:charset w:val="00"/>
    <w:family w:val="swiss"/>
    <w:pitch w:val="default"/>
    <w:sig w:usb0="E1002EFF" w:usb1="C000605B" w:usb2="00000029" w:usb3="00000000" w:csb0="200101FF" w:csb1="20280000"/>
  </w:font>
  <w:font w:name="Univers">
    <w:altName w:val="Segoe Print"/>
    <w:panose1 w:val="00000000000000000000"/>
    <w:charset w:val="00"/>
    <w:family w:val="swiss"/>
    <w:pitch w:val="default"/>
    <w:sig w:usb0="00000000" w:usb1="00000000" w:usb2="00000000" w:usb3="00000000" w:csb0="0000000F" w:csb1="00000000"/>
  </w:font>
  <w:font w:name="Symbol">
    <w:panose1 w:val="05050102010706020507"/>
    <w:charset w:val="02"/>
    <w:family w:val="roman"/>
    <w:pitch w:val="default"/>
    <w:sig w:usb0="00000000" w:usb1="00000000" w:usb2="00000000" w:usb3="00000000" w:csb0="80000000" w:csb1="00000000"/>
  </w:font>
  <w:font w:name="Gill Sans MT">
    <w:panose1 w:val="020B0502020104020203"/>
    <w:charset w:val="00"/>
    <w:family w:val="swiss"/>
    <w:pitch w:val="default"/>
    <w:sig w:usb0="00000003" w:usb1="00000000" w:usb2="00000000" w:usb3="00000000" w:csb0="20000003" w:csb1="00000000"/>
  </w:font>
  <w:font w:name="等线">
    <w:altName w:val="Arial Unicode MS"/>
    <w:panose1 w:val="00000000000000000000"/>
    <w:charset w:val="00"/>
    <w:family w:val="auto"/>
    <w:pitch w:val="default"/>
    <w:sig w:usb0="00000000" w:usb1="00000000" w:usb2="00000000" w:usb3="00000000" w:csb0="00000000" w:csb1="00000000"/>
  </w:font>
  <w:font w:name="Times New Roman Bold">
    <w:altName w:val="Times New Roman"/>
    <w:panose1 w:val="02020803070505020304"/>
    <w:charset w:val="00"/>
    <w:family w:val="roman"/>
    <w:pitch w:val="default"/>
    <w:sig w:usb0="00000000" w:usb1="00000000" w:usb2="00000000" w:usb3="00000000" w:csb0="00000000" w:csb1="00000000"/>
  </w:font>
  <w:font w:name="Microsoft Sans Serif">
    <w:panose1 w:val="020B0604020202020204"/>
    <w:charset w:val="00"/>
    <w:family w:val="swiss"/>
    <w:pitch w:val="default"/>
    <w:sig w:usb0="E5002EFF" w:usb1="C000605B" w:usb2="00000029" w:usb3="00000000" w:csb0="200101FF" w:csb1="20280000"/>
  </w:font>
  <w:font w:name="Garamond">
    <w:panose1 w:val="02020404030301010803"/>
    <w:charset w:val="00"/>
    <w:family w:val="roman"/>
    <w:pitch w:val="default"/>
    <w:sig w:usb0="00000287" w:usb1="00000000" w:usb2="00000000" w:usb3="00000000" w:csb0="0000009F" w:csb1="DFD70000"/>
  </w:font>
  <w:font w:name="Myriad Pro Condensed">
    <w:altName w:val="Times New Roman"/>
    <w:panose1 w:val="00000000000000000000"/>
    <w:charset w:val="00"/>
    <w:family w:val="roman"/>
    <w:pitch w:val="default"/>
    <w:sig w:usb0="00000000" w:usb1="00000000" w:usb2="00000000" w:usb3="00000000" w:csb0="00000000" w:csb1="00000000"/>
  </w:font>
  <w:font w:name="MyriadPro-SemiboldCond">
    <w:altName w:val="Arial"/>
    <w:panose1 w:val="00000000000000000000"/>
    <w:charset w:val="4D"/>
    <w:family w:val="auto"/>
    <w:pitch w:val="default"/>
    <w:sig w:usb0="00000000" w:usb1="00000000" w:usb2="00000000" w:usb3="00000000" w:csb0="00000001" w:csb1="00000000"/>
  </w:font>
  <w:font w:name="Angsana New">
    <w:altName w:val="Microsoft Sans Serif"/>
    <w:panose1 w:val="02020603050405020304"/>
    <w:charset w:val="DE"/>
    <w:family w:val="roman"/>
    <w:pitch w:val="default"/>
    <w:sig w:usb0="00000000" w:usb1="00000000" w:usb2="00000000" w:usb3="00000000" w:csb0="00010001" w:csb1="00000000"/>
  </w:font>
  <w:font w:name="Verdana">
    <w:panose1 w:val="020B0604030504040204"/>
    <w:charset w:val="00"/>
    <w:family w:val="swiss"/>
    <w:pitch w:val="default"/>
    <w:sig w:usb0="A00006FF" w:usb1="4000205B" w:usb2="00000010" w:usb3="00000000" w:csb0="2000019F" w:csb1="00000000"/>
  </w:font>
  <w:font w:name="Cambria">
    <w:panose1 w:val="02040503050406030204"/>
    <w:charset w:val="00"/>
    <w:family w:val="roman"/>
    <w:pitch w:val="default"/>
    <w:sig w:usb0="E00006FF" w:usb1="420024FF" w:usb2="02000000" w:usb3="00000000" w:csb0="2000019F" w:csb1="00000000"/>
  </w:font>
  <w:font w:name="Lucida Console">
    <w:panose1 w:val="020B0609040504020204"/>
    <w:charset w:val="00"/>
    <w:family w:val="modern"/>
    <w:pitch w:val="default"/>
    <w:sig w:usb0="8000028F" w:usb1="00001800" w:usb2="00000000" w:usb3="00000000" w:csb0="0000001F" w:csb1="D7D70000"/>
  </w:font>
  <w:font w:name="CG Times">
    <w:altName w:val="Times New Roman"/>
    <w:panose1 w:val="00000000000000000000"/>
    <w:charset w:val="00"/>
    <w:family w:val="roman"/>
    <w:pitch w:val="default"/>
    <w:sig w:usb0="00000000" w:usb1="00000000" w:usb2="00000000" w:usb3="00000000" w:csb0="00000001"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SymbolMT">
    <w:altName w:val="Microsoft JhengHei"/>
    <w:panose1 w:val="00000000000000000000"/>
    <w:charset w:val="00"/>
    <w:family w:val="roman"/>
    <w:pitch w:val="default"/>
    <w:sig w:usb0="00000000" w:usb1="00000000" w:usb2="00000000" w:usb3="00000000" w:csb0="00000000" w:csb1="00000000"/>
  </w:font>
  <w:font w:name="Classic">
    <w:altName w:val="Segoe Print"/>
    <w:panose1 w:val="00000000000000000000"/>
    <w:charset w:val="00"/>
    <w:family w:val="roman"/>
    <w:pitch w:val="default"/>
    <w:sig w:usb0="00000000" w:usb1="00000000" w:usb2="00000000" w:usb3="00000000" w:csb0="00000001" w:csb1="00000000"/>
  </w:font>
  <w:font w:name="KELOAH+ArialMT">
    <w:altName w:val="Arial"/>
    <w:panose1 w:val="00000000000000000000"/>
    <w:charset w:val="00"/>
    <w:family w:val="swiss"/>
    <w:pitch w:val="default"/>
    <w:sig w:usb0="00000000" w:usb1="00000000" w:usb2="00000000" w:usb3="00000000" w:csb0="00000001" w:csb1="00000000"/>
  </w:font>
  <w:font w:name="Cambria Math">
    <w:panose1 w:val="02040503050406030204"/>
    <w:charset w:val="00"/>
    <w:family w:val="roman"/>
    <w:pitch w:val="default"/>
    <w:sig w:usb0="E00006FF" w:usb1="420024FF" w:usb2="0200000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8035658"/>
    </w:sdtPr>
    <w:sdtContent>
      <w:p w14:paraId="0DBD47DC">
        <w:pPr>
          <w:pStyle w:val="37"/>
          <w:jc w:val="right"/>
        </w:pPr>
        <w:r>
          <w:fldChar w:fldCharType="begin"/>
        </w:r>
        <w:r>
          <w:instrText xml:space="preserve"> PAGE   \* MERGEFORMAT </w:instrText>
        </w:r>
        <w:r>
          <w:fldChar w:fldCharType="separate"/>
        </w:r>
        <w:r>
          <w:t>ii</w:t>
        </w:r>
        <w:r>
          <w:fldChar w:fldCharType="end"/>
        </w:r>
      </w:p>
    </w:sdtContent>
  </w:sdt>
  <w:p w14:paraId="317A7C18">
    <w:pPr>
      <w:pStyle w:val="3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6296406"/>
    </w:sdtPr>
    <w:sdtContent>
      <w:p w14:paraId="6A505A75">
        <w:pPr>
          <w:pStyle w:val="37"/>
          <w:jc w:val="right"/>
        </w:pPr>
        <w:r>
          <w:fldChar w:fldCharType="begin"/>
        </w:r>
        <w:r>
          <w:instrText xml:space="preserve"> PAGE   \* MERGEFORMAT </w:instrText>
        </w:r>
        <w:r>
          <w:fldChar w:fldCharType="separate"/>
        </w:r>
        <w:r>
          <w:t>iii</w:t>
        </w:r>
        <w:r>
          <w:fldChar w:fldCharType="end"/>
        </w:r>
      </w:p>
    </w:sdtContent>
  </w:sdt>
  <w:p w14:paraId="27AB2474">
    <w:pPr>
      <w:pStyle w:val="3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41351890"/>
    </w:sdtPr>
    <w:sdtContent>
      <w:p w14:paraId="5429A05F">
        <w:pPr>
          <w:pStyle w:val="37"/>
          <w:jc w:val="right"/>
        </w:pPr>
        <w:r>
          <w:fldChar w:fldCharType="begin"/>
        </w:r>
        <w:r>
          <w:instrText xml:space="preserve"> PAGE   \* MERGEFORMAT </w:instrText>
        </w:r>
        <w:r>
          <w:fldChar w:fldCharType="separate"/>
        </w:r>
        <w:r>
          <w:t>viii</w:t>
        </w:r>
        <w:r>
          <w:fldChar w:fldCharType="end"/>
        </w:r>
      </w:p>
    </w:sdtContent>
  </w:sdt>
  <w:p w14:paraId="5BFA451C">
    <w:pPr>
      <w:pStyle w:val="3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5218773"/>
    </w:sdtPr>
    <w:sdtContent>
      <w:p w14:paraId="1A8E5333">
        <w:pPr>
          <w:pStyle w:val="37"/>
          <w:jc w:val="right"/>
        </w:pPr>
        <w:r>
          <w:fldChar w:fldCharType="begin"/>
        </w:r>
        <w:r>
          <w:instrText xml:space="preserve"> PAGE   \* MERGEFORMAT </w:instrText>
        </w:r>
        <w:r>
          <w:fldChar w:fldCharType="separate"/>
        </w:r>
        <w:r>
          <w:t>xi</w:t>
        </w:r>
        <w:r>
          <w:fldChar w:fldCharType="end"/>
        </w:r>
      </w:p>
    </w:sdtContent>
  </w:sdt>
  <w:p w14:paraId="611A9E2C">
    <w:pPr>
      <w:pStyle w:val="37"/>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83667744"/>
    </w:sdtPr>
    <w:sdtContent>
      <w:p w14:paraId="53137BE8">
        <w:pPr>
          <w:pStyle w:val="37"/>
          <w:jc w:val="right"/>
        </w:pPr>
        <w:r>
          <w:fldChar w:fldCharType="begin"/>
        </w:r>
        <w:r>
          <w:instrText xml:space="preserve"> PAGE   \* MERGEFORMAT </w:instrText>
        </w:r>
        <w:r>
          <w:fldChar w:fldCharType="separate"/>
        </w:r>
        <w:r>
          <w:t>xiii</w:t>
        </w:r>
        <w:r>
          <w:fldChar w:fldCharType="end"/>
        </w:r>
      </w:p>
    </w:sdtContent>
  </w:sdt>
  <w:p w14:paraId="2D854302">
    <w:pPr>
      <w:pStyle w:val="37"/>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8555675"/>
    </w:sdtPr>
    <w:sdtContent>
      <w:p w14:paraId="28B470D2">
        <w:pPr>
          <w:pStyle w:val="37"/>
          <w:jc w:val="right"/>
        </w:pPr>
        <w:r>
          <w:fldChar w:fldCharType="begin"/>
        </w:r>
        <w:r>
          <w:instrText xml:space="preserve"> PAGE   \* MERGEFORMAT </w:instrText>
        </w:r>
        <w:r>
          <w:fldChar w:fldCharType="separate"/>
        </w:r>
        <w:r>
          <w:t>xx</w:t>
        </w:r>
        <w:r>
          <w:fldChar w:fldCharType="end"/>
        </w:r>
      </w:p>
    </w:sdtContent>
  </w:sdt>
  <w:p w14:paraId="2D58DFF6">
    <w:pPr>
      <w:pStyle w:val="37"/>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828668337"/>
    </w:sdtPr>
    <w:sdtContent>
      <w:p w14:paraId="2ED068C4">
        <w:pPr>
          <w:pStyle w:val="37"/>
          <w:jc w:val="right"/>
        </w:pPr>
        <w:r>
          <w:fldChar w:fldCharType="begin"/>
        </w:r>
        <w:r>
          <w:instrText xml:space="preserve"> PAGE   \* MERGEFORMAT </w:instrText>
        </w:r>
        <w:r>
          <w:fldChar w:fldCharType="separate"/>
        </w:r>
        <w:r>
          <w:t>98</w:t>
        </w:r>
        <w:r>
          <w:fldChar w:fldCharType="end"/>
        </w:r>
      </w:p>
    </w:sdtContent>
  </w:sdt>
  <w:p w14:paraId="0C4FF821">
    <w:pPr>
      <w:pStyle w:val="37"/>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54173864"/>
    </w:sdtPr>
    <w:sdtContent>
      <w:p w14:paraId="26D33769">
        <w:pPr>
          <w:pStyle w:val="37"/>
          <w:jc w:val="right"/>
        </w:pPr>
        <w:r>
          <w:fldChar w:fldCharType="begin"/>
        </w:r>
        <w:r>
          <w:instrText xml:space="preserve"> PAGE   \* MERGEFORMAT </w:instrText>
        </w:r>
        <w:r>
          <w:fldChar w:fldCharType="separate"/>
        </w:r>
        <w:r>
          <w:t>139</w:t>
        </w:r>
        <w:r>
          <w:fldChar w:fldCharType="end"/>
        </w:r>
      </w:p>
    </w:sdtContent>
  </w:sdt>
  <w:p w14:paraId="10016BAC">
    <w:pPr>
      <w:pStyle w:val="1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170FBB">
    <w:pPr>
      <w:tabs>
        <w:tab w:val="left" w:pos="709"/>
      </w:tabs>
    </w:pPr>
    <w:r>
      <w:rPr>
        <w:sz w:val="16"/>
        <w:szCs w:val="16"/>
      </w:rPr>
      <w:t>Environmental and Social Impact Assessment Report for The Proposed Wajir Faecal Sludge and Septage Treatment Plant, Wajir Municipality, Wajir County</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9B87DF">
    <w:pPr>
      <w:tabs>
        <w:tab w:val="left" w:pos="709"/>
      </w:tabs>
    </w:pPr>
    <w:r>
      <w:rPr>
        <w:sz w:val="16"/>
        <w:szCs w:val="16"/>
      </w:rPr>
      <w:t>Environmental and Social Impact Assessment Report for The Proposed Wajir Faecal Sludge and Septage Treatment Plant, Wajir Municipality, Wajir County</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D0FE75">
    <w:pPr>
      <w:tabs>
        <w:tab w:val="left" w:pos="709"/>
      </w:tabs>
    </w:pPr>
    <w:r>
      <w:rPr>
        <w:sz w:val="16"/>
        <w:szCs w:val="16"/>
      </w:rPr>
      <w:t>Environmental and Social Impact Assessment Report for The Proposed Wajir Faecal Sludge and Septage Treatment Plant, Wajir Municipality, Wajir County</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C43275">
    <w:pPr>
      <w:tabs>
        <w:tab w:val="left" w:pos="709"/>
      </w:tabs>
    </w:pPr>
    <w:r>
      <w:rPr>
        <w:sz w:val="16"/>
        <w:szCs w:val="16"/>
      </w:rPr>
      <w:t>Environmental and Social Impact Assessment Report for The Proposed Wajir Faecal Sludge and Septage Treatment Plant, Wajir Municipality, Wajir County</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86B1AFB">
    <w:pPr>
      <w:tabs>
        <w:tab w:val="left" w:pos="709"/>
      </w:tabs>
    </w:pPr>
    <w:r>
      <w:rPr>
        <w:sz w:val="16"/>
        <w:szCs w:val="16"/>
      </w:rPr>
      <w:t>Environmental and Social Impact Assessment Report for The Proposed Wajir Faecal Sludge and Septage Treatment Plant, Wajir Municipality, Wajir County</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602458">
    <w:pPr>
      <w:tabs>
        <w:tab w:val="left" w:pos="709"/>
      </w:tabs>
    </w:pPr>
    <w:r>
      <w:rPr>
        <w:sz w:val="16"/>
        <w:szCs w:val="16"/>
      </w:rPr>
      <w:t>Environmental and Social Impact Assessment Report for The Proposed Wajir Faecal Sludge and Septage Treatment Plant, Wajir Municipality, Wajir County</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AFF6A2">
    <w:pPr>
      <w:tabs>
        <w:tab w:val="left" w:pos="709"/>
      </w:tabs>
    </w:pPr>
    <w:r>
      <w:rPr>
        <w:sz w:val="16"/>
        <w:szCs w:val="16"/>
      </w:rPr>
      <w:t>Environmental and Social Impact Assessment Report for The Proposed Wajir Faecal Sludge and Septage Treatment Plant, Wajir Municipality, Wajir County</w:t>
    </w: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8B3AA5">
    <w:pPr>
      <w:tabs>
        <w:tab w:val="left" w:pos="709"/>
      </w:tabs>
    </w:pPr>
    <w:r>
      <w:rPr>
        <w:sz w:val="16"/>
        <w:szCs w:val="16"/>
      </w:rPr>
      <w:t>Environmental and Social Impact Assessment Report for The Proposed Wajir Faecal Sludge and Septage Treatment Plant, Wajir Municipality, Wajir County</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02FB1A">
    <w:pPr>
      <w:tabs>
        <w:tab w:val="left" w:pos="709"/>
      </w:tabs>
    </w:pPr>
    <w:r>
      <w:rPr>
        <w:sz w:val="16"/>
        <w:szCs w:val="16"/>
      </w:rPr>
      <w:t>Environmental and Social Impact Assessment Report for The Proposed Wajir Faecal Sludge and Septage Treatment Plant, Wajir Municipality, Wajir County</w:t>
    </w: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428887">
    <w:pPr>
      <w:tabs>
        <w:tab w:val="left" w:pos="709"/>
      </w:tabs>
    </w:pPr>
    <w:r>
      <w:rPr>
        <w:sz w:val="16"/>
        <w:szCs w:val="16"/>
      </w:rPr>
      <w:t>Environmental and Social Impact Assessment Report for The Proposed Wajir Faecal Sludge and Septage Treatment Plant, Wajir Municipality, Wajir County</w: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985783B">
    <w:pPr>
      <w:tabs>
        <w:tab w:val="left" w:pos="709"/>
      </w:tabs>
    </w:pPr>
    <w:r>
      <w:rPr>
        <w:sz w:val="16"/>
        <w:szCs w:val="16"/>
      </w:rPr>
      <w:t>Environmental and Social Impact Assessment Report for The Proposed Wajir Faecal Sludge and Septage Treatment Plant, Wajir Municipality, Wajir County</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79D8A5">
    <w:pPr>
      <w:tabs>
        <w:tab w:val="left" w:pos="709"/>
      </w:tabs>
    </w:pPr>
    <w:r>
      <w:rPr>
        <w:sz w:val="16"/>
        <w:szCs w:val="16"/>
      </w:rPr>
      <w:t>Environmental and Social Impact Assessment Report for The Proposed Wajir Faecal Sludge and Septage Treatment Plant, Wajir Municipality, Wajir County</w:t>
    </w: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F9B455">
    <w:pPr>
      <w:tabs>
        <w:tab w:val="left" w:pos="709"/>
      </w:tabs>
    </w:pPr>
    <w:r>
      <w:rPr>
        <w:sz w:val="16"/>
        <w:szCs w:val="16"/>
      </w:rPr>
      <w:t>Environmental and Social Impact Assessment Report for The Proposed Wajir Faecal Sludge and Septage Treatment Plant, Wajir Municipality, Wajir County</w: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D041AA">
    <w:pPr>
      <w:tabs>
        <w:tab w:val="left" w:pos="709"/>
      </w:tabs>
    </w:pPr>
    <w:r>
      <w:rPr>
        <w:sz w:val="16"/>
        <w:szCs w:val="16"/>
      </w:rPr>
      <w:t>Environmental and Social Impact Assessment Report for The Proposed Wajir Faecal Sludge and Septage Treatment Plant, Wajir Municipality, Wajir County</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D9C735">
    <w:pPr>
      <w:tabs>
        <w:tab w:val="left" w:pos="709"/>
      </w:tabs>
    </w:pPr>
    <w:r>
      <w:rPr>
        <w:sz w:val="16"/>
        <w:szCs w:val="16"/>
      </w:rPr>
      <w:t>Environmental and Social Impact Assessment Report for The Proposed Wajir Faecal Sludge and Septage Treatment Plant, Wajir Municipality, Wajir County</w: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07EA59">
    <w:pPr>
      <w:tabs>
        <w:tab w:val="left" w:pos="709"/>
      </w:tabs>
    </w:pPr>
    <w:r>
      <w:rPr>
        <w:sz w:val="16"/>
        <w:szCs w:val="16"/>
      </w:rPr>
      <w:t>Environmental and Social Impact Assessment Report for The Proposed Wajir Faecal Sludge and Septage Treatment Plant, Wajir Municipality, Wajir County</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FD1155">
    <w:pPr>
      <w:tabs>
        <w:tab w:val="left" w:pos="709"/>
      </w:tabs>
    </w:pPr>
    <w:r>
      <w:rPr>
        <w:sz w:val="16"/>
        <w:szCs w:val="16"/>
      </w:rPr>
      <w:t>Environmental and Social Impact Assessment Report for The Proposed Wajir Faecal Sludge and Septage Treatment Plant, Wajir Municipality, Wajir County</w: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9C6FED">
    <w:pPr>
      <w:tabs>
        <w:tab w:val="left" w:pos="709"/>
      </w:tabs>
    </w:pPr>
    <w:r>
      <w:rPr>
        <w:sz w:val="16"/>
        <w:szCs w:val="16"/>
      </w:rPr>
      <w:t>Environmental and Social Impact Assessment Report for The Proposed Wajir Faecal Sludge and Septage Treatment Plant, Wajir Municipality, Wajir County</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ED91C7">
    <w:pPr>
      <w:tabs>
        <w:tab w:val="left" w:pos="709"/>
      </w:tabs>
    </w:pPr>
    <w:r>
      <w:rPr>
        <w:sz w:val="16"/>
        <w:szCs w:val="16"/>
      </w:rPr>
      <w:t>Environmental and Social Impact Assessment Report for The Proposed Wajir Faecal Sludge and Septage Treatment Plant, Wajir Municipality, Wajir County</w: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58C70">
    <w:pPr>
      <w:tabs>
        <w:tab w:val="left" w:pos="709"/>
      </w:tabs>
    </w:pPr>
    <w:r>
      <w:rPr>
        <w:sz w:val="16"/>
        <w:szCs w:val="16"/>
      </w:rPr>
      <w:t>Environmental and Social Impact Assessment Report for The Proposed Wajir Faecal Sludge and Septage Treatment Plant, Wajir Municipality, Wajir County</w: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03388B">
    <w:pPr>
      <w:tabs>
        <w:tab w:val="left" w:pos="709"/>
      </w:tabs>
    </w:pPr>
    <w:r>
      <w:rPr>
        <w:sz w:val="16"/>
        <w:szCs w:val="16"/>
      </w:rPr>
      <w:t>Environmental and Social Impact Assessment Report for The Proposed Wajir Faecal Sludge and Septage Treatment Plant, Wajir Municipality, Wajir County</w: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21A7D32">
    <w:pPr>
      <w:tabs>
        <w:tab w:val="left" w:pos="709"/>
      </w:tabs>
    </w:pPr>
    <w:r>
      <w:rPr>
        <w:sz w:val="16"/>
        <w:szCs w:val="16"/>
      </w:rPr>
      <w:t>Environmental and Social Impact Assessment Report for The Proposed Wajir Faecal Sludge and Septage Treatment Plant, Wajir Municipality, Wajir County</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623948">
    <w:pPr>
      <w:tabs>
        <w:tab w:val="left" w:pos="709"/>
      </w:tabs>
    </w:pPr>
    <w:r>
      <w:rPr>
        <w:sz w:val="16"/>
        <w:szCs w:val="16"/>
      </w:rPr>
      <w:t>Environmental and Social Impact Assessment Report for The Proposed Wajir Faecal Sludge and Septage Treatment Plant, Wajir Municipality, Wajir County</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209259">
    <w:pPr>
      <w:tabs>
        <w:tab w:val="left" w:pos="709"/>
      </w:tabs>
    </w:pPr>
    <w:r>
      <w:rPr>
        <w:sz w:val="16"/>
        <w:szCs w:val="16"/>
      </w:rPr>
      <w:t>Environmental and Social Impact Assessment Report for The Proposed Wajir Faecal Sludge and Septage Treatment Plant, Wajir Municipality, Wajir County</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76574D7">
    <w:pPr>
      <w:tabs>
        <w:tab w:val="left" w:pos="709"/>
      </w:tabs>
    </w:pPr>
    <w:r>
      <w:rPr>
        <w:sz w:val="16"/>
        <w:szCs w:val="16"/>
      </w:rPr>
      <w:t>Environmental and Social Impact Assessment Report for The Proposed Wajir Faecal Sludge and Septage Treatment Plant, Wajir Municipality, Wajir County</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A8CDD9">
    <w:pPr>
      <w:tabs>
        <w:tab w:val="left" w:pos="709"/>
      </w:tabs>
    </w:pPr>
    <w:r>
      <w:rPr>
        <w:sz w:val="16"/>
        <w:szCs w:val="16"/>
      </w:rPr>
      <w:t>Environmental and Social Impact Assessment Report for The Proposed Wajir Faecal Sludge and Septage Treatment Plant, Wajir Municipality, Wajir County</w: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8595AFD">
    <w:pPr>
      <w:tabs>
        <w:tab w:val="left" w:pos="709"/>
      </w:tabs>
    </w:pPr>
    <w:r>
      <w:rPr>
        <w:sz w:val="16"/>
        <w:szCs w:val="16"/>
      </w:rPr>
      <w:t>Environmental and Social Impact Assessment Report for The Proposed Wajir Faecal Sludge and Septage Treatment Plant, Wajir Municipality, Wajir County</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4518513">
    <w:pPr>
      <w:tabs>
        <w:tab w:val="left" w:pos="709"/>
      </w:tabs>
    </w:pPr>
    <w:r>
      <w:rPr>
        <w:sz w:val="16"/>
        <w:szCs w:val="16"/>
      </w:rPr>
      <w:t>Environmental and Social Impact Assessment Report for The Proposed Wajir Faecal Sludge and Septage Treatment Plant, Wajir Municipality, Wajir County</w: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CF8FD3">
    <w:pPr>
      <w:tabs>
        <w:tab w:val="left" w:pos="709"/>
      </w:tabs>
    </w:pPr>
    <w:r>
      <w:rPr>
        <w:sz w:val="16"/>
        <w:szCs w:val="16"/>
      </w:rPr>
      <w:t>Environmental and Social Impact Assessment Report for The Proposed Wajir Faecal Sludge and Septage Treatment Plant, Wajir Municipality, Wajir County</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F678CE">
    <w:pPr>
      <w:tabs>
        <w:tab w:val="left" w:pos="709"/>
      </w:tabs>
    </w:pPr>
    <w:r>
      <w:rPr>
        <w:sz w:val="16"/>
        <w:szCs w:val="16"/>
      </w:rPr>
      <w:t>Environmental and Social Impact Assessment Report for The Proposed Wajir Faecal Sludge and Septage Treatment Plant, Wajir Municipality, Wajir County</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B80F07">
    <w:pPr>
      <w:tabs>
        <w:tab w:val="left" w:pos="709"/>
      </w:tabs>
    </w:pPr>
    <w:r>
      <w:rPr>
        <w:sz w:val="16"/>
        <w:szCs w:val="16"/>
      </w:rPr>
      <w:t>Environmental and Social Impact Assessment Report for The Proposed Wajir Faecal Sludge and Septage Treatment Plant, Wajir Municipality, Wajir County</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4BC30E">
    <w:pPr>
      <w:tabs>
        <w:tab w:val="left" w:pos="709"/>
      </w:tabs>
    </w:pPr>
    <w:r>
      <w:rPr>
        <w:sz w:val="16"/>
        <w:szCs w:val="16"/>
      </w:rPr>
      <w:t>Environmental and Social Impact Assessment Report for The Proposed Wajir Faecal Sludge and Septage Treatment Plant, Wajir Municipality, Wajir County</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5E1F1">
    <w:pPr>
      <w:tabs>
        <w:tab w:val="left" w:pos="709"/>
      </w:tabs>
    </w:pPr>
    <w:r>
      <w:rPr>
        <w:sz w:val="16"/>
        <w:szCs w:val="16"/>
      </w:rPr>
      <w:t>Environmental and Social Impact Assessment Report for The Proposed Wajir Faecal Sludge and Septage Treatment Plant, Wajir Municipality, Wajir County</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232C5D">
    <w:pPr>
      <w:tabs>
        <w:tab w:val="left" w:pos="709"/>
      </w:tabs>
    </w:pPr>
    <w:r>
      <w:rPr>
        <w:sz w:val="16"/>
        <w:szCs w:val="16"/>
      </w:rPr>
      <w:t>Environmental and Social Impact Assessment Report for The Proposed Wajir Faecal Sludge and Septage Treatment Plant, Wajir Municipality, Wajir County</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E21B6E">
    <w:pPr>
      <w:tabs>
        <w:tab w:val="left" w:pos="709"/>
      </w:tabs>
    </w:pPr>
    <w:r>
      <w:rPr>
        <w:sz w:val="16"/>
        <w:szCs w:val="16"/>
      </w:rPr>
      <w:t>Environmental and Social Impact Assessment Report for The Proposed Wajir Faecal Sludge and Septage Treatment Plant, Wajir Municipality, Wajir County</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1920E3">
    <w:pPr>
      <w:tabs>
        <w:tab w:val="left" w:pos="709"/>
      </w:tabs>
    </w:pPr>
    <w:r>
      <w:rPr>
        <w:sz w:val="16"/>
        <w:szCs w:val="16"/>
      </w:rPr>
      <w:t>Environmental and Social Impact Assessment Report for The Proposed Wajir Faecal Sludge and Septage Treatment Plant, Wajir Municipality, Wajir County</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74"/>
      <w:lvlText w:val="%1."/>
      <w:lvlJc w:val="left"/>
      <w:pPr>
        <w:tabs>
          <w:tab w:val="left" w:pos="1800"/>
        </w:tabs>
        <w:ind w:left="1800" w:hanging="360"/>
      </w:pPr>
    </w:lvl>
  </w:abstractNum>
  <w:abstractNum w:abstractNumId="1">
    <w:nsid w:val="FFFFFF7D"/>
    <w:multiLevelType w:val="singleLevel"/>
    <w:tmpl w:val="FFFFFF7D"/>
    <w:lvl w:ilvl="0" w:tentative="0">
      <w:start w:val="1"/>
      <w:numFmt w:val="decimal"/>
      <w:pStyle w:val="73"/>
      <w:lvlText w:val="%1."/>
      <w:lvlJc w:val="left"/>
      <w:pPr>
        <w:tabs>
          <w:tab w:val="left" w:pos="1440"/>
        </w:tabs>
        <w:ind w:left="1440" w:hanging="360"/>
      </w:pPr>
    </w:lvl>
  </w:abstractNum>
  <w:abstractNum w:abstractNumId="2">
    <w:nsid w:val="FFFFFF7E"/>
    <w:multiLevelType w:val="singleLevel"/>
    <w:tmpl w:val="FFFFFF7E"/>
    <w:lvl w:ilvl="0" w:tentative="0">
      <w:start w:val="1"/>
      <w:numFmt w:val="decimal"/>
      <w:pStyle w:val="72"/>
      <w:lvlText w:val="%1."/>
      <w:lvlJc w:val="left"/>
      <w:pPr>
        <w:tabs>
          <w:tab w:val="left" w:pos="1080"/>
        </w:tabs>
        <w:ind w:left="1080" w:hanging="360"/>
      </w:pPr>
    </w:lvl>
  </w:abstractNum>
  <w:abstractNum w:abstractNumId="3">
    <w:nsid w:val="FFFFFF7F"/>
    <w:multiLevelType w:val="singleLevel"/>
    <w:tmpl w:val="FFFFFF7F"/>
    <w:lvl w:ilvl="0" w:tentative="0">
      <w:start w:val="1"/>
      <w:numFmt w:val="decimal"/>
      <w:pStyle w:val="71"/>
      <w:lvlText w:val="%1."/>
      <w:lvlJc w:val="left"/>
      <w:pPr>
        <w:tabs>
          <w:tab w:val="left" w:pos="720"/>
        </w:tabs>
        <w:ind w:left="720" w:hanging="360"/>
      </w:pPr>
    </w:lvl>
  </w:abstractNum>
  <w:abstractNum w:abstractNumId="4">
    <w:nsid w:val="FFFFFF80"/>
    <w:multiLevelType w:val="singleLevel"/>
    <w:tmpl w:val="FFFFFF80"/>
    <w:lvl w:ilvl="0" w:tentative="0">
      <w:start w:val="1"/>
      <w:numFmt w:val="bullet"/>
      <w:pStyle w:val="64"/>
      <w:lvlText w:val=""/>
      <w:lvlJc w:val="left"/>
      <w:pPr>
        <w:tabs>
          <w:tab w:val="left" w:pos="1800"/>
        </w:tabs>
        <w:ind w:left="1800" w:hanging="360"/>
      </w:pPr>
      <w:rPr>
        <w:rFonts w:hint="default" w:ascii="Symbol" w:hAnsi="Symbol"/>
      </w:rPr>
    </w:lvl>
  </w:abstractNum>
  <w:abstractNum w:abstractNumId="5">
    <w:nsid w:val="FFFFFF81"/>
    <w:multiLevelType w:val="singleLevel"/>
    <w:tmpl w:val="FFFFFF81"/>
    <w:lvl w:ilvl="0" w:tentative="0">
      <w:start w:val="1"/>
      <w:numFmt w:val="bullet"/>
      <w:pStyle w:val="63"/>
      <w:lvlText w:val=""/>
      <w:lvlJc w:val="left"/>
      <w:pPr>
        <w:tabs>
          <w:tab w:val="left" w:pos="1440"/>
        </w:tabs>
        <w:ind w:left="1440" w:hanging="360"/>
      </w:pPr>
      <w:rPr>
        <w:rFonts w:hint="default" w:ascii="Symbol" w:hAnsi="Symbol"/>
      </w:rPr>
    </w:lvl>
  </w:abstractNum>
  <w:abstractNum w:abstractNumId="6">
    <w:nsid w:val="FFFFFF82"/>
    <w:multiLevelType w:val="singleLevel"/>
    <w:tmpl w:val="FFFFFF82"/>
    <w:lvl w:ilvl="0" w:tentative="0">
      <w:start w:val="1"/>
      <w:numFmt w:val="bullet"/>
      <w:pStyle w:val="62"/>
      <w:lvlText w:val=""/>
      <w:lvlJc w:val="left"/>
      <w:pPr>
        <w:tabs>
          <w:tab w:val="left" w:pos="1080"/>
        </w:tabs>
        <w:ind w:left="1080" w:hanging="360"/>
      </w:pPr>
      <w:rPr>
        <w:rFonts w:hint="default" w:ascii="Symbol" w:hAnsi="Symbol"/>
      </w:rPr>
    </w:lvl>
  </w:abstractNum>
  <w:abstractNum w:abstractNumId="7">
    <w:nsid w:val="FFFFFF83"/>
    <w:multiLevelType w:val="singleLevel"/>
    <w:tmpl w:val="FFFFFF83"/>
    <w:lvl w:ilvl="0" w:tentative="0">
      <w:start w:val="1"/>
      <w:numFmt w:val="bullet"/>
      <w:pStyle w:val="61"/>
      <w:lvlText w:val=""/>
      <w:lvlJc w:val="left"/>
      <w:pPr>
        <w:tabs>
          <w:tab w:val="left" w:pos="720"/>
        </w:tabs>
        <w:ind w:left="720" w:hanging="360"/>
      </w:pPr>
      <w:rPr>
        <w:rFonts w:hint="default" w:ascii="Symbol" w:hAnsi="Symbol"/>
      </w:rPr>
    </w:lvl>
  </w:abstractNum>
  <w:abstractNum w:abstractNumId="8">
    <w:nsid w:val="FFFFFF88"/>
    <w:multiLevelType w:val="singleLevel"/>
    <w:tmpl w:val="FFFFFF88"/>
    <w:lvl w:ilvl="0" w:tentative="0">
      <w:start w:val="1"/>
      <w:numFmt w:val="decimal"/>
      <w:pStyle w:val="70"/>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60"/>
      <w:lvlText w:val=""/>
      <w:lvlJc w:val="left"/>
      <w:pPr>
        <w:tabs>
          <w:tab w:val="left" w:pos="454"/>
        </w:tabs>
        <w:ind w:left="454" w:hanging="454"/>
      </w:pPr>
      <w:rPr>
        <w:rFonts w:hint="default" w:ascii="Symbol" w:hAnsi="Symbol"/>
      </w:rPr>
    </w:lvl>
  </w:abstractNum>
  <w:abstractNum w:abstractNumId="10">
    <w:nsid w:val="018F6F2D"/>
    <w:multiLevelType w:val="multilevel"/>
    <w:tmpl w:val="018F6F2D"/>
    <w:lvl w:ilvl="0" w:tentative="0">
      <w:start w:val="1"/>
      <w:numFmt w:val="upperRoman"/>
      <w:pStyle w:val="424"/>
      <w:lvlText w:val="%1."/>
      <w:lvlJc w:val="center"/>
      <w:pPr>
        <w:tabs>
          <w:tab w:val="left" w:pos="0"/>
        </w:tabs>
        <w:ind w:left="0" w:firstLine="0"/>
      </w:pPr>
      <w:rPr>
        <w:rFonts w:hint="default"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tentative="0">
      <w:start w:val="1"/>
      <w:numFmt w:val="upperLetter"/>
      <w:pStyle w:val="425"/>
      <w:lvlText w:val="%2."/>
      <w:lvlJc w:val="left"/>
      <w:pPr>
        <w:tabs>
          <w:tab w:val="left" w:pos="360"/>
        </w:tabs>
        <w:ind w:left="0" w:firstLine="0"/>
      </w:pPr>
      <w:rPr>
        <w:rFonts w:hint="default"/>
      </w:rPr>
    </w:lvl>
    <w:lvl w:ilvl="2" w:tentative="0">
      <w:start w:val="1"/>
      <w:numFmt w:val="decimal"/>
      <w:lvlText w:val="%3."/>
      <w:lvlJc w:val="left"/>
      <w:pPr>
        <w:tabs>
          <w:tab w:val="left" w:pos="720"/>
        </w:tabs>
        <w:ind w:left="720" w:firstLine="0"/>
      </w:pPr>
      <w:rPr>
        <w:rFonts w:hint="default"/>
      </w:rPr>
    </w:lvl>
    <w:lvl w:ilvl="3" w:tentative="0">
      <w:start w:val="1"/>
      <w:numFmt w:val="decimal"/>
      <w:lvlText w:val="%1.%2.%3.%4."/>
      <w:lvlJc w:val="left"/>
      <w:pPr>
        <w:tabs>
          <w:tab w:val="left" w:pos="1800"/>
        </w:tabs>
        <w:ind w:left="1728" w:hanging="648"/>
      </w:pPr>
      <w:rPr>
        <w:rFonts w:hint="default"/>
      </w:rPr>
    </w:lvl>
    <w:lvl w:ilvl="4" w:tentative="0">
      <w:start w:val="1"/>
      <w:numFmt w:val="decimal"/>
      <w:lvlText w:val="%1.%2.%3.%4.%5."/>
      <w:lvlJc w:val="left"/>
      <w:pPr>
        <w:tabs>
          <w:tab w:val="left" w:pos="2520"/>
        </w:tabs>
        <w:ind w:left="2232" w:hanging="792"/>
      </w:pPr>
      <w:rPr>
        <w:rFonts w:hint="default"/>
      </w:rPr>
    </w:lvl>
    <w:lvl w:ilvl="5" w:tentative="0">
      <w:start w:val="1"/>
      <w:numFmt w:val="decimal"/>
      <w:lvlText w:val="%1.%2.%3.%4.%5.%6."/>
      <w:lvlJc w:val="left"/>
      <w:pPr>
        <w:tabs>
          <w:tab w:val="left" w:pos="2880"/>
        </w:tabs>
        <w:ind w:left="2736" w:hanging="936"/>
      </w:pPr>
      <w:rPr>
        <w:rFonts w:hint="default"/>
      </w:rPr>
    </w:lvl>
    <w:lvl w:ilvl="6" w:tentative="0">
      <w:start w:val="1"/>
      <w:numFmt w:val="decimal"/>
      <w:lvlText w:val="%1.%2.%3.%4.%5.%6.%7."/>
      <w:lvlJc w:val="left"/>
      <w:pPr>
        <w:tabs>
          <w:tab w:val="left" w:pos="3600"/>
        </w:tabs>
        <w:ind w:left="3240" w:hanging="1080"/>
      </w:pPr>
      <w:rPr>
        <w:rFonts w:hint="default"/>
      </w:rPr>
    </w:lvl>
    <w:lvl w:ilvl="7" w:tentative="0">
      <w:start w:val="1"/>
      <w:numFmt w:val="decimal"/>
      <w:lvlText w:val="%1.%2.%3.%4.%5.%6.%7.%8."/>
      <w:lvlJc w:val="left"/>
      <w:pPr>
        <w:tabs>
          <w:tab w:val="left" w:pos="3960"/>
        </w:tabs>
        <w:ind w:left="3744" w:hanging="1224"/>
      </w:pPr>
      <w:rPr>
        <w:rFonts w:hint="default"/>
      </w:rPr>
    </w:lvl>
    <w:lvl w:ilvl="8" w:tentative="0">
      <w:start w:val="1"/>
      <w:numFmt w:val="decimal"/>
      <w:lvlText w:val="%1.%2.%3.%4.%5.%6.%7.%8.%9."/>
      <w:lvlJc w:val="left"/>
      <w:pPr>
        <w:tabs>
          <w:tab w:val="left" w:pos="4680"/>
        </w:tabs>
        <w:ind w:left="4320" w:hanging="1440"/>
      </w:pPr>
      <w:rPr>
        <w:rFonts w:hint="default"/>
      </w:rPr>
    </w:lvl>
  </w:abstractNum>
  <w:abstractNum w:abstractNumId="11">
    <w:nsid w:val="0403114C"/>
    <w:multiLevelType w:val="multilevel"/>
    <w:tmpl w:val="0403114C"/>
    <w:lvl w:ilvl="0" w:tentative="0">
      <w:start w:val="1"/>
      <w:numFmt w:val="bullet"/>
      <w:pStyle w:val="297"/>
      <w:lvlText w:val="◊"/>
      <w:lvlJc w:val="left"/>
      <w:pPr>
        <w:tabs>
          <w:tab w:val="left" w:pos="1701"/>
        </w:tabs>
        <w:ind w:left="1701" w:hanging="567"/>
      </w:pPr>
      <w:rPr>
        <w:rFonts w:hint="default" w:ascii="Times New Roman" w:cs="Times New Roman"/>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2">
    <w:nsid w:val="04BF4298"/>
    <w:multiLevelType w:val="multilevel"/>
    <w:tmpl w:val="04BF4298"/>
    <w:lvl w:ilvl="0" w:tentative="0">
      <w:start w:val="1"/>
      <w:numFmt w:val="bullet"/>
      <w:pStyle w:val="323"/>
      <w:lvlText w:val=""/>
      <w:lvlJc w:val="left"/>
      <w:pPr>
        <w:tabs>
          <w:tab w:val="left" w:pos="720"/>
        </w:tabs>
        <w:ind w:left="720" w:hanging="360"/>
      </w:pPr>
      <w:rPr>
        <w:rFonts w:hint="default" w:ascii="Symbol" w:hAnsi="Symbol"/>
      </w:rPr>
    </w:lvl>
    <w:lvl w:ilvl="1" w:tentative="0">
      <w:start w:val="1"/>
      <w:numFmt w:val="bullet"/>
      <w:lvlText w:val=""/>
      <w:lvlJc w:val="left"/>
      <w:pPr>
        <w:tabs>
          <w:tab w:val="left" w:pos="1440"/>
        </w:tabs>
        <w:ind w:left="1440" w:hanging="360"/>
      </w:pPr>
      <w:rPr>
        <w:rFonts w:hint="default" w:ascii="Symbol" w:hAnsi="Symbol"/>
      </w:rPr>
    </w:lvl>
    <w:lvl w:ilvl="2" w:tentative="0">
      <w:start w:val="1"/>
      <w:numFmt w:val="bullet"/>
      <w:lvlText w:val=""/>
      <w:lvlJc w:val="left"/>
      <w:pPr>
        <w:tabs>
          <w:tab w:val="left" w:pos="2160"/>
        </w:tabs>
        <w:ind w:left="2160" w:hanging="360"/>
      </w:pPr>
      <w:rPr>
        <w:rFonts w:hint="default" w:ascii="Wingdings" w:hAnsi="Wingdings"/>
      </w:rPr>
    </w:lvl>
    <w:lvl w:ilvl="3" w:tentative="0">
      <w:start w:val="0"/>
      <w:numFmt w:val="bullet"/>
      <w:lvlText w:val="•"/>
      <w:lvlJc w:val="left"/>
      <w:pPr>
        <w:ind w:left="2880" w:hanging="360"/>
      </w:pPr>
      <w:rPr>
        <w:rFonts w:hint="default" w:ascii="Times New Roman" w:hAnsi="Times New Roman" w:eastAsia="Times New Roman" w:cs="Times New Roman"/>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05F8218B"/>
    <w:multiLevelType w:val="multilevel"/>
    <w:tmpl w:val="05F8218B"/>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4">
    <w:nsid w:val="0B57401C"/>
    <w:multiLevelType w:val="multilevel"/>
    <w:tmpl w:val="0B57401C"/>
    <w:lvl w:ilvl="0" w:tentative="0">
      <w:start w:val="1"/>
      <w:numFmt w:val="bullet"/>
      <w:lvlText w:val=""/>
      <w:lvlJc w:val="left"/>
      <w:pPr>
        <w:ind w:left="1429" w:hanging="360"/>
      </w:pPr>
      <w:rPr>
        <w:rFonts w:hint="default" w:ascii="Symbol" w:hAnsi="Symbol"/>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5">
    <w:nsid w:val="17D45CBA"/>
    <w:multiLevelType w:val="singleLevel"/>
    <w:tmpl w:val="17D45CBA"/>
    <w:lvl w:ilvl="0" w:tentative="0">
      <w:start w:val="0"/>
      <w:numFmt w:val="bullet"/>
      <w:pStyle w:val="291"/>
      <w:lvlText w:val=""/>
      <w:lvlJc w:val="left"/>
      <w:pPr>
        <w:tabs>
          <w:tab w:val="left" w:pos="0"/>
        </w:tabs>
        <w:ind w:left="720" w:hanging="360"/>
      </w:pPr>
      <w:rPr>
        <w:rFonts w:hint="default" w:ascii="Symbol" w:hAnsi="Symbol"/>
        <w:sz w:val="16"/>
      </w:rPr>
    </w:lvl>
  </w:abstractNum>
  <w:abstractNum w:abstractNumId="16">
    <w:nsid w:val="1B5E2263"/>
    <w:multiLevelType w:val="singleLevel"/>
    <w:tmpl w:val="1B5E2263"/>
    <w:lvl w:ilvl="0" w:tentative="0">
      <w:start w:val="1"/>
      <w:numFmt w:val="bullet"/>
      <w:pStyle w:val="314"/>
      <w:lvlText w:val=""/>
      <w:lvlJc w:val="left"/>
      <w:pPr>
        <w:tabs>
          <w:tab w:val="left" w:pos="360"/>
        </w:tabs>
        <w:ind w:left="360" w:hanging="360"/>
      </w:pPr>
      <w:rPr>
        <w:rFonts w:hint="default" w:ascii="Wingdings" w:hAnsi="Wingdings"/>
      </w:rPr>
    </w:lvl>
  </w:abstractNum>
  <w:abstractNum w:abstractNumId="17">
    <w:nsid w:val="1D10347A"/>
    <w:multiLevelType w:val="multilevel"/>
    <w:tmpl w:val="1D10347A"/>
    <w:lvl w:ilvl="0" w:tentative="0">
      <w:start w:val="1"/>
      <w:numFmt w:val="bullet"/>
      <w:lvlText w:val=""/>
      <w:lvlJc w:val="left"/>
      <w:pPr>
        <w:ind w:left="1429" w:hanging="360"/>
      </w:pPr>
      <w:rPr>
        <w:rFonts w:hint="default" w:ascii="Wingdings" w:hAnsi="Wingdings"/>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18">
    <w:nsid w:val="1F1E0A00"/>
    <w:multiLevelType w:val="multilevel"/>
    <w:tmpl w:val="1F1E0A00"/>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9">
    <w:nsid w:val="2393081D"/>
    <w:multiLevelType w:val="multilevel"/>
    <w:tmpl w:val="2393081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0">
    <w:nsid w:val="24CA06E5"/>
    <w:multiLevelType w:val="multilevel"/>
    <w:tmpl w:val="24CA06E5"/>
    <w:lvl w:ilvl="0" w:tentative="0">
      <w:start w:val="1"/>
      <w:numFmt w:val="decimal"/>
      <w:lvlText w:val="2.%1"/>
      <w:lvlJc w:val="left"/>
      <w:pPr>
        <w:ind w:left="720" w:hanging="360"/>
      </w:pPr>
      <w:rPr>
        <w:rFonts w:hint="default"/>
      </w:rPr>
    </w:lvl>
    <w:lvl w:ilvl="1" w:tentative="0">
      <w:start w:val="1"/>
      <w:numFmt w:val="lowerLetter"/>
      <w:pStyle w:val="178"/>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1">
    <w:nsid w:val="298E6E72"/>
    <w:multiLevelType w:val="multilevel"/>
    <w:tmpl w:val="298E6E72"/>
    <w:lvl w:ilvl="0" w:tentative="0">
      <w:start w:val="1"/>
      <w:numFmt w:val="decimal"/>
      <w:pStyle w:val="421"/>
      <w:lvlText w:val="%1."/>
      <w:lvlJc w:val="left"/>
      <w:pPr>
        <w:ind w:left="1800" w:hanging="360"/>
      </w:pPr>
      <w:rPr>
        <w:rFonts w:hint="default"/>
      </w:rPr>
    </w:lvl>
    <w:lvl w:ilvl="1" w:tentative="0">
      <w:start w:val="1"/>
      <w:numFmt w:val="lowerLetter"/>
      <w:lvlText w:val="%2."/>
      <w:lvlJc w:val="left"/>
      <w:pPr>
        <w:ind w:left="2880" w:hanging="360"/>
      </w:pPr>
    </w:lvl>
    <w:lvl w:ilvl="2" w:tentative="0">
      <w:start w:val="1"/>
      <w:numFmt w:val="lowerRoman"/>
      <w:lvlText w:val="%3."/>
      <w:lvlJc w:val="right"/>
      <w:pPr>
        <w:ind w:left="3600" w:hanging="180"/>
      </w:pPr>
    </w:lvl>
    <w:lvl w:ilvl="3" w:tentative="0">
      <w:start w:val="1"/>
      <w:numFmt w:val="decimal"/>
      <w:lvlText w:val="%4."/>
      <w:lvlJc w:val="left"/>
      <w:pPr>
        <w:ind w:left="4320" w:hanging="360"/>
      </w:pPr>
    </w:lvl>
    <w:lvl w:ilvl="4" w:tentative="0">
      <w:start w:val="1"/>
      <w:numFmt w:val="lowerLetter"/>
      <w:lvlText w:val="%5."/>
      <w:lvlJc w:val="left"/>
      <w:pPr>
        <w:ind w:left="5040" w:hanging="360"/>
      </w:pPr>
    </w:lvl>
    <w:lvl w:ilvl="5" w:tentative="0">
      <w:start w:val="1"/>
      <w:numFmt w:val="lowerRoman"/>
      <w:lvlText w:val="%6."/>
      <w:lvlJc w:val="right"/>
      <w:pPr>
        <w:ind w:left="5760" w:hanging="180"/>
      </w:pPr>
    </w:lvl>
    <w:lvl w:ilvl="6" w:tentative="0">
      <w:start w:val="1"/>
      <w:numFmt w:val="decimal"/>
      <w:lvlText w:val="%7."/>
      <w:lvlJc w:val="left"/>
      <w:pPr>
        <w:ind w:left="6480" w:hanging="360"/>
      </w:pPr>
    </w:lvl>
    <w:lvl w:ilvl="7" w:tentative="0">
      <w:start w:val="1"/>
      <w:numFmt w:val="lowerLetter"/>
      <w:lvlText w:val="%8."/>
      <w:lvlJc w:val="left"/>
      <w:pPr>
        <w:ind w:left="7200" w:hanging="360"/>
      </w:pPr>
    </w:lvl>
    <w:lvl w:ilvl="8" w:tentative="0">
      <w:start w:val="1"/>
      <w:numFmt w:val="lowerRoman"/>
      <w:lvlText w:val="%9."/>
      <w:lvlJc w:val="right"/>
      <w:pPr>
        <w:ind w:left="7920" w:hanging="180"/>
      </w:pPr>
    </w:lvl>
  </w:abstractNum>
  <w:abstractNum w:abstractNumId="22">
    <w:nsid w:val="2A5E200D"/>
    <w:multiLevelType w:val="multilevel"/>
    <w:tmpl w:val="2A5E200D"/>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23">
    <w:nsid w:val="32AF185F"/>
    <w:multiLevelType w:val="multilevel"/>
    <w:tmpl w:val="32AF185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4">
    <w:nsid w:val="35EC6824"/>
    <w:multiLevelType w:val="multilevel"/>
    <w:tmpl w:val="35EC6824"/>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5">
    <w:nsid w:val="36DE30F1"/>
    <w:multiLevelType w:val="multilevel"/>
    <w:tmpl w:val="36DE30F1"/>
    <w:lvl w:ilvl="0" w:tentative="0">
      <w:start w:val="1"/>
      <w:numFmt w:val="bullet"/>
      <w:lvlText w:val=""/>
      <w:lvlJc w:val="left"/>
      <w:pPr>
        <w:ind w:left="2160" w:hanging="360"/>
      </w:pPr>
      <w:rPr>
        <w:rFonts w:hint="default" w:ascii="Symbol" w:hAnsi="Symbol"/>
      </w:rPr>
    </w:lvl>
    <w:lvl w:ilvl="1" w:tentative="0">
      <w:start w:val="1"/>
      <w:numFmt w:val="bullet"/>
      <w:lvlText w:val="o"/>
      <w:lvlJc w:val="left"/>
      <w:pPr>
        <w:ind w:left="2880" w:hanging="360"/>
      </w:pPr>
      <w:rPr>
        <w:rFonts w:hint="default" w:ascii="Courier New" w:hAnsi="Courier New" w:cs="Courier New"/>
      </w:rPr>
    </w:lvl>
    <w:lvl w:ilvl="2" w:tentative="0">
      <w:start w:val="1"/>
      <w:numFmt w:val="bullet"/>
      <w:lvlText w:val=""/>
      <w:lvlJc w:val="left"/>
      <w:pPr>
        <w:ind w:left="3600" w:hanging="360"/>
      </w:pPr>
      <w:rPr>
        <w:rFonts w:hint="default" w:ascii="Wingdings" w:hAnsi="Wingdings"/>
      </w:rPr>
    </w:lvl>
    <w:lvl w:ilvl="3" w:tentative="0">
      <w:start w:val="1"/>
      <w:numFmt w:val="bullet"/>
      <w:lvlText w:val=""/>
      <w:lvlJc w:val="left"/>
      <w:pPr>
        <w:ind w:left="4320" w:hanging="360"/>
      </w:pPr>
      <w:rPr>
        <w:rFonts w:hint="default" w:ascii="Symbol" w:hAnsi="Symbol"/>
      </w:rPr>
    </w:lvl>
    <w:lvl w:ilvl="4" w:tentative="0">
      <w:start w:val="1"/>
      <w:numFmt w:val="bullet"/>
      <w:lvlText w:val="o"/>
      <w:lvlJc w:val="left"/>
      <w:pPr>
        <w:ind w:left="5040" w:hanging="360"/>
      </w:pPr>
      <w:rPr>
        <w:rFonts w:hint="default" w:ascii="Courier New" w:hAnsi="Courier New" w:cs="Courier New"/>
      </w:rPr>
    </w:lvl>
    <w:lvl w:ilvl="5" w:tentative="0">
      <w:start w:val="1"/>
      <w:numFmt w:val="bullet"/>
      <w:lvlText w:val=""/>
      <w:lvlJc w:val="left"/>
      <w:pPr>
        <w:ind w:left="5760" w:hanging="360"/>
      </w:pPr>
      <w:rPr>
        <w:rFonts w:hint="default" w:ascii="Wingdings" w:hAnsi="Wingdings"/>
      </w:rPr>
    </w:lvl>
    <w:lvl w:ilvl="6" w:tentative="0">
      <w:start w:val="1"/>
      <w:numFmt w:val="bullet"/>
      <w:lvlText w:val=""/>
      <w:lvlJc w:val="left"/>
      <w:pPr>
        <w:ind w:left="6480" w:hanging="360"/>
      </w:pPr>
      <w:rPr>
        <w:rFonts w:hint="default" w:ascii="Symbol" w:hAnsi="Symbol"/>
      </w:rPr>
    </w:lvl>
    <w:lvl w:ilvl="7" w:tentative="0">
      <w:start w:val="1"/>
      <w:numFmt w:val="bullet"/>
      <w:lvlText w:val="o"/>
      <w:lvlJc w:val="left"/>
      <w:pPr>
        <w:ind w:left="7200" w:hanging="360"/>
      </w:pPr>
      <w:rPr>
        <w:rFonts w:hint="default" w:ascii="Courier New" w:hAnsi="Courier New" w:cs="Courier New"/>
      </w:rPr>
    </w:lvl>
    <w:lvl w:ilvl="8" w:tentative="0">
      <w:start w:val="1"/>
      <w:numFmt w:val="bullet"/>
      <w:lvlText w:val=""/>
      <w:lvlJc w:val="left"/>
      <w:pPr>
        <w:ind w:left="7920" w:hanging="360"/>
      </w:pPr>
      <w:rPr>
        <w:rFonts w:hint="default" w:ascii="Wingdings" w:hAnsi="Wingdings"/>
      </w:rPr>
    </w:lvl>
  </w:abstractNum>
  <w:abstractNum w:abstractNumId="26">
    <w:nsid w:val="3780656D"/>
    <w:multiLevelType w:val="multilevel"/>
    <w:tmpl w:val="3780656D"/>
    <w:lvl w:ilvl="0" w:tentative="0">
      <w:start w:val="1"/>
      <w:numFmt w:val="lowerLetter"/>
      <w:pStyle w:val="260"/>
      <w:lvlText w:val="(%1)"/>
      <w:lvlJc w:val="left"/>
      <w:pPr>
        <w:tabs>
          <w:tab w:val="left" w:pos="432"/>
        </w:tabs>
        <w:ind w:left="432" w:hanging="432"/>
      </w:pPr>
      <w:rPr>
        <w:rFonts w:ascii="Arial" w:hAnsi="Arial" w:eastAsia="Times New Roman" w:cs="Times New Roman"/>
        <w:sz w:val="22"/>
        <w:szCs w:val="22"/>
      </w:rPr>
    </w:lvl>
    <w:lvl w:ilvl="1" w:tentative="0">
      <w:start w:val="1"/>
      <w:numFmt w:val="lowerLetter"/>
      <w:lvlText w:val="(%2)"/>
      <w:lvlJc w:val="left"/>
      <w:pPr>
        <w:ind w:left="1022" w:hanging="360"/>
      </w:pPr>
      <w:rPr>
        <w:rFonts w:hint="default"/>
      </w:rPr>
    </w:lvl>
    <w:lvl w:ilvl="2" w:tentative="0">
      <w:start w:val="1"/>
      <w:numFmt w:val="lowerLetter"/>
      <w:lvlText w:val="(%3)"/>
      <w:lvlJc w:val="left"/>
      <w:pPr>
        <w:ind w:left="1922" w:hanging="360"/>
      </w:pPr>
      <w:rPr>
        <w:rFonts w:hint="default"/>
      </w:rPr>
    </w:lvl>
    <w:lvl w:ilvl="3" w:tentative="0">
      <w:start w:val="72"/>
      <w:numFmt w:val="decimal"/>
      <w:lvlText w:val="%4."/>
      <w:lvlJc w:val="left"/>
      <w:pPr>
        <w:ind w:left="2462" w:hanging="360"/>
      </w:pPr>
      <w:rPr>
        <w:rFonts w:hint="default"/>
      </w:rPr>
    </w:lvl>
    <w:lvl w:ilvl="4" w:tentative="0">
      <w:start w:val="1"/>
      <w:numFmt w:val="lowerLetter"/>
      <w:lvlText w:val="%5)"/>
      <w:lvlJc w:val="left"/>
      <w:pPr>
        <w:ind w:left="3202" w:hanging="380"/>
      </w:pPr>
      <w:rPr>
        <w:rFonts w:hint="default"/>
      </w:rPr>
    </w:lvl>
    <w:lvl w:ilvl="5" w:tentative="0">
      <w:start w:val="1"/>
      <w:numFmt w:val="lowerRoman"/>
      <w:lvlText w:val="%6."/>
      <w:lvlJc w:val="right"/>
      <w:pPr>
        <w:ind w:left="3902" w:hanging="180"/>
      </w:pPr>
    </w:lvl>
    <w:lvl w:ilvl="6" w:tentative="0">
      <w:start w:val="1"/>
      <w:numFmt w:val="decimal"/>
      <w:lvlText w:val="%7."/>
      <w:lvlJc w:val="left"/>
      <w:pPr>
        <w:ind w:left="4622" w:hanging="360"/>
      </w:pPr>
    </w:lvl>
    <w:lvl w:ilvl="7" w:tentative="0">
      <w:start w:val="1"/>
      <w:numFmt w:val="lowerLetter"/>
      <w:lvlText w:val="%8."/>
      <w:lvlJc w:val="left"/>
      <w:pPr>
        <w:ind w:left="5342" w:hanging="360"/>
      </w:pPr>
    </w:lvl>
    <w:lvl w:ilvl="8" w:tentative="0">
      <w:start w:val="1"/>
      <w:numFmt w:val="lowerRoman"/>
      <w:lvlText w:val="%9."/>
      <w:lvlJc w:val="right"/>
      <w:pPr>
        <w:ind w:left="6062" w:hanging="180"/>
      </w:pPr>
    </w:lvl>
  </w:abstractNum>
  <w:abstractNum w:abstractNumId="27">
    <w:nsid w:val="3A6D1B9D"/>
    <w:multiLevelType w:val="multilevel"/>
    <w:tmpl w:val="3A6D1B9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3C973509"/>
    <w:multiLevelType w:val="multilevel"/>
    <w:tmpl w:val="3C973509"/>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9">
    <w:nsid w:val="3D297C06"/>
    <w:multiLevelType w:val="multilevel"/>
    <w:tmpl w:val="3D297C06"/>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30">
    <w:nsid w:val="42075536"/>
    <w:multiLevelType w:val="multilevel"/>
    <w:tmpl w:val="42075536"/>
    <w:lvl w:ilvl="0" w:tentative="0">
      <w:start w:val="1"/>
      <w:numFmt w:val="bullet"/>
      <w:pStyle w:val="170"/>
      <w:lvlText w:val=""/>
      <w:lvlJc w:val="left"/>
      <w:pPr>
        <w:tabs>
          <w:tab w:val="left" w:pos="567"/>
        </w:tabs>
        <w:ind w:left="576" w:hanging="292"/>
      </w:pPr>
      <w:rPr>
        <w:rFonts w:hint="default" w:ascii="Symbol" w:hAnsi="Symbol"/>
        <w:sz w:val="24"/>
        <w:szCs w:val="24"/>
      </w:rPr>
    </w:lvl>
    <w:lvl w:ilvl="1" w:tentative="0">
      <w:start w:val="1"/>
      <w:numFmt w:val="bullet"/>
      <w:lvlText w:val="-"/>
      <w:lvlJc w:val="left"/>
      <w:pPr>
        <w:ind w:left="1008" w:hanging="288"/>
      </w:pPr>
      <w:rPr>
        <w:rFonts w:hint="default" w:ascii="Courier New" w:hAnsi="Courier New"/>
      </w:rPr>
    </w:lvl>
    <w:lvl w:ilvl="2" w:tentative="0">
      <w:start w:val="1"/>
      <w:numFmt w:val="bullet"/>
      <w:lvlText w:val="o"/>
      <w:lvlJc w:val="left"/>
      <w:pPr>
        <w:ind w:left="1440" w:hanging="288"/>
      </w:pPr>
      <w:rPr>
        <w:rFonts w:hint="default" w:ascii="Courier New" w:hAnsi="Courier New"/>
      </w:rPr>
    </w:lvl>
    <w:lvl w:ilvl="3" w:tentative="0">
      <w:start w:val="1"/>
      <w:numFmt w:val="bullet"/>
      <w:lvlText w:val=""/>
      <w:lvlJc w:val="left"/>
      <w:pPr>
        <w:ind w:left="1872" w:hanging="288"/>
      </w:pPr>
      <w:rPr>
        <w:rFonts w:hint="default" w:ascii="Wingdings" w:hAnsi="Wingdings"/>
      </w:rPr>
    </w:lvl>
    <w:lvl w:ilvl="4" w:tentative="0">
      <w:start w:val="1"/>
      <w:numFmt w:val="bullet"/>
      <w:lvlText w:val="o"/>
      <w:lvlJc w:val="left"/>
      <w:pPr>
        <w:ind w:left="3884" w:hanging="360"/>
      </w:pPr>
      <w:rPr>
        <w:rFonts w:hint="default" w:ascii="Courier New" w:hAnsi="Courier New"/>
      </w:rPr>
    </w:lvl>
    <w:lvl w:ilvl="5" w:tentative="0">
      <w:start w:val="1"/>
      <w:numFmt w:val="bullet"/>
      <w:lvlText w:val=""/>
      <w:lvlJc w:val="left"/>
      <w:pPr>
        <w:ind w:left="4604" w:hanging="360"/>
      </w:pPr>
      <w:rPr>
        <w:rFonts w:hint="default" w:ascii="Wingdings" w:hAnsi="Wingdings"/>
      </w:rPr>
    </w:lvl>
    <w:lvl w:ilvl="6" w:tentative="0">
      <w:start w:val="1"/>
      <w:numFmt w:val="bullet"/>
      <w:lvlText w:val=""/>
      <w:lvlJc w:val="left"/>
      <w:pPr>
        <w:ind w:left="5324" w:hanging="360"/>
      </w:pPr>
      <w:rPr>
        <w:rFonts w:hint="default" w:ascii="Symbol" w:hAnsi="Symbol"/>
      </w:rPr>
    </w:lvl>
    <w:lvl w:ilvl="7" w:tentative="0">
      <w:start w:val="1"/>
      <w:numFmt w:val="bullet"/>
      <w:lvlText w:val="o"/>
      <w:lvlJc w:val="left"/>
      <w:pPr>
        <w:ind w:left="6044" w:hanging="360"/>
      </w:pPr>
      <w:rPr>
        <w:rFonts w:hint="default" w:ascii="Courier New" w:hAnsi="Courier New"/>
      </w:rPr>
    </w:lvl>
    <w:lvl w:ilvl="8" w:tentative="0">
      <w:start w:val="1"/>
      <w:numFmt w:val="bullet"/>
      <w:lvlText w:val=""/>
      <w:lvlJc w:val="left"/>
      <w:pPr>
        <w:ind w:left="6764" w:hanging="360"/>
      </w:pPr>
      <w:rPr>
        <w:rFonts w:hint="default" w:ascii="Wingdings" w:hAnsi="Wingdings"/>
      </w:rPr>
    </w:lvl>
  </w:abstractNum>
  <w:abstractNum w:abstractNumId="31">
    <w:nsid w:val="42D47A02"/>
    <w:multiLevelType w:val="multilevel"/>
    <w:tmpl w:val="42D47A02"/>
    <w:lvl w:ilvl="0" w:tentative="0">
      <w:start w:val="1"/>
      <w:numFmt w:val="bullet"/>
      <w:lvlText w:val=""/>
      <w:lvlJc w:val="left"/>
      <w:pPr>
        <w:ind w:left="1429" w:hanging="360"/>
      </w:pPr>
      <w:rPr>
        <w:rFonts w:hint="default" w:ascii="Wingdings" w:hAnsi="Wingdings"/>
      </w:rPr>
    </w:lvl>
    <w:lvl w:ilvl="1" w:tentative="0">
      <w:start w:val="1"/>
      <w:numFmt w:val="bullet"/>
      <w:lvlText w:val="o"/>
      <w:lvlJc w:val="left"/>
      <w:pPr>
        <w:ind w:left="2149" w:hanging="360"/>
      </w:pPr>
      <w:rPr>
        <w:rFonts w:hint="default" w:ascii="Courier New" w:hAnsi="Courier New" w:cs="Courier New"/>
      </w:rPr>
    </w:lvl>
    <w:lvl w:ilvl="2" w:tentative="0">
      <w:start w:val="1"/>
      <w:numFmt w:val="bullet"/>
      <w:lvlText w:val=""/>
      <w:lvlJc w:val="left"/>
      <w:pPr>
        <w:ind w:left="2869" w:hanging="360"/>
      </w:pPr>
      <w:rPr>
        <w:rFonts w:hint="default" w:ascii="Wingdings" w:hAnsi="Wingdings"/>
      </w:rPr>
    </w:lvl>
    <w:lvl w:ilvl="3" w:tentative="0">
      <w:start w:val="1"/>
      <w:numFmt w:val="bullet"/>
      <w:lvlText w:val=""/>
      <w:lvlJc w:val="left"/>
      <w:pPr>
        <w:ind w:left="3589" w:hanging="360"/>
      </w:pPr>
      <w:rPr>
        <w:rFonts w:hint="default" w:ascii="Symbol" w:hAnsi="Symbol"/>
      </w:rPr>
    </w:lvl>
    <w:lvl w:ilvl="4" w:tentative="0">
      <w:start w:val="1"/>
      <w:numFmt w:val="bullet"/>
      <w:lvlText w:val="o"/>
      <w:lvlJc w:val="left"/>
      <w:pPr>
        <w:ind w:left="4309" w:hanging="360"/>
      </w:pPr>
      <w:rPr>
        <w:rFonts w:hint="default" w:ascii="Courier New" w:hAnsi="Courier New" w:cs="Courier New"/>
      </w:rPr>
    </w:lvl>
    <w:lvl w:ilvl="5" w:tentative="0">
      <w:start w:val="1"/>
      <w:numFmt w:val="bullet"/>
      <w:lvlText w:val=""/>
      <w:lvlJc w:val="left"/>
      <w:pPr>
        <w:ind w:left="5029" w:hanging="360"/>
      </w:pPr>
      <w:rPr>
        <w:rFonts w:hint="default" w:ascii="Wingdings" w:hAnsi="Wingdings"/>
      </w:rPr>
    </w:lvl>
    <w:lvl w:ilvl="6" w:tentative="0">
      <w:start w:val="1"/>
      <w:numFmt w:val="bullet"/>
      <w:lvlText w:val=""/>
      <w:lvlJc w:val="left"/>
      <w:pPr>
        <w:ind w:left="5749" w:hanging="360"/>
      </w:pPr>
      <w:rPr>
        <w:rFonts w:hint="default" w:ascii="Symbol" w:hAnsi="Symbol"/>
      </w:rPr>
    </w:lvl>
    <w:lvl w:ilvl="7" w:tentative="0">
      <w:start w:val="1"/>
      <w:numFmt w:val="bullet"/>
      <w:lvlText w:val="o"/>
      <w:lvlJc w:val="left"/>
      <w:pPr>
        <w:ind w:left="6469" w:hanging="360"/>
      </w:pPr>
      <w:rPr>
        <w:rFonts w:hint="default" w:ascii="Courier New" w:hAnsi="Courier New" w:cs="Courier New"/>
      </w:rPr>
    </w:lvl>
    <w:lvl w:ilvl="8" w:tentative="0">
      <w:start w:val="1"/>
      <w:numFmt w:val="bullet"/>
      <w:lvlText w:val=""/>
      <w:lvlJc w:val="left"/>
      <w:pPr>
        <w:ind w:left="7189" w:hanging="360"/>
      </w:pPr>
      <w:rPr>
        <w:rFonts w:hint="default" w:ascii="Wingdings" w:hAnsi="Wingdings"/>
      </w:rPr>
    </w:lvl>
  </w:abstractNum>
  <w:abstractNum w:abstractNumId="32">
    <w:nsid w:val="45591F5E"/>
    <w:multiLevelType w:val="multilevel"/>
    <w:tmpl w:val="45591F5E"/>
    <w:lvl w:ilvl="0" w:tentative="0">
      <w:start w:val="1"/>
      <w:numFmt w:val="upperRoman"/>
      <w:lvlText w:val="Article %1."/>
      <w:lvlJc w:val="left"/>
      <w:pPr>
        <w:tabs>
          <w:tab w:val="left" w:pos="2160"/>
        </w:tabs>
        <w:ind w:left="0" w:firstLine="0"/>
      </w:pPr>
    </w:lvl>
    <w:lvl w:ilvl="1" w:tentative="0">
      <w:start w:val="1"/>
      <w:numFmt w:val="decimalZero"/>
      <w:isLgl/>
      <w:lvlText w:val="Section %1.%2"/>
      <w:lvlJc w:val="left"/>
      <w:pPr>
        <w:tabs>
          <w:tab w:val="left" w:pos="2160"/>
        </w:tabs>
        <w:ind w:left="0" w:firstLine="0"/>
      </w:pPr>
    </w:lvl>
    <w:lvl w:ilvl="2" w:tentative="0">
      <w:start w:val="1"/>
      <w:numFmt w:val="lowerLetter"/>
      <w:lvlText w:val="(%3)"/>
      <w:lvlJc w:val="left"/>
      <w:pPr>
        <w:tabs>
          <w:tab w:val="left" w:pos="1008"/>
        </w:tabs>
        <w:ind w:left="720" w:hanging="432"/>
      </w:pPr>
    </w:lvl>
    <w:lvl w:ilvl="3" w:tentative="0">
      <w:start w:val="1"/>
      <w:numFmt w:val="lowerRoman"/>
      <w:lvlText w:val="(%4)"/>
      <w:lvlJc w:val="right"/>
      <w:pPr>
        <w:tabs>
          <w:tab w:val="left" w:pos="864"/>
        </w:tabs>
        <w:ind w:left="864" w:hanging="144"/>
      </w:pPr>
    </w:lvl>
    <w:lvl w:ilvl="4" w:tentative="0">
      <w:start w:val="1"/>
      <w:numFmt w:val="decimal"/>
      <w:lvlText w:val="%5)"/>
      <w:lvlJc w:val="left"/>
      <w:pPr>
        <w:tabs>
          <w:tab w:val="left" w:pos="1008"/>
        </w:tabs>
        <w:ind w:left="1008" w:hanging="432"/>
      </w:pPr>
    </w:lvl>
    <w:lvl w:ilvl="5" w:tentative="0">
      <w:start w:val="1"/>
      <w:numFmt w:val="lowerLetter"/>
      <w:lvlText w:val="%6)"/>
      <w:lvlJc w:val="left"/>
      <w:pPr>
        <w:tabs>
          <w:tab w:val="left" w:pos="1152"/>
        </w:tabs>
        <w:ind w:left="1152" w:hanging="432"/>
      </w:pPr>
    </w:lvl>
    <w:lvl w:ilvl="6" w:tentative="0">
      <w:start w:val="1"/>
      <w:numFmt w:val="lowerRoman"/>
      <w:lvlText w:val="%7)"/>
      <w:lvlJc w:val="right"/>
      <w:pPr>
        <w:tabs>
          <w:tab w:val="left" w:pos="1296"/>
        </w:tabs>
        <w:ind w:left="1296" w:hanging="288"/>
      </w:pPr>
    </w:lvl>
    <w:lvl w:ilvl="7" w:tentative="0">
      <w:start w:val="1"/>
      <w:numFmt w:val="lowerLetter"/>
      <w:lvlText w:val="%8."/>
      <w:lvlJc w:val="left"/>
      <w:pPr>
        <w:tabs>
          <w:tab w:val="left" w:pos="1440"/>
        </w:tabs>
        <w:ind w:left="1440" w:hanging="432"/>
      </w:pPr>
    </w:lvl>
    <w:lvl w:ilvl="8" w:tentative="0">
      <w:start w:val="1"/>
      <w:numFmt w:val="lowerRoman"/>
      <w:lvlText w:val="%9."/>
      <w:lvlJc w:val="right"/>
      <w:pPr>
        <w:tabs>
          <w:tab w:val="left" w:pos="1584"/>
        </w:tabs>
        <w:ind w:left="1584" w:hanging="144"/>
      </w:pPr>
    </w:lvl>
  </w:abstractNum>
  <w:abstractNum w:abstractNumId="33">
    <w:nsid w:val="457F5C8A"/>
    <w:multiLevelType w:val="multilevel"/>
    <w:tmpl w:val="457F5C8A"/>
    <w:lvl w:ilvl="0" w:tentative="0">
      <w:start w:val="1"/>
      <w:numFmt w:val="bullet"/>
      <w:pStyle w:val="115"/>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4F982F33"/>
    <w:multiLevelType w:val="singleLevel"/>
    <w:tmpl w:val="4F982F33"/>
    <w:lvl w:ilvl="0" w:tentative="0">
      <w:start w:val="1"/>
      <w:numFmt w:val="bullet"/>
      <w:pStyle w:val="268"/>
      <w:lvlText w:val=""/>
      <w:lvlJc w:val="left"/>
      <w:pPr>
        <w:tabs>
          <w:tab w:val="left" w:pos="4464"/>
        </w:tabs>
        <w:ind w:left="4464" w:hanging="576"/>
      </w:pPr>
      <w:rPr>
        <w:rFonts w:hint="default" w:ascii="Symbol" w:hAnsi="Symbol"/>
      </w:rPr>
    </w:lvl>
  </w:abstractNum>
  <w:abstractNum w:abstractNumId="35">
    <w:nsid w:val="54FC1720"/>
    <w:multiLevelType w:val="multilevel"/>
    <w:tmpl w:val="54FC1720"/>
    <w:lvl w:ilvl="0" w:tentative="0">
      <w:start w:val="1"/>
      <w:numFmt w:val="decimal"/>
      <w:pStyle w:val="444"/>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36">
    <w:nsid w:val="5BCE4519"/>
    <w:multiLevelType w:val="multilevel"/>
    <w:tmpl w:val="5BCE4519"/>
    <w:lvl w:ilvl="0" w:tentative="0">
      <w:start w:val="1"/>
      <w:numFmt w:val="decimal"/>
      <w:lvlText w:val="%1."/>
      <w:lvlJc w:val="left"/>
      <w:pPr>
        <w:ind w:left="427"/>
      </w:pPr>
      <w:rPr>
        <w:rFonts w:ascii="Arial" w:hAnsi="Arial" w:eastAsia="Arial" w:cs="Arial"/>
        <w:b w:val="0"/>
        <w:i w:val="0"/>
        <w:strike w:val="0"/>
        <w:dstrike w:val="0"/>
        <w:color w:val="231F20"/>
        <w:sz w:val="22"/>
        <w:szCs w:val="22"/>
        <w:u w:val="none" w:color="000000"/>
        <w:shd w:val="clear" w:color="auto" w:fill="auto"/>
        <w:vertAlign w:val="baseline"/>
      </w:rPr>
    </w:lvl>
    <w:lvl w:ilvl="1" w:tentative="0">
      <w:start w:val="1"/>
      <w:numFmt w:val="lowerLetter"/>
      <w:lvlText w:val="%2"/>
      <w:lvlJc w:val="left"/>
      <w:pPr>
        <w:ind w:left="1080"/>
      </w:pPr>
      <w:rPr>
        <w:rFonts w:ascii="Arial" w:hAnsi="Arial" w:eastAsia="Arial" w:cs="Arial"/>
        <w:b w:val="0"/>
        <w:i w:val="0"/>
        <w:strike w:val="0"/>
        <w:dstrike w:val="0"/>
        <w:color w:val="231F20"/>
        <w:sz w:val="22"/>
        <w:szCs w:val="22"/>
        <w:u w:val="none" w:color="000000"/>
        <w:shd w:val="clear" w:color="auto" w:fill="auto"/>
        <w:vertAlign w:val="baseline"/>
      </w:rPr>
    </w:lvl>
    <w:lvl w:ilvl="2" w:tentative="0">
      <w:start w:val="1"/>
      <w:numFmt w:val="lowerRoman"/>
      <w:lvlText w:val="%3"/>
      <w:lvlJc w:val="left"/>
      <w:pPr>
        <w:ind w:left="1800"/>
      </w:pPr>
      <w:rPr>
        <w:rFonts w:ascii="Arial" w:hAnsi="Arial" w:eastAsia="Arial" w:cs="Arial"/>
        <w:b w:val="0"/>
        <w:i w:val="0"/>
        <w:strike w:val="0"/>
        <w:dstrike w:val="0"/>
        <w:color w:val="231F20"/>
        <w:sz w:val="22"/>
        <w:szCs w:val="22"/>
        <w:u w:val="none" w:color="000000"/>
        <w:shd w:val="clear" w:color="auto" w:fill="auto"/>
        <w:vertAlign w:val="baseline"/>
      </w:rPr>
    </w:lvl>
    <w:lvl w:ilvl="3" w:tentative="0">
      <w:start w:val="1"/>
      <w:numFmt w:val="decimal"/>
      <w:lvlText w:val="%4"/>
      <w:lvlJc w:val="left"/>
      <w:pPr>
        <w:ind w:left="2520"/>
      </w:pPr>
      <w:rPr>
        <w:rFonts w:ascii="Arial" w:hAnsi="Arial" w:eastAsia="Arial" w:cs="Arial"/>
        <w:b w:val="0"/>
        <w:i w:val="0"/>
        <w:strike w:val="0"/>
        <w:dstrike w:val="0"/>
        <w:color w:val="231F20"/>
        <w:sz w:val="22"/>
        <w:szCs w:val="22"/>
        <w:u w:val="none" w:color="000000"/>
        <w:shd w:val="clear" w:color="auto" w:fill="auto"/>
        <w:vertAlign w:val="baseline"/>
      </w:rPr>
    </w:lvl>
    <w:lvl w:ilvl="4" w:tentative="0">
      <w:start w:val="1"/>
      <w:numFmt w:val="lowerLetter"/>
      <w:lvlText w:val="%5"/>
      <w:lvlJc w:val="left"/>
      <w:pPr>
        <w:ind w:left="3240"/>
      </w:pPr>
      <w:rPr>
        <w:rFonts w:ascii="Arial" w:hAnsi="Arial" w:eastAsia="Arial" w:cs="Arial"/>
        <w:b w:val="0"/>
        <w:i w:val="0"/>
        <w:strike w:val="0"/>
        <w:dstrike w:val="0"/>
        <w:color w:val="231F20"/>
        <w:sz w:val="22"/>
        <w:szCs w:val="22"/>
        <w:u w:val="none" w:color="000000"/>
        <w:shd w:val="clear" w:color="auto" w:fill="auto"/>
        <w:vertAlign w:val="baseline"/>
      </w:rPr>
    </w:lvl>
    <w:lvl w:ilvl="5" w:tentative="0">
      <w:start w:val="1"/>
      <w:numFmt w:val="lowerRoman"/>
      <w:lvlText w:val="%6"/>
      <w:lvlJc w:val="left"/>
      <w:pPr>
        <w:ind w:left="3960"/>
      </w:pPr>
      <w:rPr>
        <w:rFonts w:ascii="Arial" w:hAnsi="Arial" w:eastAsia="Arial" w:cs="Arial"/>
        <w:b w:val="0"/>
        <w:i w:val="0"/>
        <w:strike w:val="0"/>
        <w:dstrike w:val="0"/>
        <w:color w:val="231F20"/>
        <w:sz w:val="22"/>
        <w:szCs w:val="22"/>
        <w:u w:val="none" w:color="000000"/>
        <w:shd w:val="clear" w:color="auto" w:fill="auto"/>
        <w:vertAlign w:val="baseline"/>
      </w:rPr>
    </w:lvl>
    <w:lvl w:ilvl="6" w:tentative="0">
      <w:start w:val="1"/>
      <w:numFmt w:val="decimal"/>
      <w:lvlText w:val="%7"/>
      <w:lvlJc w:val="left"/>
      <w:pPr>
        <w:ind w:left="4680"/>
      </w:pPr>
      <w:rPr>
        <w:rFonts w:ascii="Arial" w:hAnsi="Arial" w:eastAsia="Arial" w:cs="Arial"/>
        <w:b w:val="0"/>
        <w:i w:val="0"/>
        <w:strike w:val="0"/>
        <w:dstrike w:val="0"/>
        <w:color w:val="231F20"/>
        <w:sz w:val="22"/>
        <w:szCs w:val="22"/>
        <w:u w:val="none" w:color="000000"/>
        <w:shd w:val="clear" w:color="auto" w:fill="auto"/>
        <w:vertAlign w:val="baseline"/>
      </w:rPr>
    </w:lvl>
    <w:lvl w:ilvl="7" w:tentative="0">
      <w:start w:val="1"/>
      <w:numFmt w:val="lowerLetter"/>
      <w:lvlText w:val="%8"/>
      <w:lvlJc w:val="left"/>
      <w:pPr>
        <w:ind w:left="5400"/>
      </w:pPr>
      <w:rPr>
        <w:rFonts w:ascii="Arial" w:hAnsi="Arial" w:eastAsia="Arial" w:cs="Arial"/>
        <w:b w:val="0"/>
        <w:i w:val="0"/>
        <w:strike w:val="0"/>
        <w:dstrike w:val="0"/>
        <w:color w:val="231F20"/>
        <w:sz w:val="22"/>
        <w:szCs w:val="22"/>
        <w:u w:val="none" w:color="000000"/>
        <w:shd w:val="clear" w:color="auto" w:fill="auto"/>
        <w:vertAlign w:val="baseline"/>
      </w:rPr>
    </w:lvl>
    <w:lvl w:ilvl="8" w:tentative="0">
      <w:start w:val="1"/>
      <w:numFmt w:val="lowerRoman"/>
      <w:lvlText w:val="%9"/>
      <w:lvlJc w:val="left"/>
      <w:pPr>
        <w:ind w:left="6120"/>
      </w:pPr>
      <w:rPr>
        <w:rFonts w:ascii="Arial" w:hAnsi="Arial" w:eastAsia="Arial" w:cs="Arial"/>
        <w:b w:val="0"/>
        <w:i w:val="0"/>
        <w:strike w:val="0"/>
        <w:dstrike w:val="0"/>
        <w:color w:val="231F20"/>
        <w:sz w:val="22"/>
        <w:szCs w:val="22"/>
        <w:u w:val="none" w:color="000000"/>
        <w:shd w:val="clear" w:color="auto" w:fill="auto"/>
        <w:vertAlign w:val="baseline"/>
      </w:rPr>
    </w:lvl>
  </w:abstractNum>
  <w:abstractNum w:abstractNumId="37">
    <w:nsid w:val="5C0E5629"/>
    <w:multiLevelType w:val="multilevel"/>
    <w:tmpl w:val="5C0E5629"/>
    <w:lvl w:ilvl="0" w:tentative="0">
      <w:start w:val="1"/>
      <w:numFmt w:val="bullet"/>
      <w:pStyle w:val="301"/>
      <w:lvlText w:val=""/>
      <w:lvlJc w:val="left"/>
      <w:pPr>
        <w:tabs>
          <w:tab w:val="left" w:pos="1985"/>
        </w:tabs>
        <w:ind w:left="1985" w:hanging="397"/>
      </w:pPr>
      <w:rPr>
        <w:rFonts w:hint="default" w:ascii="Wingdings" w:hAnsi="Wingdings"/>
      </w:rPr>
    </w:lvl>
    <w:lvl w:ilvl="1" w:tentative="0">
      <w:start w:val="1"/>
      <w:numFmt w:val="bullet"/>
      <w:lvlText w:val="o"/>
      <w:lvlJc w:val="left"/>
      <w:pPr>
        <w:tabs>
          <w:tab w:val="left" w:pos="1440"/>
        </w:tabs>
        <w:ind w:left="1440" w:hanging="360"/>
      </w:pPr>
      <w:rPr>
        <w:rFonts w:hint="default" w:ascii="Courier New" w:hAnsi="Courier New" w:cs="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cs="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cs="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8">
    <w:nsid w:val="5C131497"/>
    <w:multiLevelType w:val="multilevel"/>
    <w:tmpl w:val="5C131497"/>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9">
    <w:nsid w:val="5DDA4C79"/>
    <w:multiLevelType w:val="multilevel"/>
    <w:tmpl w:val="5DDA4C79"/>
    <w:lvl w:ilvl="0" w:tentative="0">
      <w:start w:val="1"/>
      <w:numFmt w:val="decimal"/>
      <w:lvlText w:val="%1."/>
      <w:lvlJc w:val="left"/>
      <w:pPr>
        <w:tabs>
          <w:tab w:val="left" w:pos="720"/>
        </w:tabs>
        <w:ind w:left="720" w:hanging="36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0">
    <w:nsid w:val="5E6C2162"/>
    <w:multiLevelType w:val="multilevel"/>
    <w:tmpl w:val="5E6C2162"/>
    <w:lvl w:ilvl="0" w:tentative="0">
      <w:start w:val="1"/>
      <w:numFmt w:val="bullet"/>
      <w:pStyle w:val="414"/>
      <w:lvlText w:val=""/>
      <w:lvlJc w:val="left"/>
      <w:pPr>
        <w:tabs>
          <w:tab w:val="left" w:pos="644"/>
        </w:tabs>
        <w:ind w:left="284" w:firstLine="0"/>
      </w:pPr>
      <w:rPr>
        <w:rFonts w:hint="default" w:ascii="Symbol" w:hAnsi="Symbol"/>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1">
    <w:nsid w:val="60933403"/>
    <w:multiLevelType w:val="multilevel"/>
    <w:tmpl w:val="60933403"/>
    <w:lvl w:ilvl="0" w:tentative="0">
      <w:start w:val="1"/>
      <w:numFmt w:val="bullet"/>
      <w:lvlText w:val=""/>
      <w:lvlJc w:val="left"/>
      <w:pPr>
        <w:tabs>
          <w:tab w:val="left" w:pos="907"/>
        </w:tabs>
        <w:ind w:left="907" w:hanging="360"/>
      </w:pPr>
      <w:rPr>
        <w:rFonts w:hint="default" w:ascii="Symbol" w:hAnsi="Symbol"/>
        <w:sz w:val="20"/>
      </w:rPr>
    </w:lvl>
    <w:lvl w:ilvl="1" w:tentative="0">
      <w:start w:val="1"/>
      <w:numFmt w:val="bullet"/>
      <w:lvlText w:val="o"/>
      <w:lvlJc w:val="left"/>
      <w:pPr>
        <w:tabs>
          <w:tab w:val="left" w:pos="1627"/>
        </w:tabs>
        <w:ind w:left="1627" w:hanging="360"/>
      </w:pPr>
      <w:rPr>
        <w:rFonts w:hint="default" w:ascii="Courier New" w:hAnsi="Courier New"/>
        <w:sz w:val="20"/>
      </w:rPr>
    </w:lvl>
    <w:lvl w:ilvl="2" w:tentative="0">
      <w:start w:val="1"/>
      <w:numFmt w:val="bullet"/>
      <w:lvlText w:val=""/>
      <w:lvlJc w:val="left"/>
      <w:pPr>
        <w:tabs>
          <w:tab w:val="left" w:pos="2347"/>
        </w:tabs>
        <w:ind w:left="2347" w:hanging="360"/>
      </w:pPr>
      <w:rPr>
        <w:rFonts w:hint="default" w:ascii="Wingdings" w:hAnsi="Wingdings"/>
        <w:sz w:val="20"/>
      </w:rPr>
    </w:lvl>
    <w:lvl w:ilvl="3" w:tentative="0">
      <w:start w:val="1"/>
      <w:numFmt w:val="bullet"/>
      <w:lvlText w:val=""/>
      <w:lvlJc w:val="left"/>
      <w:pPr>
        <w:tabs>
          <w:tab w:val="left" w:pos="3067"/>
        </w:tabs>
        <w:ind w:left="3067" w:hanging="360"/>
      </w:pPr>
      <w:rPr>
        <w:rFonts w:hint="default" w:ascii="Wingdings" w:hAnsi="Wingdings"/>
        <w:sz w:val="20"/>
      </w:rPr>
    </w:lvl>
    <w:lvl w:ilvl="4" w:tentative="0">
      <w:start w:val="1"/>
      <w:numFmt w:val="bullet"/>
      <w:lvlText w:val=""/>
      <w:lvlJc w:val="left"/>
      <w:pPr>
        <w:tabs>
          <w:tab w:val="left" w:pos="3787"/>
        </w:tabs>
        <w:ind w:left="3787" w:hanging="360"/>
      </w:pPr>
      <w:rPr>
        <w:rFonts w:hint="default" w:ascii="Wingdings" w:hAnsi="Wingdings"/>
        <w:sz w:val="20"/>
      </w:rPr>
    </w:lvl>
    <w:lvl w:ilvl="5" w:tentative="0">
      <w:start w:val="1"/>
      <w:numFmt w:val="bullet"/>
      <w:lvlText w:val=""/>
      <w:lvlJc w:val="left"/>
      <w:pPr>
        <w:tabs>
          <w:tab w:val="left" w:pos="4507"/>
        </w:tabs>
        <w:ind w:left="4507" w:hanging="360"/>
      </w:pPr>
      <w:rPr>
        <w:rFonts w:hint="default" w:ascii="Wingdings" w:hAnsi="Wingdings"/>
        <w:sz w:val="20"/>
      </w:rPr>
    </w:lvl>
    <w:lvl w:ilvl="6" w:tentative="0">
      <w:start w:val="1"/>
      <w:numFmt w:val="bullet"/>
      <w:lvlText w:val=""/>
      <w:lvlJc w:val="left"/>
      <w:pPr>
        <w:tabs>
          <w:tab w:val="left" w:pos="5227"/>
        </w:tabs>
        <w:ind w:left="5227" w:hanging="360"/>
      </w:pPr>
      <w:rPr>
        <w:rFonts w:hint="default" w:ascii="Wingdings" w:hAnsi="Wingdings"/>
        <w:sz w:val="20"/>
      </w:rPr>
    </w:lvl>
    <w:lvl w:ilvl="7" w:tentative="0">
      <w:start w:val="1"/>
      <w:numFmt w:val="bullet"/>
      <w:lvlText w:val=""/>
      <w:lvlJc w:val="left"/>
      <w:pPr>
        <w:tabs>
          <w:tab w:val="left" w:pos="5947"/>
        </w:tabs>
        <w:ind w:left="5947" w:hanging="360"/>
      </w:pPr>
      <w:rPr>
        <w:rFonts w:hint="default" w:ascii="Wingdings" w:hAnsi="Wingdings"/>
        <w:sz w:val="20"/>
      </w:rPr>
    </w:lvl>
    <w:lvl w:ilvl="8" w:tentative="0">
      <w:start w:val="1"/>
      <w:numFmt w:val="bullet"/>
      <w:lvlText w:val=""/>
      <w:lvlJc w:val="left"/>
      <w:pPr>
        <w:tabs>
          <w:tab w:val="left" w:pos="6667"/>
        </w:tabs>
        <w:ind w:left="6667" w:hanging="360"/>
      </w:pPr>
      <w:rPr>
        <w:rFonts w:hint="default" w:ascii="Wingdings" w:hAnsi="Wingdings"/>
        <w:sz w:val="20"/>
      </w:rPr>
    </w:lvl>
  </w:abstractNum>
  <w:abstractNum w:abstractNumId="42">
    <w:nsid w:val="61A71D1B"/>
    <w:multiLevelType w:val="multilevel"/>
    <w:tmpl w:val="61A71D1B"/>
    <w:lvl w:ilvl="0" w:tentative="0">
      <w:start w:val="1"/>
      <w:numFmt w:val="decimal"/>
      <w:pStyle w:val="442"/>
      <w:lvlText w:val="%1"/>
      <w:lvlJc w:val="left"/>
      <w:pPr>
        <w:tabs>
          <w:tab w:val="left" w:pos="432"/>
        </w:tabs>
        <w:ind w:left="432" w:hanging="432"/>
      </w:pPr>
      <w:rPr>
        <w:rFonts w:hint="default"/>
      </w:rPr>
    </w:lvl>
    <w:lvl w:ilvl="1" w:tentative="0">
      <w:start w:val="1"/>
      <w:numFmt w:val="decimal"/>
      <w:lvlText w:val="1.%2"/>
      <w:lvlJc w:val="left"/>
      <w:pPr>
        <w:tabs>
          <w:tab w:val="left" w:pos="576"/>
        </w:tabs>
        <w:ind w:left="576" w:hanging="576"/>
      </w:pPr>
      <w:rPr>
        <w:rFonts w:hint="default"/>
      </w:rPr>
    </w:lvl>
    <w:lvl w:ilvl="2" w:tentative="0">
      <w:start w:val="1"/>
      <w:numFmt w:val="decimal"/>
      <w:lvlText w:val="%1.%2.%3"/>
      <w:lvlJc w:val="left"/>
      <w:pPr>
        <w:tabs>
          <w:tab w:val="left" w:pos="720"/>
        </w:tabs>
        <w:ind w:left="720" w:hanging="720"/>
      </w:pPr>
      <w:rPr>
        <w:rFonts w:hint="default"/>
      </w:rPr>
    </w:lvl>
    <w:lvl w:ilvl="3" w:tentative="0">
      <w:start w:val="1"/>
      <w:numFmt w:val="decimal"/>
      <w:lvlText w:val="%1.%2.%3.%4"/>
      <w:lvlJc w:val="left"/>
      <w:pPr>
        <w:tabs>
          <w:tab w:val="left" w:pos="864"/>
        </w:tabs>
        <w:ind w:left="864" w:hanging="864"/>
      </w:pPr>
      <w:rPr>
        <w:rFonts w:hint="default"/>
      </w:rPr>
    </w:lvl>
    <w:lvl w:ilvl="4" w:tentative="0">
      <w:start w:val="1"/>
      <w:numFmt w:val="decimal"/>
      <w:lvlText w:val="%1.%2.%3.%4.%5"/>
      <w:lvlJc w:val="left"/>
      <w:pPr>
        <w:tabs>
          <w:tab w:val="left" w:pos="1008"/>
        </w:tabs>
        <w:ind w:left="1008" w:hanging="1008"/>
      </w:pPr>
      <w:rPr>
        <w:rFonts w:hint="default"/>
      </w:rPr>
    </w:lvl>
    <w:lvl w:ilvl="5" w:tentative="0">
      <w:start w:val="1"/>
      <w:numFmt w:val="decimal"/>
      <w:lvlText w:val="%1.%2.%3.%4.%5.%6"/>
      <w:lvlJc w:val="left"/>
      <w:pPr>
        <w:tabs>
          <w:tab w:val="left" w:pos="1152"/>
        </w:tabs>
        <w:ind w:left="1152" w:hanging="1152"/>
      </w:pPr>
      <w:rPr>
        <w:rFonts w:hint="default"/>
      </w:rPr>
    </w:lvl>
    <w:lvl w:ilvl="6" w:tentative="0">
      <w:start w:val="1"/>
      <w:numFmt w:val="decimal"/>
      <w:lvlText w:val="%1.%2.%3.%4.%5.%6.%7"/>
      <w:lvlJc w:val="left"/>
      <w:pPr>
        <w:tabs>
          <w:tab w:val="left" w:pos="1296"/>
        </w:tabs>
        <w:ind w:left="1296" w:hanging="1296"/>
      </w:pPr>
      <w:rPr>
        <w:rFonts w:hint="default"/>
      </w:rPr>
    </w:lvl>
    <w:lvl w:ilvl="7" w:tentative="0">
      <w:start w:val="1"/>
      <w:numFmt w:val="decimal"/>
      <w:lvlText w:val="%1.%2.%3.%4.%5.%6.%7.%8"/>
      <w:lvlJc w:val="left"/>
      <w:pPr>
        <w:tabs>
          <w:tab w:val="left" w:pos="1440"/>
        </w:tabs>
        <w:ind w:left="1440" w:hanging="1440"/>
      </w:pPr>
      <w:rPr>
        <w:rFonts w:hint="default"/>
      </w:rPr>
    </w:lvl>
    <w:lvl w:ilvl="8" w:tentative="0">
      <w:start w:val="1"/>
      <w:numFmt w:val="decimal"/>
      <w:lvlText w:val="%1.%2.%3.%4.%5.%6.%7.%8.%9"/>
      <w:lvlJc w:val="left"/>
      <w:pPr>
        <w:tabs>
          <w:tab w:val="left" w:pos="1584"/>
        </w:tabs>
        <w:ind w:left="1584" w:hanging="1584"/>
      </w:pPr>
      <w:rPr>
        <w:rFonts w:hint="default"/>
      </w:rPr>
    </w:lvl>
  </w:abstractNum>
  <w:abstractNum w:abstractNumId="43">
    <w:nsid w:val="69A37082"/>
    <w:multiLevelType w:val="multilevel"/>
    <w:tmpl w:val="69A37082"/>
    <w:lvl w:ilvl="0" w:tentative="0">
      <w:start w:val="1"/>
      <w:numFmt w:val="bullet"/>
      <w:pStyle w:val="296"/>
      <w:lvlText w:val="●"/>
      <w:lvlJc w:val="left"/>
      <w:pPr>
        <w:tabs>
          <w:tab w:val="left" w:pos="1134"/>
        </w:tabs>
        <w:ind w:left="1134" w:hanging="567"/>
      </w:pPr>
      <w:rPr>
        <w:rFonts w:hint="default" w:ascii="Times New Roman" w:cs="Times New Roman"/>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44">
    <w:nsid w:val="6BE040D4"/>
    <w:multiLevelType w:val="multilevel"/>
    <w:tmpl w:val="6BE040D4"/>
    <w:lvl w:ilvl="0" w:tentative="0">
      <w:start w:val="1"/>
      <w:numFmt w:val="decimal"/>
      <w:lvlText w:val="%1."/>
      <w:lvlJc w:val="left"/>
      <w:pPr>
        <w:ind w:left="720" w:hanging="360"/>
      </w:p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5">
    <w:nsid w:val="6DA47865"/>
    <w:multiLevelType w:val="multilevel"/>
    <w:tmpl w:val="6DA47865"/>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46">
    <w:nsid w:val="6DC15C99"/>
    <w:multiLevelType w:val="multilevel"/>
    <w:tmpl w:val="6DC15C99"/>
    <w:lvl w:ilvl="0" w:tentative="0">
      <w:start w:val="1"/>
      <w:numFmt w:val="bullet"/>
      <w:lvlText w:val=""/>
      <w:lvlJc w:val="left"/>
      <w:pPr>
        <w:tabs>
          <w:tab w:val="left" w:pos="720"/>
        </w:tabs>
        <w:ind w:left="720" w:hanging="360"/>
      </w:pPr>
      <w:rPr>
        <w:rFonts w:hint="default" w:ascii="Symbol" w:hAnsi="Symbol"/>
        <w:sz w:val="20"/>
      </w:rPr>
    </w:lvl>
    <w:lvl w:ilvl="1" w:tentative="0">
      <w:start w:val="1"/>
      <w:numFmt w:val="bullet"/>
      <w:lvlText w:val="o"/>
      <w:lvlJc w:val="left"/>
      <w:pPr>
        <w:tabs>
          <w:tab w:val="left" w:pos="1440"/>
        </w:tabs>
        <w:ind w:left="1440" w:hanging="360"/>
      </w:pPr>
      <w:rPr>
        <w:rFonts w:hint="default" w:ascii="Courier New" w:hAnsi="Courier New"/>
        <w:sz w:val="20"/>
      </w:rPr>
    </w:lvl>
    <w:lvl w:ilvl="2" w:tentative="0">
      <w:start w:val="1"/>
      <w:numFmt w:val="bullet"/>
      <w:lvlText w:val=""/>
      <w:lvlJc w:val="left"/>
      <w:pPr>
        <w:tabs>
          <w:tab w:val="left" w:pos="2160"/>
        </w:tabs>
        <w:ind w:left="2160" w:hanging="360"/>
      </w:pPr>
      <w:rPr>
        <w:rFonts w:hint="default" w:ascii="Wingdings" w:hAnsi="Wingdings"/>
        <w:sz w:val="20"/>
      </w:rPr>
    </w:lvl>
    <w:lvl w:ilvl="3" w:tentative="0">
      <w:start w:val="1"/>
      <w:numFmt w:val="bullet"/>
      <w:lvlText w:val=""/>
      <w:lvlJc w:val="left"/>
      <w:pPr>
        <w:tabs>
          <w:tab w:val="left" w:pos="2880"/>
        </w:tabs>
        <w:ind w:left="2880" w:hanging="360"/>
      </w:pPr>
      <w:rPr>
        <w:rFonts w:hint="default" w:ascii="Wingdings" w:hAnsi="Wingdings"/>
        <w:sz w:val="20"/>
      </w:rPr>
    </w:lvl>
    <w:lvl w:ilvl="4" w:tentative="0">
      <w:start w:val="1"/>
      <w:numFmt w:val="bullet"/>
      <w:lvlText w:val=""/>
      <w:lvlJc w:val="left"/>
      <w:pPr>
        <w:tabs>
          <w:tab w:val="left" w:pos="3600"/>
        </w:tabs>
        <w:ind w:left="3600" w:hanging="360"/>
      </w:pPr>
      <w:rPr>
        <w:rFonts w:hint="default" w:ascii="Wingdings" w:hAnsi="Wingdings"/>
        <w:sz w:val="20"/>
      </w:rPr>
    </w:lvl>
    <w:lvl w:ilvl="5" w:tentative="0">
      <w:start w:val="1"/>
      <w:numFmt w:val="bullet"/>
      <w:lvlText w:val=""/>
      <w:lvlJc w:val="left"/>
      <w:pPr>
        <w:tabs>
          <w:tab w:val="left" w:pos="4320"/>
        </w:tabs>
        <w:ind w:left="4320" w:hanging="360"/>
      </w:pPr>
      <w:rPr>
        <w:rFonts w:hint="default" w:ascii="Wingdings" w:hAnsi="Wingdings"/>
        <w:sz w:val="20"/>
      </w:rPr>
    </w:lvl>
    <w:lvl w:ilvl="6" w:tentative="0">
      <w:start w:val="1"/>
      <w:numFmt w:val="bullet"/>
      <w:lvlText w:val=""/>
      <w:lvlJc w:val="left"/>
      <w:pPr>
        <w:tabs>
          <w:tab w:val="left" w:pos="5040"/>
        </w:tabs>
        <w:ind w:left="5040" w:hanging="360"/>
      </w:pPr>
      <w:rPr>
        <w:rFonts w:hint="default" w:ascii="Wingdings" w:hAnsi="Wingdings"/>
        <w:sz w:val="20"/>
      </w:rPr>
    </w:lvl>
    <w:lvl w:ilvl="7" w:tentative="0">
      <w:start w:val="1"/>
      <w:numFmt w:val="bullet"/>
      <w:lvlText w:val=""/>
      <w:lvlJc w:val="left"/>
      <w:pPr>
        <w:tabs>
          <w:tab w:val="left" w:pos="5760"/>
        </w:tabs>
        <w:ind w:left="5760" w:hanging="360"/>
      </w:pPr>
      <w:rPr>
        <w:rFonts w:hint="default" w:ascii="Wingdings" w:hAnsi="Wingdings"/>
        <w:sz w:val="20"/>
      </w:rPr>
    </w:lvl>
    <w:lvl w:ilvl="8" w:tentative="0">
      <w:start w:val="1"/>
      <w:numFmt w:val="bullet"/>
      <w:lvlText w:val=""/>
      <w:lvlJc w:val="left"/>
      <w:pPr>
        <w:tabs>
          <w:tab w:val="left" w:pos="6480"/>
        </w:tabs>
        <w:ind w:left="6480" w:hanging="360"/>
      </w:pPr>
      <w:rPr>
        <w:rFonts w:hint="default" w:ascii="Wingdings" w:hAnsi="Wingdings"/>
        <w:sz w:val="20"/>
      </w:rPr>
    </w:lvl>
  </w:abstractNum>
  <w:abstractNum w:abstractNumId="47">
    <w:nsid w:val="78EA029D"/>
    <w:multiLevelType w:val="singleLevel"/>
    <w:tmpl w:val="78EA029D"/>
    <w:lvl w:ilvl="0" w:tentative="0">
      <w:start w:val="1"/>
      <w:numFmt w:val="bullet"/>
      <w:pStyle w:val="267"/>
      <w:lvlText w:val=""/>
      <w:lvlJc w:val="left"/>
      <w:pPr>
        <w:tabs>
          <w:tab w:val="left" w:pos="4464"/>
        </w:tabs>
        <w:ind w:left="4464" w:hanging="576"/>
      </w:pPr>
      <w:rPr>
        <w:rFonts w:hint="default" w:ascii="Symbol" w:hAnsi="Symbol"/>
        <w:sz w:val="28"/>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3"/>
  </w:num>
  <w:num w:numId="12">
    <w:abstractNumId w:val="30"/>
  </w:num>
  <w:num w:numId="13">
    <w:abstractNumId w:val="20"/>
  </w:num>
  <w:num w:numId="14">
    <w:abstractNumId w:val="26"/>
  </w:num>
  <w:num w:numId="15">
    <w:abstractNumId w:val="47"/>
  </w:num>
  <w:num w:numId="16">
    <w:abstractNumId w:val="34"/>
  </w:num>
  <w:num w:numId="17">
    <w:abstractNumId w:val="15"/>
  </w:num>
  <w:num w:numId="18">
    <w:abstractNumId w:val="43"/>
  </w:num>
  <w:num w:numId="19">
    <w:abstractNumId w:val="11"/>
  </w:num>
  <w:num w:numId="20">
    <w:abstractNumId w:val="37"/>
  </w:num>
  <w:num w:numId="21">
    <w:abstractNumId w:val="16"/>
  </w:num>
  <w:num w:numId="22">
    <w:abstractNumId w:val="12"/>
  </w:num>
  <w:num w:numId="23">
    <w:abstractNumId w:val="32"/>
    <w:lvlOverride w:ilvl="0">
      <w:lvl w:ilvl="0" w:tentative="1">
        <w:start w:val="1"/>
        <w:numFmt w:val="upperRoman"/>
        <w:lvlText w:val="Article %1."/>
        <w:lvlJc w:val="left"/>
        <w:pPr>
          <w:tabs>
            <w:tab w:val="left" w:pos="2160"/>
          </w:tabs>
          <w:ind w:left="0" w:firstLine="0"/>
        </w:pPr>
      </w:lvl>
    </w:lvlOverride>
    <w:lvlOverride w:ilvl="1">
      <w:lvl w:ilvl="1" w:tentative="1">
        <w:start w:val="1"/>
        <w:numFmt w:val="decimalZero"/>
        <w:isLgl/>
        <w:lvlText w:val="Section %1.%2"/>
        <w:lvlJc w:val="left"/>
        <w:pPr>
          <w:tabs>
            <w:tab w:val="left" w:pos="2160"/>
          </w:tabs>
          <w:ind w:left="0" w:firstLine="0"/>
        </w:pPr>
      </w:lvl>
    </w:lvlOverride>
    <w:lvlOverride w:ilvl="2">
      <w:lvl w:ilvl="2" w:tentative="1">
        <w:start w:val="1"/>
        <w:numFmt w:val="lowerLetter"/>
        <w:lvlText w:val="(%3)"/>
        <w:lvlJc w:val="left"/>
        <w:pPr>
          <w:tabs>
            <w:tab w:val="left" w:pos="1008"/>
          </w:tabs>
          <w:ind w:left="720" w:hanging="432"/>
        </w:pPr>
      </w:lvl>
    </w:lvlOverride>
    <w:lvlOverride w:ilvl="3">
      <w:lvl w:ilvl="3" w:tentative="1">
        <w:start w:val="1"/>
        <w:numFmt w:val="lowerRoman"/>
        <w:pStyle w:val="334"/>
        <w:lvlText w:val="(%4)"/>
        <w:lvlJc w:val="right"/>
        <w:pPr>
          <w:tabs>
            <w:tab w:val="left" w:pos="864"/>
          </w:tabs>
          <w:ind w:left="864" w:hanging="144"/>
        </w:pPr>
      </w:lvl>
    </w:lvlOverride>
    <w:lvlOverride w:ilvl="4">
      <w:lvl w:ilvl="4" w:tentative="1">
        <w:start w:val="1"/>
        <w:numFmt w:val="decimal"/>
        <w:lvlText w:val="%5)"/>
        <w:lvlJc w:val="left"/>
        <w:pPr>
          <w:tabs>
            <w:tab w:val="left" w:pos="1008"/>
          </w:tabs>
          <w:ind w:left="1008" w:hanging="432"/>
        </w:pPr>
      </w:lvl>
    </w:lvlOverride>
    <w:lvlOverride w:ilvl="5">
      <w:lvl w:ilvl="5" w:tentative="1">
        <w:start w:val="1"/>
        <w:numFmt w:val="lowerLetter"/>
        <w:lvlText w:val="%6)"/>
        <w:lvlJc w:val="left"/>
        <w:pPr>
          <w:tabs>
            <w:tab w:val="left" w:pos="1152"/>
          </w:tabs>
          <w:ind w:left="1152" w:hanging="432"/>
        </w:pPr>
      </w:lvl>
    </w:lvlOverride>
    <w:lvlOverride w:ilvl="6">
      <w:lvl w:ilvl="6" w:tentative="1">
        <w:start w:val="1"/>
        <w:numFmt w:val="lowerRoman"/>
        <w:lvlText w:val="%7)"/>
        <w:lvlJc w:val="right"/>
        <w:pPr>
          <w:tabs>
            <w:tab w:val="left" w:pos="1296"/>
          </w:tabs>
          <w:ind w:left="1296" w:hanging="288"/>
        </w:pPr>
      </w:lvl>
    </w:lvlOverride>
    <w:lvlOverride w:ilvl="7">
      <w:lvl w:ilvl="7" w:tentative="1">
        <w:start w:val="1"/>
        <w:numFmt w:val="lowerLetter"/>
        <w:lvlText w:val="%8."/>
        <w:lvlJc w:val="left"/>
        <w:pPr>
          <w:tabs>
            <w:tab w:val="left" w:pos="1440"/>
          </w:tabs>
          <w:ind w:left="1440" w:hanging="432"/>
        </w:pPr>
      </w:lvl>
    </w:lvlOverride>
    <w:lvlOverride w:ilvl="8">
      <w:lvl w:ilvl="8" w:tentative="1">
        <w:start w:val="1"/>
        <w:numFmt w:val="lowerRoman"/>
        <w:lvlText w:val="%9."/>
        <w:lvlJc w:val="right"/>
        <w:pPr>
          <w:tabs>
            <w:tab w:val="left" w:pos="1584"/>
          </w:tabs>
          <w:ind w:left="1584" w:hanging="144"/>
        </w:pPr>
      </w:lvl>
    </w:lvlOverride>
  </w:num>
  <w:num w:numId="24">
    <w:abstractNumId w:val="40"/>
  </w:num>
  <w:num w:numId="25">
    <w:abstractNumId w:val="21"/>
  </w:num>
  <w:num w:numId="26">
    <w:abstractNumId w:val="10"/>
  </w:num>
  <w:num w:numId="27">
    <w:abstractNumId w:val="42"/>
  </w:num>
  <w:num w:numId="28">
    <w:abstractNumId w:val="35"/>
  </w:num>
  <w:num w:numId="29">
    <w:abstractNumId w:val="17"/>
  </w:num>
  <w:num w:numId="30">
    <w:abstractNumId w:val="25"/>
  </w:num>
  <w:num w:numId="31">
    <w:abstractNumId w:val="39"/>
  </w:num>
  <w:num w:numId="32">
    <w:abstractNumId w:val="31"/>
  </w:num>
  <w:num w:numId="33">
    <w:abstractNumId w:val="14"/>
  </w:num>
  <w:num w:numId="34">
    <w:abstractNumId w:val="45"/>
  </w:num>
  <w:num w:numId="35">
    <w:abstractNumId w:val="24"/>
  </w:num>
  <w:num w:numId="36">
    <w:abstractNumId w:val="41"/>
  </w:num>
  <w:num w:numId="37">
    <w:abstractNumId w:val="38"/>
  </w:num>
  <w:num w:numId="3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29"/>
  </w:num>
  <w:num w:numId="41">
    <w:abstractNumId w:val="46"/>
  </w:num>
  <w:num w:numId="42">
    <w:abstractNumId w:val="19"/>
  </w:num>
  <w:num w:numId="43">
    <w:abstractNumId w:val="23"/>
  </w:num>
  <w:num w:numId="44">
    <w:abstractNumId w:val="13"/>
  </w:num>
  <w:num w:numId="45">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7"/>
  </w:num>
  <w:num w:numId="47">
    <w:abstractNumId w:val="18"/>
  </w:num>
  <w:num w:numId="48">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95EB7"/>
    <w:rsid w:val="000028E8"/>
    <w:rsid w:val="00004319"/>
    <w:rsid w:val="00005129"/>
    <w:rsid w:val="00006A78"/>
    <w:rsid w:val="000102B0"/>
    <w:rsid w:val="00012460"/>
    <w:rsid w:val="00013BFB"/>
    <w:rsid w:val="000151F6"/>
    <w:rsid w:val="000163C5"/>
    <w:rsid w:val="00016D0C"/>
    <w:rsid w:val="00020399"/>
    <w:rsid w:val="00020443"/>
    <w:rsid w:val="00020721"/>
    <w:rsid w:val="00021A78"/>
    <w:rsid w:val="00023760"/>
    <w:rsid w:val="00027788"/>
    <w:rsid w:val="000300AD"/>
    <w:rsid w:val="000303B4"/>
    <w:rsid w:val="00030AB8"/>
    <w:rsid w:val="00031030"/>
    <w:rsid w:val="000323FB"/>
    <w:rsid w:val="00033E8D"/>
    <w:rsid w:val="00036A88"/>
    <w:rsid w:val="00036C54"/>
    <w:rsid w:val="0003703D"/>
    <w:rsid w:val="00037CF9"/>
    <w:rsid w:val="00041C2B"/>
    <w:rsid w:val="00041C33"/>
    <w:rsid w:val="00047312"/>
    <w:rsid w:val="0005067F"/>
    <w:rsid w:val="00052B57"/>
    <w:rsid w:val="00056E3C"/>
    <w:rsid w:val="00057166"/>
    <w:rsid w:val="00062182"/>
    <w:rsid w:val="0006348C"/>
    <w:rsid w:val="00072AA3"/>
    <w:rsid w:val="00073FE8"/>
    <w:rsid w:val="000800E7"/>
    <w:rsid w:val="00081AF7"/>
    <w:rsid w:val="00081FEA"/>
    <w:rsid w:val="000823B1"/>
    <w:rsid w:val="000830A1"/>
    <w:rsid w:val="00087C37"/>
    <w:rsid w:val="000910ED"/>
    <w:rsid w:val="0009351D"/>
    <w:rsid w:val="00096B12"/>
    <w:rsid w:val="000A1342"/>
    <w:rsid w:val="000A218D"/>
    <w:rsid w:val="000A2912"/>
    <w:rsid w:val="000A2B60"/>
    <w:rsid w:val="000A48CD"/>
    <w:rsid w:val="000A5882"/>
    <w:rsid w:val="000A785D"/>
    <w:rsid w:val="000B063F"/>
    <w:rsid w:val="000B119E"/>
    <w:rsid w:val="000B151A"/>
    <w:rsid w:val="000B455A"/>
    <w:rsid w:val="000B4F48"/>
    <w:rsid w:val="000C15C7"/>
    <w:rsid w:val="000D0F12"/>
    <w:rsid w:val="000D3D75"/>
    <w:rsid w:val="000E13ED"/>
    <w:rsid w:val="000E1927"/>
    <w:rsid w:val="000E2974"/>
    <w:rsid w:val="000E2CA8"/>
    <w:rsid w:val="000E45FA"/>
    <w:rsid w:val="000E5AB9"/>
    <w:rsid w:val="000E682E"/>
    <w:rsid w:val="000F166E"/>
    <w:rsid w:val="000F1AFD"/>
    <w:rsid w:val="000F4225"/>
    <w:rsid w:val="000F5396"/>
    <w:rsid w:val="0010137B"/>
    <w:rsid w:val="00117878"/>
    <w:rsid w:val="00120625"/>
    <w:rsid w:val="0012140B"/>
    <w:rsid w:val="00122FB0"/>
    <w:rsid w:val="00123A4E"/>
    <w:rsid w:val="00124F02"/>
    <w:rsid w:val="00125475"/>
    <w:rsid w:val="00126001"/>
    <w:rsid w:val="001269DE"/>
    <w:rsid w:val="0012799A"/>
    <w:rsid w:val="001302B4"/>
    <w:rsid w:val="00131780"/>
    <w:rsid w:val="00134524"/>
    <w:rsid w:val="001368E7"/>
    <w:rsid w:val="00144657"/>
    <w:rsid w:val="00145F4A"/>
    <w:rsid w:val="001528CD"/>
    <w:rsid w:val="00153B82"/>
    <w:rsid w:val="00153E75"/>
    <w:rsid w:val="00155171"/>
    <w:rsid w:val="0015669E"/>
    <w:rsid w:val="0016344B"/>
    <w:rsid w:val="00163510"/>
    <w:rsid w:val="0016588F"/>
    <w:rsid w:val="00170304"/>
    <w:rsid w:val="00170799"/>
    <w:rsid w:val="00170D62"/>
    <w:rsid w:val="0017480C"/>
    <w:rsid w:val="00174C6B"/>
    <w:rsid w:val="00180EF2"/>
    <w:rsid w:val="00187D6C"/>
    <w:rsid w:val="0019206D"/>
    <w:rsid w:val="0019459F"/>
    <w:rsid w:val="001A32F8"/>
    <w:rsid w:val="001A518A"/>
    <w:rsid w:val="001B1AF0"/>
    <w:rsid w:val="001B5539"/>
    <w:rsid w:val="001B5840"/>
    <w:rsid w:val="001C181D"/>
    <w:rsid w:val="001C1B72"/>
    <w:rsid w:val="001C1D4E"/>
    <w:rsid w:val="001D042B"/>
    <w:rsid w:val="001D33E1"/>
    <w:rsid w:val="001D5D2D"/>
    <w:rsid w:val="001D6005"/>
    <w:rsid w:val="001D6156"/>
    <w:rsid w:val="001D61E3"/>
    <w:rsid w:val="001E262B"/>
    <w:rsid w:val="001F20C8"/>
    <w:rsid w:val="001F6250"/>
    <w:rsid w:val="001F6CBF"/>
    <w:rsid w:val="001F7D17"/>
    <w:rsid w:val="0020140F"/>
    <w:rsid w:val="00203147"/>
    <w:rsid w:val="00204B71"/>
    <w:rsid w:val="00213D30"/>
    <w:rsid w:val="00215A08"/>
    <w:rsid w:val="00221F34"/>
    <w:rsid w:val="00222082"/>
    <w:rsid w:val="00225469"/>
    <w:rsid w:val="00231CA3"/>
    <w:rsid w:val="002336F4"/>
    <w:rsid w:val="002349C1"/>
    <w:rsid w:val="00240E28"/>
    <w:rsid w:val="0024112C"/>
    <w:rsid w:val="00244781"/>
    <w:rsid w:val="00245820"/>
    <w:rsid w:val="0024657E"/>
    <w:rsid w:val="00252CC9"/>
    <w:rsid w:val="00252EF7"/>
    <w:rsid w:val="0026409B"/>
    <w:rsid w:val="0026418C"/>
    <w:rsid w:val="00267229"/>
    <w:rsid w:val="00273AEE"/>
    <w:rsid w:val="002759D3"/>
    <w:rsid w:val="0027669E"/>
    <w:rsid w:val="00276AF6"/>
    <w:rsid w:val="00277B9E"/>
    <w:rsid w:val="00281FCE"/>
    <w:rsid w:val="00284878"/>
    <w:rsid w:val="00284E9E"/>
    <w:rsid w:val="00285266"/>
    <w:rsid w:val="00287D6E"/>
    <w:rsid w:val="002901C6"/>
    <w:rsid w:val="00293071"/>
    <w:rsid w:val="00295609"/>
    <w:rsid w:val="002A328D"/>
    <w:rsid w:val="002A534B"/>
    <w:rsid w:val="002A645B"/>
    <w:rsid w:val="002C1B21"/>
    <w:rsid w:val="002C258C"/>
    <w:rsid w:val="002C3AA0"/>
    <w:rsid w:val="002C463B"/>
    <w:rsid w:val="002C5E5F"/>
    <w:rsid w:val="002C6325"/>
    <w:rsid w:val="002C7C79"/>
    <w:rsid w:val="002E009A"/>
    <w:rsid w:val="002E071A"/>
    <w:rsid w:val="002E51E8"/>
    <w:rsid w:val="002F1386"/>
    <w:rsid w:val="002F4504"/>
    <w:rsid w:val="002F62E6"/>
    <w:rsid w:val="003004B9"/>
    <w:rsid w:val="0030067A"/>
    <w:rsid w:val="003008BF"/>
    <w:rsid w:val="00302D28"/>
    <w:rsid w:val="0030463B"/>
    <w:rsid w:val="00306E30"/>
    <w:rsid w:val="00317E87"/>
    <w:rsid w:val="00320F47"/>
    <w:rsid w:val="00322FB1"/>
    <w:rsid w:val="0032373F"/>
    <w:rsid w:val="003252EC"/>
    <w:rsid w:val="00327AF4"/>
    <w:rsid w:val="00334E88"/>
    <w:rsid w:val="003355AA"/>
    <w:rsid w:val="00335D22"/>
    <w:rsid w:val="00337377"/>
    <w:rsid w:val="00337481"/>
    <w:rsid w:val="003407C5"/>
    <w:rsid w:val="00342ADA"/>
    <w:rsid w:val="00343856"/>
    <w:rsid w:val="00350628"/>
    <w:rsid w:val="00351B27"/>
    <w:rsid w:val="0035368A"/>
    <w:rsid w:val="00353F1C"/>
    <w:rsid w:val="003555D6"/>
    <w:rsid w:val="00355D2E"/>
    <w:rsid w:val="00362634"/>
    <w:rsid w:val="003704E9"/>
    <w:rsid w:val="0037348E"/>
    <w:rsid w:val="00375668"/>
    <w:rsid w:val="00375A5E"/>
    <w:rsid w:val="003761DB"/>
    <w:rsid w:val="00376D99"/>
    <w:rsid w:val="00377EE3"/>
    <w:rsid w:val="0038148D"/>
    <w:rsid w:val="00384CFA"/>
    <w:rsid w:val="003857E0"/>
    <w:rsid w:val="00387A91"/>
    <w:rsid w:val="00391374"/>
    <w:rsid w:val="0039515A"/>
    <w:rsid w:val="0039640B"/>
    <w:rsid w:val="00397430"/>
    <w:rsid w:val="003A4131"/>
    <w:rsid w:val="003A4B5B"/>
    <w:rsid w:val="003A6B35"/>
    <w:rsid w:val="003A6C3D"/>
    <w:rsid w:val="003B01E0"/>
    <w:rsid w:val="003B1E66"/>
    <w:rsid w:val="003B3DD0"/>
    <w:rsid w:val="003B43E7"/>
    <w:rsid w:val="003B4E73"/>
    <w:rsid w:val="003B555A"/>
    <w:rsid w:val="003C1683"/>
    <w:rsid w:val="003C3E86"/>
    <w:rsid w:val="003C44D9"/>
    <w:rsid w:val="003D32E5"/>
    <w:rsid w:val="003D4699"/>
    <w:rsid w:val="003D4708"/>
    <w:rsid w:val="003D59F5"/>
    <w:rsid w:val="003D5DCB"/>
    <w:rsid w:val="003E7180"/>
    <w:rsid w:val="003F0F0A"/>
    <w:rsid w:val="003F2706"/>
    <w:rsid w:val="00401E3A"/>
    <w:rsid w:val="00403F4C"/>
    <w:rsid w:val="004053EC"/>
    <w:rsid w:val="00405F29"/>
    <w:rsid w:val="00411BF2"/>
    <w:rsid w:val="0041717D"/>
    <w:rsid w:val="00420712"/>
    <w:rsid w:val="004209AF"/>
    <w:rsid w:val="0042304A"/>
    <w:rsid w:val="00424682"/>
    <w:rsid w:val="00425D1E"/>
    <w:rsid w:val="004262DE"/>
    <w:rsid w:val="004368CA"/>
    <w:rsid w:val="00437B8B"/>
    <w:rsid w:val="00440A38"/>
    <w:rsid w:val="004502DA"/>
    <w:rsid w:val="00451449"/>
    <w:rsid w:val="0045229A"/>
    <w:rsid w:val="00453673"/>
    <w:rsid w:val="00453C19"/>
    <w:rsid w:val="0045417E"/>
    <w:rsid w:val="004546E7"/>
    <w:rsid w:val="004563F9"/>
    <w:rsid w:val="00457062"/>
    <w:rsid w:val="00457D36"/>
    <w:rsid w:val="004606E6"/>
    <w:rsid w:val="00461507"/>
    <w:rsid w:val="004649A3"/>
    <w:rsid w:val="004652EE"/>
    <w:rsid w:val="00466E52"/>
    <w:rsid w:val="00470AA4"/>
    <w:rsid w:val="004710BD"/>
    <w:rsid w:val="00471D69"/>
    <w:rsid w:val="00473510"/>
    <w:rsid w:val="0047661C"/>
    <w:rsid w:val="00477E65"/>
    <w:rsid w:val="00481529"/>
    <w:rsid w:val="00481941"/>
    <w:rsid w:val="00487F60"/>
    <w:rsid w:val="00492E6B"/>
    <w:rsid w:val="00493847"/>
    <w:rsid w:val="0049773E"/>
    <w:rsid w:val="004A0CEE"/>
    <w:rsid w:val="004A208D"/>
    <w:rsid w:val="004A641D"/>
    <w:rsid w:val="004B6088"/>
    <w:rsid w:val="004B708E"/>
    <w:rsid w:val="004B7E38"/>
    <w:rsid w:val="004C1DA5"/>
    <w:rsid w:val="004C3EC6"/>
    <w:rsid w:val="004D116B"/>
    <w:rsid w:val="004D1886"/>
    <w:rsid w:val="004D6562"/>
    <w:rsid w:val="004D7272"/>
    <w:rsid w:val="004E0BBA"/>
    <w:rsid w:val="004E0CFC"/>
    <w:rsid w:val="004E1AB0"/>
    <w:rsid w:val="004E245E"/>
    <w:rsid w:val="004F494D"/>
    <w:rsid w:val="004F6C5C"/>
    <w:rsid w:val="005003AE"/>
    <w:rsid w:val="00502149"/>
    <w:rsid w:val="00503944"/>
    <w:rsid w:val="00504D68"/>
    <w:rsid w:val="00514152"/>
    <w:rsid w:val="00514154"/>
    <w:rsid w:val="005155EF"/>
    <w:rsid w:val="0051560C"/>
    <w:rsid w:val="00516E85"/>
    <w:rsid w:val="0051725C"/>
    <w:rsid w:val="00521BE2"/>
    <w:rsid w:val="00523E73"/>
    <w:rsid w:val="0053179E"/>
    <w:rsid w:val="00531EDF"/>
    <w:rsid w:val="00533042"/>
    <w:rsid w:val="00551F20"/>
    <w:rsid w:val="00552479"/>
    <w:rsid w:val="00554AC8"/>
    <w:rsid w:val="005575D6"/>
    <w:rsid w:val="00560237"/>
    <w:rsid w:val="00560821"/>
    <w:rsid w:val="0056505D"/>
    <w:rsid w:val="00567810"/>
    <w:rsid w:val="005751D2"/>
    <w:rsid w:val="005755FC"/>
    <w:rsid w:val="005771F4"/>
    <w:rsid w:val="0058048F"/>
    <w:rsid w:val="00581A79"/>
    <w:rsid w:val="00585C7F"/>
    <w:rsid w:val="00591456"/>
    <w:rsid w:val="00594493"/>
    <w:rsid w:val="005A201C"/>
    <w:rsid w:val="005A6414"/>
    <w:rsid w:val="005A7797"/>
    <w:rsid w:val="005B163C"/>
    <w:rsid w:val="005B195A"/>
    <w:rsid w:val="005B5EDF"/>
    <w:rsid w:val="005B6D31"/>
    <w:rsid w:val="005C14AF"/>
    <w:rsid w:val="005C1D12"/>
    <w:rsid w:val="005C5AE2"/>
    <w:rsid w:val="005D0924"/>
    <w:rsid w:val="005E0231"/>
    <w:rsid w:val="005E260B"/>
    <w:rsid w:val="005E346E"/>
    <w:rsid w:val="005E74CD"/>
    <w:rsid w:val="005F1554"/>
    <w:rsid w:val="005F2D26"/>
    <w:rsid w:val="005F59A5"/>
    <w:rsid w:val="0060109F"/>
    <w:rsid w:val="006040B2"/>
    <w:rsid w:val="0060418F"/>
    <w:rsid w:val="006061E5"/>
    <w:rsid w:val="0061023C"/>
    <w:rsid w:val="00611778"/>
    <w:rsid w:val="00614733"/>
    <w:rsid w:val="006156FE"/>
    <w:rsid w:val="00621C55"/>
    <w:rsid w:val="0062281C"/>
    <w:rsid w:val="00624847"/>
    <w:rsid w:val="00624E9D"/>
    <w:rsid w:val="006314D7"/>
    <w:rsid w:val="00633A02"/>
    <w:rsid w:val="00634B77"/>
    <w:rsid w:val="00637EB5"/>
    <w:rsid w:val="00640C24"/>
    <w:rsid w:val="00643641"/>
    <w:rsid w:val="006570D7"/>
    <w:rsid w:val="00662237"/>
    <w:rsid w:val="00674028"/>
    <w:rsid w:val="00675593"/>
    <w:rsid w:val="00681015"/>
    <w:rsid w:val="00681029"/>
    <w:rsid w:val="006842D1"/>
    <w:rsid w:val="00686F24"/>
    <w:rsid w:val="00690AAE"/>
    <w:rsid w:val="00692FB5"/>
    <w:rsid w:val="00697576"/>
    <w:rsid w:val="006A03E6"/>
    <w:rsid w:val="006A0C98"/>
    <w:rsid w:val="006A1864"/>
    <w:rsid w:val="006A3F30"/>
    <w:rsid w:val="006A72FA"/>
    <w:rsid w:val="006A74EB"/>
    <w:rsid w:val="006B2DA7"/>
    <w:rsid w:val="006B3C6B"/>
    <w:rsid w:val="006C0972"/>
    <w:rsid w:val="006C1D43"/>
    <w:rsid w:val="006C2692"/>
    <w:rsid w:val="006C3933"/>
    <w:rsid w:val="006C3BA2"/>
    <w:rsid w:val="006C57A9"/>
    <w:rsid w:val="006D0D42"/>
    <w:rsid w:val="006D4C0E"/>
    <w:rsid w:val="006D5E88"/>
    <w:rsid w:val="006E1560"/>
    <w:rsid w:val="006E18DA"/>
    <w:rsid w:val="006E2420"/>
    <w:rsid w:val="006E2912"/>
    <w:rsid w:val="006E2E60"/>
    <w:rsid w:val="006E4EE4"/>
    <w:rsid w:val="006F1FA3"/>
    <w:rsid w:val="006F6D76"/>
    <w:rsid w:val="00700AA2"/>
    <w:rsid w:val="007040D4"/>
    <w:rsid w:val="0070580A"/>
    <w:rsid w:val="0071160A"/>
    <w:rsid w:val="007128FB"/>
    <w:rsid w:val="00714D31"/>
    <w:rsid w:val="00717461"/>
    <w:rsid w:val="0072136E"/>
    <w:rsid w:val="00722024"/>
    <w:rsid w:val="007278C4"/>
    <w:rsid w:val="007339EA"/>
    <w:rsid w:val="00733ACF"/>
    <w:rsid w:val="00734756"/>
    <w:rsid w:val="0073671B"/>
    <w:rsid w:val="00736EDB"/>
    <w:rsid w:val="007446F0"/>
    <w:rsid w:val="00745054"/>
    <w:rsid w:val="00745B3A"/>
    <w:rsid w:val="00750AFC"/>
    <w:rsid w:val="007511A5"/>
    <w:rsid w:val="00752FAB"/>
    <w:rsid w:val="0075695B"/>
    <w:rsid w:val="00756DAB"/>
    <w:rsid w:val="007577BC"/>
    <w:rsid w:val="00757B63"/>
    <w:rsid w:val="00757FBA"/>
    <w:rsid w:val="00760EBB"/>
    <w:rsid w:val="00761ACA"/>
    <w:rsid w:val="007625F6"/>
    <w:rsid w:val="00765F6B"/>
    <w:rsid w:val="007672BB"/>
    <w:rsid w:val="00767E3D"/>
    <w:rsid w:val="00770C36"/>
    <w:rsid w:val="00775441"/>
    <w:rsid w:val="007801B5"/>
    <w:rsid w:val="0078043E"/>
    <w:rsid w:val="00783644"/>
    <w:rsid w:val="00783F09"/>
    <w:rsid w:val="00785ECD"/>
    <w:rsid w:val="00795F80"/>
    <w:rsid w:val="007A085C"/>
    <w:rsid w:val="007A57A6"/>
    <w:rsid w:val="007A685A"/>
    <w:rsid w:val="007A6FAA"/>
    <w:rsid w:val="007B6EBB"/>
    <w:rsid w:val="007C1754"/>
    <w:rsid w:val="007C1BC7"/>
    <w:rsid w:val="007C40D8"/>
    <w:rsid w:val="007C4844"/>
    <w:rsid w:val="007C5196"/>
    <w:rsid w:val="007C7D1B"/>
    <w:rsid w:val="007D099C"/>
    <w:rsid w:val="007D1965"/>
    <w:rsid w:val="007D4674"/>
    <w:rsid w:val="007D4E95"/>
    <w:rsid w:val="007D598D"/>
    <w:rsid w:val="007D7F65"/>
    <w:rsid w:val="007E33D4"/>
    <w:rsid w:val="007E496D"/>
    <w:rsid w:val="007E6C0A"/>
    <w:rsid w:val="007E7203"/>
    <w:rsid w:val="007F13DF"/>
    <w:rsid w:val="007F1ADA"/>
    <w:rsid w:val="007F3496"/>
    <w:rsid w:val="007F4A92"/>
    <w:rsid w:val="007F5381"/>
    <w:rsid w:val="007F64D6"/>
    <w:rsid w:val="007F6C72"/>
    <w:rsid w:val="00801A10"/>
    <w:rsid w:val="00801E01"/>
    <w:rsid w:val="008025FB"/>
    <w:rsid w:val="00804A16"/>
    <w:rsid w:val="00812B11"/>
    <w:rsid w:val="008149A6"/>
    <w:rsid w:val="00814A4B"/>
    <w:rsid w:val="00814EC3"/>
    <w:rsid w:val="008167BB"/>
    <w:rsid w:val="008170D9"/>
    <w:rsid w:val="00820024"/>
    <w:rsid w:val="00822052"/>
    <w:rsid w:val="008243A5"/>
    <w:rsid w:val="008266E6"/>
    <w:rsid w:val="008305C6"/>
    <w:rsid w:val="00830D8F"/>
    <w:rsid w:val="00831498"/>
    <w:rsid w:val="00831960"/>
    <w:rsid w:val="00831A2E"/>
    <w:rsid w:val="0084082E"/>
    <w:rsid w:val="00841611"/>
    <w:rsid w:val="008463CE"/>
    <w:rsid w:val="00855B74"/>
    <w:rsid w:val="00857010"/>
    <w:rsid w:val="00867DBE"/>
    <w:rsid w:val="008718EE"/>
    <w:rsid w:val="00874FCB"/>
    <w:rsid w:val="0087741D"/>
    <w:rsid w:val="0087767F"/>
    <w:rsid w:val="00884A16"/>
    <w:rsid w:val="0088524F"/>
    <w:rsid w:val="008875FC"/>
    <w:rsid w:val="00891DF9"/>
    <w:rsid w:val="00896E6F"/>
    <w:rsid w:val="008A3102"/>
    <w:rsid w:val="008A4808"/>
    <w:rsid w:val="008A4854"/>
    <w:rsid w:val="008A77F8"/>
    <w:rsid w:val="008C5F50"/>
    <w:rsid w:val="008C63F5"/>
    <w:rsid w:val="008D06FC"/>
    <w:rsid w:val="008D49E2"/>
    <w:rsid w:val="008D5B27"/>
    <w:rsid w:val="008D7182"/>
    <w:rsid w:val="008D7D61"/>
    <w:rsid w:val="008E2A4A"/>
    <w:rsid w:val="008E2D27"/>
    <w:rsid w:val="008E36A6"/>
    <w:rsid w:val="008E474C"/>
    <w:rsid w:val="008E607D"/>
    <w:rsid w:val="008E6193"/>
    <w:rsid w:val="008E70F3"/>
    <w:rsid w:val="008E7B30"/>
    <w:rsid w:val="008F369A"/>
    <w:rsid w:val="008F5615"/>
    <w:rsid w:val="008F6DC4"/>
    <w:rsid w:val="00901AC4"/>
    <w:rsid w:val="00903F7A"/>
    <w:rsid w:val="00904504"/>
    <w:rsid w:val="009047E9"/>
    <w:rsid w:val="00904C4B"/>
    <w:rsid w:val="00906E2B"/>
    <w:rsid w:val="00913718"/>
    <w:rsid w:val="009205C2"/>
    <w:rsid w:val="009226FA"/>
    <w:rsid w:val="00923EC8"/>
    <w:rsid w:val="00925FF5"/>
    <w:rsid w:val="00926051"/>
    <w:rsid w:val="009275EC"/>
    <w:rsid w:val="00932520"/>
    <w:rsid w:val="00933CD9"/>
    <w:rsid w:val="00937D3F"/>
    <w:rsid w:val="00941241"/>
    <w:rsid w:val="00946A11"/>
    <w:rsid w:val="00953E86"/>
    <w:rsid w:val="00957A35"/>
    <w:rsid w:val="00963C27"/>
    <w:rsid w:val="009660D2"/>
    <w:rsid w:val="009769D8"/>
    <w:rsid w:val="009835A8"/>
    <w:rsid w:val="00985581"/>
    <w:rsid w:val="00986838"/>
    <w:rsid w:val="0098762B"/>
    <w:rsid w:val="0099199E"/>
    <w:rsid w:val="009947D8"/>
    <w:rsid w:val="0099792E"/>
    <w:rsid w:val="00997B5C"/>
    <w:rsid w:val="009B0D6B"/>
    <w:rsid w:val="009B1F62"/>
    <w:rsid w:val="009B2FF7"/>
    <w:rsid w:val="009B5ADD"/>
    <w:rsid w:val="009B73FF"/>
    <w:rsid w:val="009C41E3"/>
    <w:rsid w:val="009C4C94"/>
    <w:rsid w:val="009C7191"/>
    <w:rsid w:val="009C75CC"/>
    <w:rsid w:val="009D14FD"/>
    <w:rsid w:val="009D341A"/>
    <w:rsid w:val="009D4068"/>
    <w:rsid w:val="009D773B"/>
    <w:rsid w:val="009E02A0"/>
    <w:rsid w:val="009E03D5"/>
    <w:rsid w:val="009E2329"/>
    <w:rsid w:val="009E240F"/>
    <w:rsid w:val="009E5425"/>
    <w:rsid w:val="009E792E"/>
    <w:rsid w:val="009F15B9"/>
    <w:rsid w:val="009F20D2"/>
    <w:rsid w:val="009F2714"/>
    <w:rsid w:val="009F76E0"/>
    <w:rsid w:val="00A01796"/>
    <w:rsid w:val="00A025A5"/>
    <w:rsid w:val="00A03D5E"/>
    <w:rsid w:val="00A07394"/>
    <w:rsid w:val="00A07FB8"/>
    <w:rsid w:val="00A1156A"/>
    <w:rsid w:val="00A13B68"/>
    <w:rsid w:val="00A15B1C"/>
    <w:rsid w:val="00A17287"/>
    <w:rsid w:val="00A22061"/>
    <w:rsid w:val="00A24274"/>
    <w:rsid w:val="00A25B7E"/>
    <w:rsid w:val="00A32F02"/>
    <w:rsid w:val="00A337E2"/>
    <w:rsid w:val="00A34D01"/>
    <w:rsid w:val="00A356A0"/>
    <w:rsid w:val="00A36CD0"/>
    <w:rsid w:val="00A36E89"/>
    <w:rsid w:val="00A371B0"/>
    <w:rsid w:val="00A37567"/>
    <w:rsid w:val="00A37EA5"/>
    <w:rsid w:val="00A437B1"/>
    <w:rsid w:val="00A53C92"/>
    <w:rsid w:val="00A625FA"/>
    <w:rsid w:val="00A6421F"/>
    <w:rsid w:val="00A64F5F"/>
    <w:rsid w:val="00A66D27"/>
    <w:rsid w:val="00A67011"/>
    <w:rsid w:val="00A67F85"/>
    <w:rsid w:val="00A73171"/>
    <w:rsid w:val="00A744AA"/>
    <w:rsid w:val="00A76E52"/>
    <w:rsid w:val="00A77313"/>
    <w:rsid w:val="00A80392"/>
    <w:rsid w:val="00A8117E"/>
    <w:rsid w:val="00A86955"/>
    <w:rsid w:val="00A86A16"/>
    <w:rsid w:val="00A87F6A"/>
    <w:rsid w:val="00A938F7"/>
    <w:rsid w:val="00A93C0B"/>
    <w:rsid w:val="00A96955"/>
    <w:rsid w:val="00A9708E"/>
    <w:rsid w:val="00A97944"/>
    <w:rsid w:val="00AA01D7"/>
    <w:rsid w:val="00AA27C2"/>
    <w:rsid w:val="00AA2D27"/>
    <w:rsid w:val="00AA2F6D"/>
    <w:rsid w:val="00AA4B4F"/>
    <w:rsid w:val="00AA7D7C"/>
    <w:rsid w:val="00AB2A57"/>
    <w:rsid w:val="00AB4EC8"/>
    <w:rsid w:val="00AB54A2"/>
    <w:rsid w:val="00AC3911"/>
    <w:rsid w:val="00AC7361"/>
    <w:rsid w:val="00AD0CB7"/>
    <w:rsid w:val="00AD1CA9"/>
    <w:rsid w:val="00AD292F"/>
    <w:rsid w:val="00AD343A"/>
    <w:rsid w:val="00AD5105"/>
    <w:rsid w:val="00AD65FD"/>
    <w:rsid w:val="00AD6EBD"/>
    <w:rsid w:val="00AE54AA"/>
    <w:rsid w:val="00AE666A"/>
    <w:rsid w:val="00AF34CB"/>
    <w:rsid w:val="00AF410A"/>
    <w:rsid w:val="00AF4A2A"/>
    <w:rsid w:val="00B01423"/>
    <w:rsid w:val="00B0192A"/>
    <w:rsid w:val="00B01B14"/>
    <w:rsid w:val="00B0763E"/>
    <w:rsid w:val="00B11751"/>
    <w:rsid w:val="00B136F3"/>
    <w:rsid w:val="00B16E30"/>
    <w:rsid w:val="00B237E1"/>
    <w:rsid w:val="00B31676"/>
    <w:rsid w:val="00B34318"/>
    <w:rsid w:val="00B35B33"/>
    <w:rsid w:val="00B37251"/>
    <w:rsid w:val="00B373CC"/>
    <w:rsid w:val="00B40170"/>
    <w:rsid w:val="00B4728F"/>
    <w:rsid w:val="00B50F87"/>
    <w:rsid w:val="00B52B41"/>
    <w:rsid w:val="00B52B99"/>
    <w:rsid w:val="00B54C98"/>
    <w:rsid w:val="00B553C8"/>
    <w:rsid w:val="00B57893"/>
    <w:rsid w:val="00B60EF1"/>
    <w:rsid w:val="00B628BA"/>
    <w:rsid w:val="00B66FF8"/>
    <w:rsid w:val="00B741A0"/>
    <w:rsid w:val="00B74F77"/>
    <w:rsid w:val="00B75A96"/>
    <w:rsid w:val="00B8084F"/>
    <w:rsid w:val="00B81EDF"/>
    <w:rsid w:val="00B8473F"/>
    <w:rsid w:val="00B91309"/>
    <w:rsid w:val="00B91323"/>
    <w:rsid w:val="00B972C8"/>
    <w:rsid w:val="00BA017F"/>
    <w:rsid w:val="00BA48BF"/>
    <w:rsid w:val="00BA4EA7"/>
    <w:rsid w:val="00BA4FBB"/>
    <w:rsid w:val="00BA5A85"/>
    <w:rsid w:val="00BB2EE3"/>
    <w:rsid w:val="00BB7F91"/>
    <w:rsid w:val="00BC234C"/>
    <w:rsid w:val="00BC4051"/>
    <w:rsid w:val="00BC4548"/>
    <w:rsid w:val="00BC4AA9"/>
    <w:rsid w:val="00BC6592"/>
    <w:rsid w:val="00BC6852"/>
    <w:rsid w:val="00BD071E"/>
    <w:rsid w:val="00BD0EF9"/>
    <w:rsid w:val="00BD17DB"/>
    <w:rsid w:val="00BD4178"/>
    <w:rsid w:val="00BD58F0"/>
    <w:rsid w:val="00BD5C40"/>
    <w:rsid w:val="00BD66D8"/>
    <w:rsid w:val="00BE1047"/>
    <w:rsid w:val="00BE1DC5"/>
    <w:rsid w:val="00BE2421"/>
    <w:rsid w:val="00BE3225"/>
    <w:rsid w:val="00BE33AC"/>
    <w:rsid w:val="00BE391A"/>
    <w:rsid w:val="00BE5F08"/>
    <w:rsid w:val="00BE6450"/>
    <w:rsid w:val="00BF0F4C"/>
    <w:rsid w:val="00BF186D"/>
    <w:rsid w:val="00BF1F11"/>
    <w:rsid w:val="00BF2917"/>
    <w:rsid w:val="00BF4E28"/>
    <w:rsid w:val="00C01B72"/>
    <w:rsid w:val="00C05DA6"/>
    <w:rsid w:val="00C07D6D"/>
    <w:rsid w:val="00C10061"/>
    <w:rsid w:val="00C14051"/>
    <w:rsid w:val="00C1475C"/>
    <w:rsid w:val="00C14A7B"/>
    <w:rsid w:val="00C15089"/>
    <w:rsid w:val="00C16AF0"/>
    <w:rsid w:val="00C20ABF"/>
    <w:rsid w:val="00C232DC"/>
    <w:rsid w:val="00C2558F"/>
    <w:rsid w:val="00C27541"/>
    <w:rsid w:val="00C31B3A"/>
    <w:rsid w:val="00C36403"/>
    <w:rsid w:val="00C36BFF"/>
    <w:rsid w:val="00C37676"/>
    <w:rsid w:val="00C454B3"/>
    <w:rsid w:val="00C46837"/>
    <w:rsid w:val="00C47ADA"/>
    <w:rsid w:val="00C5181F"/>
    <w:rsid w:val="00C55BE9"/>
    <w:rsid w:val="00C578DA"/>
    <w:rsid w:val="00C6064E"/>
    <w:rsid w:val="00C61FAB"/>
    <w:rsid w:val="00C624B1"/>
    <w:rsid w:val="00C745A4"/>
    <w:rsid w:val="00C748E4"/>
    <w:rsid w:val="00C74EAB"/>
    <w:rsid w:val="00C7518C"/>
    <w:rsid w:val="00C83853"/>
    <w:rsid w:val="00C840E8"/>
    <w:rsid w:val="00C85E6C"/>
    <w:rsid w:val="00C867BA"/>
    <w:rsid w:val="00C86F50"/>
    <w:rsid w:val="00C92E59"/>
    <w:rsid w:val="00C93565"/>
    <w:rsid w:val="00C939D9"/>
    <w:rsid w:val="00C972EC"/>
    <w:rsid w:val="00CA27FE"/>
    <w:rsid w:val="00CA7CB8"/>
    <w:rsid w:val="00CB3790"/>
    <w:rsid w:val="00CB414A"/>
    <w:rsid w:val="00CB78A6"/>
    <w:rsid w:val="00CC29BE"/>
    <w:rsid w:val="00CC759B"/>
    <w:rsid w:val="00CD0332"/>
    <w:rsid w:val="00CD0CA8"/>
    <w:rsid w:val="00CD2079"/>
    <w:rsid w:val="00CD756A"/>
    <w:rsid w:val="00CE1B20"/>
    <w:rsid w:val="00CE7CE0"/>
    <w:rsid w:val="00CF32F9"/>
    <w:rsid w:val="00CF4C32"/>
    <w:rsid w:val="00D002FB"/>
    <w:rsid w:val="00D008A5"/>
    <w:rsid w:val="00D01FA6"/>
    <w:rsid w:val="00D0276A"/>
    <w:rsid w:val="00D059D8"/>
    <w:rsid w:val="00D05E07"/>
    <w:rsid w:val="00D10DFC"/>
    <w:rsid w:val="00D15086"/>
    <w:rsid w:val="00D1665B"/>
    <w:rsid w:val="00D21E29"/>
    <w:rsid w:val="00D22A18"/>
    <w:rsid w:val="00D22A6C"/>
    <w:rsid w:val="00D23897"/>
    <w:rsid w:val="00D31B82"/>
    <w:rsid w:val="00D337A5"/>
    <w:rsid w:val="00D35912"/>
    <w:rsid w:val="00D46F4D"/>
    <w:rsid w:val="00D5244A"/>
    <w:rsid w:val="00D54F7D"/>
    <w:rsid w:val="00D56C8D"/>
    <w:rsid w:val="00D63BE1"/>
    <w:rsid w:val="00D6464C"/>
    <w:rsid w:val="00D64E41"/>
    <w:rsid w:val="00D64E69"/>
    <w:rsid w:val="00D663AB"/>
    <w:rsid w:val="00D663C9"/>
    <w:rsid w:val="00D73FB5"/>
    <w:rsid w:val="00D74735"/>
    <w:rsid w:val="00D763E5"/>
    <w:rsid w:val="00D77514"/>
    <w:rsid w:val="00D80B27"/>
    <w:rsid w:val="00D82B93"/>
    <w:rsid w:val="00D8503B"/>
    <w:rsid w:val="00D85777"/>
    <w:rsid w:val="00D857C6"/>
    <w:rsid w:val="00D90FE4"/>
    <w:rsid w:val="00D914BD"/>
    <w:rsid w:val="00D91837"/>
    <w:rsid w:val="00D91A96"/>
    <w:rsid w:val="00DA5186"/>
    <w:rsid w:val="00DA5BA3"/>
    <w:rsid w:val="00DA660D"/>
    <w:rsid w:val="00DB13CB"/>
    <w:rsid w:val="00DB6771"/>
    <w:rsid w:val="00DC3FE4"/>
    <w:rsid w:val="00DC694D"/>
    <w:rsid w:val="00DC6B84"/>
    <w:rsid w:val="00DD12C3"/>
    <w:rsid w:val="00DD33D2"/>
    <w:rsid w:val="00DD3A21"/>
    <w:rsid w:val="00DD65CF"/>
    <w:rsid w:val="00DD7A54"/>
    <w:rsid w:val="00DE1930"/>
    <w:rsid w:val="00DE2CAB"/>
    <w:rsid w:val="00DE6D82"/>
    <w:rsid w:val="00DE6FF5"/>
    <w:rsid w:val="00DF3C0A"/>
    <w:rsid w:val="00DF58E7"/>
    <w:rsid w:val="00DF6185"/>
    <w:rsid w:val="00DF7C83"/>
    <w:rsid w:val="00E01AD1"/>
    <w:rsid w:val="00E01B3B"/>
    <w:rsid w:val="00E04577"/>
    <w:rsid w:val="00E04CA7"/>
    <w:rsid w:val="00E059B5"/>
    <w:rsid w:val="00E1112C"/>
    <w:rsid w:val="00E15319"/>
    <w:rsid w:val="00E16636"/>
    <w:rsid w:val="00E167BA"/>
    <w:rsid w:val="00E2434E"/>
    <w:rsid w:val="00E26332"/>
    <w:rsid w:val="00E26CA9"/>
    <w:rsid w:val="00E33BCA"/>
    <w:rsid w:val="00E34882"/>
    <w:rsid w:val="00E34A51"/>
    <w:rsid w:val="00E34DBF"/>
    <w:rsid w:val="00E400D7"/>
    <w:rsid w:val="00E43E4E"/>
    <w:rsid w:val="00E507D8"/>
    <w:rsid w:val="00E531E9"/>
    <w:rsid w:val="00E54248"/>
    <w:rsid w:val="00E630A4"/>
    <w:rsid w:val="00E63B80"/>
    <w:rsid w:val="00E768A4"/>
    <w:rsid w:val="00E805E2"/>
    <w:rsid w:val="00E81786"/>
    <w:rsid w:val="00E81818"/>
    <w:rsid w:val="00E83BC1"/>
    <w:rsid w:val="00E84EC2"/>
    <w:rsid w:val="00E84F46"/>
    <w:rsid w:val="00E87B2F"/>
    <w:rsid w:val="00E938FC"/>
    <w:rsid w:val="00E93B83"/>
    <w:rsid w:val="00E95623"/>
    <w:rsid w:val="00E95793"/>
    <w:rsid w:val="00EA128F"/>
    <w:rsid w:val="00EA4BA0"/>
    <w:rsid w:val="00EA583F"/>
    <w:rsid w:val="00EB0E65"/>
    <w:rsid w:val="00EB2322"/>
    <w:rsid w:val="00EB3224"/>
    <w:rsid w:val="00EB5DA1"/>
    <w:rsid w:val="00EC055E"/>
    <w:rsid w:val="00EC0DB2"/>
    <w:rsid w:val="00EC36DF"/>
    <w:rsid w:val="00EC546B"/>
    <w:rsid w:val="00ED310B"/>
    <w:rsid w:val="00ED4125"/>
    <w:rsid w:val="00ED725C"/>
    <w:rsid w:val="00EE17CD"/>
    <w:rsid w:val="00EE3563"/>
    <w:rsid w:val="00EE5ABA"/>
    <w:rsid w:val="00EE6441"/>
    <w:rsid w:val="00EE674A"/>
    <w:rsid w:val="00EF22D8"/>
    <w:rsid w:val="00EF3120"/>
    <w:rsid w:val="00EF5E70"/>
    <w:rsid w:val="00EF6181"/>
    <w:rsid w:val="00F00385"/>
    <w:rsid w:val="00F00BB3"/>
    <w:rsid w:val="00F013A5"/>
    <w:rsid w:val="00F0159B"/>
    <w:rsid w:val="00F02105"/>
    <w:rsid w:val="00F023FB"/>
    <w:rsid w:val="00F02BEB"/>
    <w:rsid w:val="00F03288"/>
    <w:rsid w:val="00F111FB"/>
    <w:rsid w:val="00F14AFA"/>
    <w:rsid w:val="00F156B0"/>
    <w:rsid w:val="00F20480"/>
    <w:rsid w:val="00F21173"/>
    <w:rsid w:val="00F2228D"/>
    <w:rsid w:val="00F240AE"/>
    <w:rsid w:val="00F2572C"/>
    <w:rsid w:val="00F31B3E"/>
    <w:rsid w:val="00F31C43"/>
    <w:rsid w:val="00F31D65"/>
    <w:rsid w:val="00F32343"/>
    <w:rsid w:val="00F326AE"/>
    <w:rsid w:val="00F34A3E"/>
    <w:rsid w:val="00F3735D"/>
    <w:rsid w:val="00F42ED7"/>
    <w:rsid w:val="00F4549C"/>
    <w:rsid w:val="00F45ADA"/>
    <w:rsid w:val="00F45EE6"/>
    <w:rsid w:val="00F50F34"/>
    <w:rsid w:val="00F61FB7"/>
    <w:rsid w:val="00F652C3"/>
    <w:rsid w:val="00F716B3"/>
    <w:rsid w:val="00F734D8"/>
    <w:rsid w:val="00F74769"/>
    <w:rsid w:val="00F8249E"/>
    <w:rsid w:val="00F82872"/>
    <w:rsid w:val="00F85D01"/>
    <w:rsid w:val="00F87DB6"/>
    <w:rsid w:val="00F91736"/>
    <w:rsid w:val="00F91EDF"/>
    <w:rsid w:val="00F95EB7"/>
    <w:rsid w:val="00FA1205"/>
    <w:rsid w:val="00FA56C4"/>
    <w:rsid w:val="00FA579F"/>
    <w:rsid w:val="00FA5B76"/>
    <w:rsid w:val="00FA72A7"/>
    <w:rsid w:val="00FB364C"/>
    <w:rsid w:val="00FB473F"/>
    <w:rsid w:val="00FB49EC"/>
    <w:rsid w:val="00FB63FA"/>
    <w:rsid w:val="00FC0573"/>
    <w:rsid w:val="00FC0EB2"/>
    <w:rsid w:val="00FC120B"/>
    <w:rsid w:val="00FC4CA1"/>
    <w:rsid w:val="00FC5A23"/>
    <w:rsid w:val="00FC5F10"/>
    <w:rsid w:val="00FC7657"/>
    <w:rsid w:val="00FD1541"/>
    <w:rsid w:val="00FE3C75"/>
    <w:rsid w:val="00FE6A53"/>
    <w:rsid w:val="00FF35B3"/>
    <w:rsid w:val="092F36BA"/>
    <w:rsid w:val="128A2023"/>
    <w:rsid w:val="14F76D69"/>
    <w:rsid w:val="17FE454F"/>
    <w:rsid w:val="21075FBA"/>
    <w:rsid w:val="2A816291"/>
    <w:rsid w:val="38191D52"/>
    <w:rsid w:val="3DCE6FA7"/>
    <w:rsid w:val="47A86B58"/>
    <w:rsid w:val="4ECD2126"/>
    <w:rsid w:val="54C178E9"/>
    <w:rsid w:val="562E6171"/>
    <w:rsid w:val="7A483397"/>
    <w:rsid w:val="7A6A54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9" w:semiHidden="0" w:name="heading 3"/>
    <w:lsdException w:qFormat="1" w:unhideWhenUsed="0" w:uiPriority="9" w:semiHidden="0" w:name="heading 4"/>
    <w:lsdException w:qFormat="1" w:uiPriority="9" w:semiHidden="0" w:name="heading 5"/>
    <w:lsdException w:qFormat="1" w:uiPriority="9" w:semiHidden="0" w:name="heading 6"/>
    <w:lsdException w:qFormat="1" w:uiPriority="9" w:semiHidden="0" w:name="heading 7"/>
    <w:lsdException w:qFormat="1" w:uiPriority="9" w:semiHidden="0" w:name="heading 8"/>
    <w:lsdException w:qFormat="1" w:uiPriority="9" w:semiHidden="0" w:name="heading 9"/>
    <w:lsdException w:unhideWhenUsed="0" w:uiPriority="99" w:semiHidden="0" w:name="index 1"/>
    <w:lsdException w:qFormat="1" w:unhideWhenUsed="0" w:uiPriority="99" w:semiHidden="0" w:name="index 2"/>
    <w:lsdException w:qFormat="1" w:unhideWhenUsed="0" w:uiPriority="99" w:semiHidden="0" w:name="index 3"/>
    <w:lsdException w:unhideWhenUsed="0" w:uiPriority="99" w:semiHidden="0" w:name="index 4"/>
    <w:lsdException w:qFormat="1" w:unhideWhenUsed="0" w:uiPriority="99" w:semiHidden="0" w:name="index 5"/>
    <w:lsdException w:qFormat="1" w:unhideWhenUsed="0" w:uiPriority="99" w:semiHidden="0" w:name="index 6"/>
    <w:lsdException w:qFormat="1" w:unhideWhenUsed="0" w:uiPriority="99" w:semiHidden="0" w:name="index 7"/>
    <w:lsdException w:qFormat="1" w:unhideWhenUsed="0" w:uiPriority="99" w:semiHidden="0" w:name="index 8"/>
    <w:lsdException w:unhideWhenUsed="0"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iPriority="39" w:semiHidden="0" w:name="toc 5"/>
    <w:lsdException w:uiPriority="39" w:semiHidden="0" w:name="toc 6"/>
    <w:lsdException w:uiPriority="39" w:semiHidden="0" w:name="toc 7"/>
    <w:lsdException w:uiPriority="39" w:semiHidden="0" w:name="toc 8"/>
    <w:lsdException w:uiPriority="39" w:semiHidden="0" w:name="toc 9"/>
    <w:lsdException w:uiPriority="0" w:semiHidden="0" w:name="Normal Indent"/>
    <w:lsdException w:qFormat="1" w:unhideWhenUsed="0" w:uiPriority="99" w:semiHidden="0" w:name="footnote text"/>
    <w:lsdException w:qFormat="1" w:uiPriority="99" w:semiHidden="0" w:name="annotation text"/>
    <w:lsdException w:qFormat="1" w:uiPriority="99" w:semiHidden="0" w:name="header"/>
    <w:lsdException w:qFormat="1" w:uiPriority="99" w:semiHidden="0" w:name="footer"/>
    <w:lsdException w:unhideWhenUsed="0" w:uiPriority="99" w:semiHidden="0" w:name="index heading"/>
    <w:lsdException w:qFormat="1" w:uiPriority="0" w:semiHidden="0" w:name="caption"/>
    <w:lsdException w:uiPriority="99" w:semiHidden="0" w:name="table of figures"/>
    <w:lsdException w:qFormat="1" w:unhideWhenUsed="0" w:uiPriority="99" w:semiHidden="0" w:name="envelope address"/>
    <w:lsdException w:unhideWhenUsed="0" w:uiPriority="99" w:semiHidden="0" w:name="envelope return"/>
    <w:lsdException w:qFormat="1" w:unhideWhenUsed="0" w:uiPriority="99" w:semiHidden="0" w:name="footnote reference"/>
    <w:lsdException w:qFormat="1" w:uiPriority="0" w:semiHidden="0" w:name="annotation reference"/>
    <w:lsdException w:uiPriority="99" w:name="line number"/>
    <w:lsdException w:qFormat="1" w:unhideWhenUsed="0" w:uiPriority="0" w:semiHidden="0" w:name="page number"/>
    <w:lsdException w:uiPriority="99" w:semiHidden="0" w:name="endnote reference"/>
    <w:lsdException w:qFormat="1" w:uiPriority="99" w:semiHidden="0" w:name="endnote text"/>
    <w:lsdException w:unhideWhenUsed="0" w:uiPriority="99" w:semiHidden="0" w:name="table of authorities"/>
    <w:lsdException w:qFormat="1" w:unhideWhenUsed="0" w:uiPriority="99" w:semiHidden="0" w:name="macro"/>
    <w:lsdException w:unhideWhenUsed="0" w:uiPriority="99" w:semiHidden="0" w:name="toa heading"/>
    <w:lsdException w:qFormat="1" w:unhideWhenUsed="0" w:uiPriority="99" w:semiHidden="0" w:name="List"/>
    <w:lsdException w:qFormat="1" w:unhideWhenUsed="0" w:uiPriority="99" w:semiHidden="0" w:name="List Bullet"/>
    <w:lsdException w:qFormat="1" w:unhideWhenUsed="0" w:uiPriority="99" w:semiHidden="0" w:name="List Number"/>
    <w:lsdException w:qFormat="1" w:unhideWhenUsed="0" w:uiPriority="99" w:semiHidden="0" w:name="List 2"/>
    <w:lsdException w:unhideWhenUsed="0" w:uiPriority="99" w:semiHidden="0" w:name="List 3"/>
    <w:lsdException w:qFormat="1" w:unhideWhenUsed="0" w:uiPriority="99" w:semiHidden="0" w:name="List 4"/>
    <w:lsdException w:unhideWhenUsed="0" w:uiPriority="99" w:semiHidden="0" w:name="List 5"/>
    <w:lsdException w:unhideWhenUsed="0" w:uiPriority="99" w:semiHidden="0" w:name="List Bullet 2"/>
    <w:lsdException w:qFormat="1" w:unhideWhenUsed="0" w:uiPriority="99" w:semiHidden="0" w:name="List Bullet 3"/>
    <w:lsdException w:qFormat="1" w:unhideWhenUsed="0" w:uiPriority="99" w:semiHidden="0" w:name="List Bullet 4"/>
    <w:lsdException w:unhideWhenUsed="0" w:uiPriority="99" w:semiHidden="0" w:name="List Bullet 5"/>
    <w:lsdException w:qFormat="1" w:unhideWhenUsed="0" w:uiPriority="99" w:semiHidden="0" w:name="List Number 2"/>
    <w:lsdException w:unhideWhenUsed="0" w:uiPriority="99" w:semiHidden="0" w:name="List Number 3"/>
    <w:lsdException w:qFormat="1" w:unhideWhenUsed="0" w:uiPriority="99" w:semiHidden="0" w:name="List Number 4"/>
    <w:lsdException w:qFormat="1" w:unhideWhenUsed="0" w:uiPriority="99" w:semiHidden="0" w:name="List Number 5"/>
    <w:lsdException w:qFormat="1" w:unhideWhenUsed="0" w:uiPriority="10" w:semiHidden="0" w:name="Title"/>
    <w:lsdException w:unhideWhenUsed="0" w:uiPriority="99" w:semiHidden="0" w:name="Closing"/>
    <w:lsdException w:unhideWhenUsed="0" w:uiPriority="99" w:semiHidden="0" w:name="Signature"/>
    <w:lsdException w:qFormat="1" w:uiPriority="1" w:name="Default Paragraph Font"/>
    <w:lsdException w:qFormat="1" w:uiPriority="1" w:semiHidden="0" w:name="Body Text"/>
    <w:lsdException w:qFormat="1" w:unhideWhenUsed="0" w:uiPriority="0" w:semiHidden="0" w:name="Body Text Indent"/>
    <w:lsdException w:qFormat="1" w:unhideWhenUsed="0" w:uiPriority="99" w:semiHidden="0" w:name="List Continue"/>
    <w:lsdException w:qFormat="1" w:unhideWhenUsed="0" w:uiPriority="99" w:semiHidden="0" w:name="List Continue 2"/>
    <w:lsdException w:qFormat="1" w:unhideWhenUsed="0" w:uiPriority="99" w:semiHidden="0" w:name="List Continue 3"/>
    <w:lsdException w:qFormat="1" w:unhideWhenUsed="0" w:uiPriority="99" w:semiHidden="0" w:name="List Continue 4"/>
    <w:lsdException w:qFormat="1" w:unhideWhenUsed="0" w:uiPriority="99" w:semiHidden="0" w:name="List Continue 5"/>
    <w:lsdException w:qFormat="1" w:unhideWhenUsed="0" w:uiPriority="99" w:semiHidden="0" w:name="Message Header"/>
    <w:lsdException w:qFormat="1" w:unhideWhenUsed="0" w:uiPriority="11" w:semiHidden="0" w:name="Subtitle"/>
    <w:lsdException w:unhideWhenUsed="0" w:uiPriority="99" w:semiHidden="0" w:name="Salutation"/>
    <w:lsdException w:qFormat="1" w:unhideWhenUsed="0" w:uiPriority="99" w:semiHidden="0" w:name="Date"/>
    <w:lsdException w:qFormat="1" w:unhideWhenUsed="0" w:uiPriority="99" w:semiHidden="0" w:name="Body Text First Indent"/>
    <w:lsdException w:qFormat="1" w:unhideWhenUsed="0" w:uiPriority="99" w:semiHidden="0" w:name="Body Text First Indent 2"/>
    <w:lsdException w:qFormat="1" w:unhideWhenUsed="0" w:uiPriority="99" w:semiHidden="0" w:name="Note Heading"/>
    <w:lsdException w:uiPriority="99" w:semiHidden="0" w:name="Body Text 2"/>
    <w:lsdException w:unhideWhenUsed="0" w:uiPriority="99" w:semiHidden="0" w:name="Body Text 3"/>
    <w:lsdException w:qFormat="1" w:uiPriority="99" w:semiHidden="0" w:name="Body Text Indent 2"/>
    <w:lsdException w:qFormat="1" w:unhideWhenUsed="0" w:uiPriority="99" w:semiHidden="0" w:name="Body Text Indent 3"/>
    <w:lsdException w:qFormat="1" w:unhideWhenUsed="0" w:uiPriority="99" w:semiHidden="0"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nhideWhenUsed="0" w:uiPriority="99" w:semiHidden="0" w:name="Plain Text"/>
    <w:lsdException w:qFormat="1" w:unhideWhenUsed="0" w:uiPriority="99" w:semiHidden="0" w:name="E-mail Signature"/>
    <w:lsdException w:qFormat="1" w:uiPriority="99" w:semiHidden="0" w:name="Normal (Web)"/>
    <w:lsdException w:uiPriority="99" w:name="HTML Acronym"/>
    <w:lsdException w:unhideWhenUsed="0" w:uiPriority="0" w:semiHidden="0"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uiPriority="99" w:name="Normal Table"/>
    <w:lsdException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qFormat="1" w:uiPriority="99" w:semiHidden="0" w:name="Balloon Text"/>
    <w:lsdException w:qFormat="1" w:unhideWhenUsed="0" w:uiPriority="3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Arial Narrow" w:hAnsi="Arial Narrow" w:eastAsiaTheme="minorHAnsi" w:cstheme="minorBidi"/>
      <w:sz w:val="22"/>
      <w:szCs w:val="22"/>
      <w:lang w:val="en-US" w:eastAsia="en-US" w:bidi="ar-SA"/>
    </w:rPr>
  </w:style>
  <w:style w:type="paragraph" w:styleId="2">
    <w:name w:val="heading 1"/>
    <w:basedOn w:val="1"/>
    <w:next w:val="1"/>
    <w:link w:val="102"/>
    <w:autoRedefine/>
    <w:qFormat/>
    <w:uiPriority w:val="0"/>
    <w:pPr>
      <w:keepNext/>
      <w:keepLines/>
      <w:tabs>
        <w:tab w:val="left" w:pos="709"/>
      </w:tabs>
      <w:spacing w:before="100" w:beforeAutospacing="1" w:after="100" w:afterAutospacing="1" w:line="240" w:lineRule="auto"/>
      <w:ind w:left="709" w:hanging="709"/>
      <w:jc w:val="both"/>
      <w:outlineLvl w:val="0"/>
    </w:pPr>
    <w:rPr>
      <w:rFonts w:eastAsiaTheme="majorEastAsia" w:cstheme="majorBidi"/>
      <w:b/>
      <w:sz w:val="28"/>
      <w:szCs w:val="28"/>
    </w:rPr>
  </w:style>
  <w:style w:type="paragraph" w:styleId="3">
    <w:name w:val="heading 2"/>
    <w:basedOn w:val="1"/>
    <w:next w:val="1"/>
    <w:link w:val="103"/>
    <w:autoRedefine/>
    <w:qFormat/>
    <w:uiPriority w:val="0"/>
    <w:pPr>
      <w:keepNext/>
      <w:spacing w:before="100" w:beforeAutospacing="1" w:after="100" w:afterAutospacing="1" w:line="240" w:lineRule="auto"/>
      <w:ind w:right="95"/>
      <w:outlineLvl w:val="1"/>
    </w:pPr>
    <w:rPr>
      <w:rFonts w:eastAsia="Times New Roman" w:cs="Times New Roman"/>
      <w:b/>
      <w:kern w:val="3"/>
      <w:sz w:val="24"/>
      <w:szCs w:val="26"/>
    </w:rPr>
  </w:style>
  <w:style w:type="paragraph" w:styleId="4">
    <w:name w:val="heading 3"/>
    <w:basedOn w:val="1"/>
    <w:next w:val="1"/>
    <w:link w:val="104"/>
    <w:autoRedefine/>
    <w:unhideWhenUsed/>
    <w:qFormat/>
    <w:uiPriority w:val="9"/>
    <w:pPr>
      <w:keepNext/>
      <w:keepLines/>
      <w:tabs>
        <w:tab w:val="left" w:pos="709"/>
      </w:tabs>
      <w:spacing w:before="40" w:after="0" w:line="240" w:lineRule="auto"/>
      <w:jc w:val="both"/>
      <w:outlineLvl w:val="2"/>
    </w:pPr>
    <w:rPr>
      <w:rFonts w:eastAsiaTheme="majorEastAsia" w:cstheme="majorBidi"/>
      <w:b/>
      <w:szCs w:val="24"/>
    </w:rPr>
  </w:style>
  <w:style w:type="paragraph" w:styleId="5">
    <w:name w:val="heading 4"/>
    <w:basedOn w:val="1"/>
    <w:next w:val="1"/>
    <w:link w:val="105"/>
    <w:autoRedefine/>
    <w:qFormat/>
    <w:uiPriority w:val="9"/>
    <w:pPr>
      <w:keepNext/>
      <w:keepLines/>
      <w:suppressAutoHyphens/>
      <w:autoSpaceDN w:val="0"/>
      <w:spacing w:before="40" w:after="0" w:line="256" w:lineRule="auto"/>
      <w:ind w:left="-5"/>
      <w:jc w:val="both"/>
      <w:outlineLvl w:val="3"/>
    </w:pPr>
    <w:rPr>
      <w:rFonts w:eastAsia="Times New Roman" w:cs="Times New Roman"/>
      <w:b/>
      <w:iCs/>
      <w:kern w:val="3"/>
      <w:sz w:val="24"/>
      <w:szCs w:val="24"/>
    </w:rPr>
  </w:style>
  <w:style w:type="paragraph" w:styleId="6">
    <w:name w:val="heading 5"/>
    <w:basedOn w:val="1"/>
    <w:next w:val="1"/>
    <w:link w:val="106"/>
    <w:unhideWhenUsed/>
    <w:qFormat/>
    <w:uiPriority w:val="9"/>
    <w:pPr>
      <w:keepNext/>
      <w:keepLines/>
      <w:spacing w:before="40" w:beforeAutospacing="1" w:after="0" w:afterAutospacing="1" w:line="276" w:lineRule="auto"/>
      <w:jc w:val="both"/>
      <w:outlineLvl w:val="4"/>
    </w:pPr>
    <w:rPr>
      <w:rFonts w:asciiTheme="majorHAnsi" w:hAnsiTheme="majorHAnsi" w:eastAsiaTheme="majorEastAsia" w:cstheme="majorBidi"/>
      <w:color w:val="2E75B6" w:themeColor="accent1" w:themeShade="BF"/>
    </w:rPr>
  </w:style>
  <w:style w:type="paragraph" w:styleId="7">
    <w:name w:val="heading 6"/>
    <w:basedOn w:val="1"/>
    <w:next w:val="1"/>
    <w:link w:val="107"/>
    <w:unhideWhenUsed/>
    <w:qFormat/>
    <w:uiPriority w:val="9"/>
    <w:pPr>
      <w:keepNext/>
      <w:keepLines/>
      <w:spacing w:before="40" w:beforeAutospacing="1" w:after="0" w:afterAutospacing="1" w:line="276" w:lineRule="auto"/>
      <w:jc w:val="both"/>
      <w:outlineLvl w:val="5"/>
    </w:pPr>
    <w:rPr>
      <w:rFonts w:asciiTheme="majorHAnsi" w:hAnsiTheme="majorHAnsi" w:eastAsiaTheme="majorEastAsia" w:cstheme="majorBidi"/>
      <w:color w:val="1F4E79" w:themeColor="accent1" w:themeShade="80"/>
    </w:rPr>
  </w:style>
  <w:style w:type="paragraph" w:styleId="8">
    <w:name w:val="heading 7"/>
    <w:basedOn w:val="1"/>
    <w:next w:val="1"/>
    <w:link w:val="108"/>
    <w:unhideWhenUsed/>
    <w:qFormat/>
    <w:uiPriority w:val="9"/>
    <w:pPr>
      <w:keepNext/>
      <w:keepLines/>
      <w:spacing w:before="40" w:beforeAutospacing="1" w:after="0" w:afterAutospacing="1" w:line="276" w:lineRule="auto"/>
      <w:jc w:val="both"/>
      <w:outlineLvl w:val="6"/>
    </w:pPr>
    <w:rPr>
      <w:rFonts w:asciiTheme="majorHAnsi" w:hAnsiTheme="majorHAnsi" w:eastAsiaTheme="majorEastAsia" w:cstheme="majorBidi"/>
      <w:i/>
      <w:iCs/>
      <w:color w:val="1F4E79" w:themeColor="accent1" w:themeShade="80"/>
    </w:rPr>
  </w:style>
  <w:style w:type="paragraph" w:styleId="9">
    <w:name w:val="heading 8"/>
    <w:basedOn w:val="1"/>
    <w:next w:val="1"/>
    <w:link w:val="136"/>
    <w:unhideWhenUsed/>
    <w:qFormat/>
    <w:uiPriority w:val="9"/>
    <w:pPr>
      <w:keepNext/>
      <w:keepLines/>
      <w:widowControl w:val="0"/>
      <w:autoSpaceDE w:val="0"/>
      <w:autoSpaceDN w:val="0"/>
      <w:spacing w:before="40" w:beforeAutospacing="1" w:after="0" w:afterAutospacing="1" w:line="276" w:lineRule="auto"/>
      <w:ind w:left="1440" w:hanging="432"/>
      <w:jc w:val="both"/>
      <w:outlineLvl w:val="7"/>
    </w:pPr>
    <w:rPr>
      <w:rFonts w:asciiTheme="majorHAnsi" w:hAnsiTheme="majorHAnsi" w:eastAsiaTheme="majorEastAsia" w:cstheme="majorBidi"/>
      <w:color w:val="262626" w:themeColor="text1" w:themeTint="D9"/>
      <w:sz w:val="21"/>
      <w:szCs w:val="21"/>
      <w:lang w:bidi="en-US"/>
      <w14:textFill>
        <w14:solidFill>
          <w14:schemeClr w14:val="tx1">
            <w14:lumMod w14:val="85000"/>
            <w14:lumOff w14:val="15000"/>
          </w14:schemeClr>
        </w14:solidFill>
      </w14:textFill>
    </w:rPr>
  </w:style>
  <w:style w:type="paragraph" w:styleId="10">
    <w:name w:val="heading 9"/>
    <w:basedOn w:val="1"/>
    <w:next w:val="1"/>
    <w:link w:val="137"/>
    <w:unhideWhenUsed/>
    <w:qFormat/>
    <w:uiPriority w:val="9"/>
    <w:pPr>
      <w:keepNext/>
      <w:keepLines/>
      <w:widowControl w:val="0"/>
      <w:autoSpaceDE w:val="0"/>
      <w:autoSpaceDN w:val="0"/>
      <w:spacing w:before="40" w:beforeAutospacing="1" w:after="0" w:afterAutospacing="1" w:line="276" w:lineRule="auto"/>
      <w:ind w:left="1584" w:hanging="144"/>
      <w:jc w:val="both"/>
      <w:outlineLvl w:val="8"/>
    </w:pPr>
    <w:rPr>
      <w:rFonts w:asciiTheme="majorHAnsi" w:hAnsiTheme="majorHAnsi" w:eastAsiaTheme="majorEastAsia" w:cstheme="majorBidi"/>
      <w:i/>
      <w:iCs/>
      <w:color w:val="262626" w:themeColor="text1" w:themeTint="D9"/>
      <w:sz w:val="21"/>
      <w:szCs w:val="21"/>
      <w:lang w:bidi="en-US"/>
      <w14:textFill>
        <w14:solidFill>
          <w14:schemeClr w14:val="tx1">
            <w14:lumMod w14:val="85000"/>
            <w14:lumOff w14:val="15000"/>
          </w14:schemeClr>
        </w14:solidFill>
      </w14:textFill>
    </w:rPr>
  </w:style>
  <w:style w:type="character" w:default="1" w:styleId="11">
    <w:name w:val="Default Paragraph Font"/>
    <w:semiHidden/>
    <w:unhideWhenUsed/>
    <w:qFormat/>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13">
    <w:name w:val="Balloon Text"/>
    <w:basedOn w:val="1"/>
    <w:link w:val="132"/>
    <w:unhideWhenUsed/>
    <w:qFormat/>
    <w:uiPriority w:val="99"/>
    <w:pPr>
      <w:spacing w:after="0" w:line="240" w:lineRule="auto"/>
    </w:pPr>
    <w:rPr>
      <w:rFonts w:ascii="Segoe UI" w:hAnsi="Segoe UI" w:cs="Segoe UI"/>
      <w:sz w:val="18"/>
      <w:szCs w:val="18"/>
    </w:rPr>
  </w:style>
  <w:style w:type="paragraph" w:styleId="14">
    <w:name w:val="Block Text"/>
    <w:basedOn w:val="1"/>
    <w:qFormat/>
    <w:uiPriority w:val="99"/>
    <w:pPr>
      <w:widowControl w:val="0"/>
      <w:autoSpaceDE w:val="0"/>
      <w:autoSpaceDN w:val="0"/>
      <w:adjustRightInd w:val="0"/>
      <w:spacing w:before="120" w:after="0" w:line="273" w:lineRule="exact"/>
      <w:ind w:left="14" w:right="67"/>
      <w:jc w:val="both"/>
    </w:pPr>
    <w:rPr>
      <w:rFonts w:ascii="Book Antiqua" w:hAnsi="Book Antiqua" w:eastAsia="Times New Roman" w:cstheme="minorHAnsi"/>
      <w:szCs w:val="24"/>
      <w:lang w:eastAsia="en-GB"/>
    </w:rPr>
  </w:style>
  <w:style w:type="paragraph" w:styleId="15">
    <w:name w:val="Body Text"/>
    <w:basedOn w:val="1"/>
    <w:link w:val="123"/>
    <w:unhideWhenUsed/>
    <w:qFormat/>
    <w:uiPriority w:val="1"/>
    <w:pPr>
      <w:spacing w:before="100" w:beforeAutospacing="1" w:after="120" w:afterAutospacing="1" w:line="276" w:lineRule="auto"/>
      <w:jc w:val="both"/>
    </w:pPr>
    <w:rPr>
      <w:rFonts w:ascii="Book Antiqua" w:hAnsi="Book Antiqua"/>
    </w:rPr>
  </w:style>
  <w:style w:type="paragraph" w:styleId="16">
    <w:name w:val="Body Text 2"/>
    <w:basedOn w:val="1"/>
    <w:link w:val="276"/>
    <w:unhideWhenUsed/>
    <w:uiPriority w:val="99"/>
    <w:pPr>
      <w:spacing w:before="120" w:after="0" w:line="480" w:lineRule="auto"/>
      <w:jc w:val="both"/>
    </w:pPr>
    <w:rPr>
      <w:rFonts w:ascii="Calibri" w:hAnsi="Calibri" w:eastAsia="Calibri" w:cs="Cordia New"/>
      <w:szCs w:val="28"/>
      <w:lang w:eastAsia="en-GB" w:bidi="th-TH"/>
    </w:rPr>
  </w:style>
  <w:style w:type="paragraph" w:styleId="17">
    <w:name w:val="Body Text 3"/>
    <w:basedOn w:val="1"/>
    <w:link w:val="277"/>
    <w:uiPriority w:val="99"/>
    <w:pPr>
      <w:spacing w:before="120" w:after="0" w:line="240" w:lineRule="auto"/>
      <w:jc w:val="both"/>
    </w:pPr>
    <w:rPr>
      <w:rFonts w:ascii="Book Antiqua" w:hAnsi="Book Antiqua" w:eastAsia="Times New Roman" w:cstheme="minorHAnsi"/>
      <w:b/>
      <w:bCs/>
      <w:szCs w:val="24"/>
      <w:lang w:eastAsia="en-GB"/>
    </w:rPr>
  </w:style>
  <w:style w:type="paragraph" w:styleId="18">
    <w:name w:val="Body Text First Indent"/>
    <w:basedOn w:val="15"/>
    <w:link w:val="278"/>
    <w:qFormat/>
    <w:uiPriority w:val="99"/>
    <w:pPr>
      <w:spacing w:before="120" w:beforeAutospacing="0" w:afterAutospacing="0" w:line="255" w:lineRule="exact"/>
      <w:ind w:firstLine="210"/>
    </w:pPr>
    <w:rPr>
      <w:rFonts w:ascii="Arial" w:hAnsi="Arial" w:eastAsia="Times New Roman" w:cstheme="minorHAnsi"/>
      <w:sz w:val="18"/>
      <w:szCs w:val="20"/>
      <w:lang w:eastAsia="en-GB"/>
    </w:rPr>
  </w:style>
  <w:style w:type="paragraph" w:styleId="19">
    <w:name w:val="Body Text Indent"/>
    <w:basedOn w:val="1"/>
    <w:link w:val="111"/>
    <w:qFormat/>
    <w:uiPriority w:val="0"/>
    <w:pPr>
      <w:spacing w:before="100" w:beforeAutospacing="1" w:after="100" w:afterAutospacing="1" w:line="240" w:lineRule="auto"/>
      <w:ind w:left="720"/>
    </w:pPr>
    <w:rPr>
      <w:rFonts w:ascii="Arial" w:hAnsi="Arial" w:eastAsia="Times New Roman" w:cs="Times New Roman"/>
      <w:sz w:val="20"/>
      <w:szCs w:val="20"/>
      <w:lang w:val="en-GB"/>
    </w:rPr>
  </w:style>
  <w:style w:type="paragraph" w:styleId="20">
    <w:name w:val="Body Text First Indent 2"/>
    <w:basedOn w:val="19"/>
    <w:link w:val="279"/>
    <w:qFormat/>
    <w:uiPriority w:val="99"/>
    <w:pPr>
      <w:spacing w:before="120" w:beforeAutospacing="0" w:after="0" w:afterAutospacing="0" w:line="255" w:lineRule="exact"/>
      <w:ind w:left="360" w:firstLine="210"/>
      <w:jc w:val="both"/>
    </w:pPr>
    <w:rPr>
      <w:rFonts w:cstheme="minorHAnsi"/>
      <w:sz w:val="18"/>
      <w:lang w:eastAsia="en-GB"/>
    </w:rPr>
  </w:style>
  <w:style w:type="paragraph" w:styleId="21">
    <w:name w:val="Body Text Indent 2"/>
    <w:basedOn w:val="1"/>
    <w:link w:val="280"/>
    <w:unhideWhenUsed/>
    <w:qFormat/>
    <w:uiPriority w:val="99"/>
    <w:pPr>
      <w:autoSpaceDE w:val="0"/>
      <w:autoSpaceDN w:val="0"/>
      <w:adjustRightInd w:val="0"/>
      <w:spacing w:before="120" w:after="0" w:line="480" w:lineRule="auto"/>
      <w:ind w:left="360"/>
      <w:jc w:val="both"/>
    </w:pPr>
    <w:rPr>
      <w:rFonts w:ascii="Calibri" w:hAnsi="Calibri" w:eastAsia="Times New Roman" w:cstheme="minorHAnsi"/>
      <w:sz w:val="26"/>
      <w:szCs w:val="26"/>
      <w:lang w:val="fr-FR" w:eastAsia="fr-FR"/>
    </w:rPr>
  </w:style>
  <w:style w:type="paragraph" w:styleId="22">
    <w:name w:val="Body Text Indent 3"/>
    <w:basedOn w:val="1"/>
    <w:link w:val="281"/>
    <w:qFormat/>
    <w:uiPriority w:val="99"/>
    <w:pPr>
      <w:spacing w:before="120" w:after="0" w:line="255" w:lineRule="exact"/>
      <w:ind w:left="360"/>
      <w:jc w:val="both"/>
    </w:pPr>
    <w:rPr>
      <w:rFonts w:ascii="Arial" w:hAnsi="Arial" w:eastAsia="Times New Roman" w:cstheme="minorHAnsi"/>
      <w:sz w:val="16"/>
      <w:szCs w:val="16"/>
      <w:lang w:eastAsia="en-GB"/>
    </w:rPr>
  </w:style>
  <w:style w:type="paragraph" w:styleId="23">
    <w:name w:val="caption"/>
    <w:basedOn w:val="1"/>
    <w:next w:val="1"/>
    <w:link w:val="119"/>
    <w:autoRedefine/>
    <w:unhideWhenUsed/>
    <w:qFormat/>
    <w:uiPriority w:val="0"/>
    <w:pPr>
      <w:tabs>
        <w:tab w:val="left" w:pos="709"/>
      </w:tabs>
      <w:spacing w:before="100" w:beforeAutospacing="1" w:after="100" w:afterAutospacing="1" w:line="240" w:lineRule="auto"/>
      <w:jc w:val="both"/>
    </w:pPr>
    <w:rPr>
      <w:rFonts w:cstheme="minorHAnsi"/>
      <w:b/>
      <w:iCs/>
      <w:lang w:val="en-GB" w:eastAsia="ja-JP"/>
    </w:rPr>
  </w:style>
  <w:style w:type="paragraph" w:styleId="24">
    <w:name w:val="Closing"/>
    <w:basedOn w:val="1"/>
    <w:link w:val="310"/>
    <w:uiPriority w:val="99"/>
    <w:pPr>
      <w:spacing w:before="120" w:after="0" w:line="255" w:lineRule="exact"/>
      <w:ind w:left="4320"/>
      <w:jc w:val="both"/>
    </w:pPr>
    <w:rPr>
      <w:rFonts w:ascii="Arial" w:hAnsi="Arial" w:eastAsia="Times New Roman" w:cstheme="minorHAnsi"/>
      <w:sz w:val="18"/>
      <w:szCs w:val="20"/>
      <w:lang w:val="en-GB" w:eastAsia="en-GB"/>
    </w:rPr>
  </w:style>
  <w:style w:type="character" w:styleId="25">
    <w:name w:val="annotation reference"/>
    <w:basedOn w:val="11"/>
    <w:unhideWhenUsed/>
    <w:qFormat/>
    <w:uiPriority w:val="0"/>
    <w:rPr>
      <w:sz w:val="16"/>
      <w:szCs w:val="16"/>
    </w:rPr>
  </w:style>
  <w:style w:type="paragraph" w:styleId="26">
    <w:name w:val="annotation text"/>
    <w:basedOn w:val="1"/>
    <w:link w:val="131"/>
    <w:unhideWhenUsed/>
    <w:qFormat/>
    <w:uiPriority w:val="99"/>
    <w:pPr>
      <w:spacing w:line="240" w:lineRule="auto"/>
    </w:pPr>
    <w:rPr>
      <w:sz w:val="20"/>
      <w:szCs w:val="20"/>
    </w:rPr>
  </w:style>
  <w:style w:type="paragraph" w:styleId="27">
    <w:name w:val="annotation subject"/>
    <w:basedOn w:val="26"/>
    <w:next w:val="26"/>
    <w:link w:val="161"/>
    <w:unhideWhenUsed/>
    <w:uiPriority w:val="99"/>
    <w:pPr>
      <w:spacing w:before="120" w:after="120"/>
      <w:jc w:val="both"/>
    </w:pPr>
    <w:rPr>
      <w:rFonts w:ascii="Calibri" w:hAnsi="Calibri" w:eastAsia="Times New Roman" w:cs="Times New Roman"/>
      <w:b/>
      <w:bCs/>
    </w:rPr>
  </w:style>
  <w:style w:type="paragraph" w:styleId="28">
    <w:name w:val="Date"/>
    <w:basedOn w:val="1"/>
    <w:next w:val="1"/>
    <w:link w:val="316"/>
    <w:qFormat/>
    <w:uiPriority w:val="99"/>
    <w:pPr>
      <w:spacing w:before="120" w:after="0" w:line="255" w:lineRule="exact"/>
      <w:jc w:val="both"/>
    </w:pPr>
    <w:rPr>
      <w:rFonts w:ascii="Arial" w:hAnsi="Arial" w:eastAsia="Times New Roman" w:cstheme="minorHAnsi"/>
      <w:sz w:val="18"/>
      <w:szCs w:val="20"/>
      <w:lang w:val="en-GB" w:eastAsia="en-GB"/>
    </w:rPr>
  </w:style>
  <w:style w:type="paragraph" w:styleId="29">
    <w:name w:val="Document Map"/>
    <w:basedOn w:val="1"/>
    <w:link w:val="322"/>
    <w:unhideWhenUsed/>
    <w:qFormat/>
    <w:uiPriority w:val="99"/>
    <w:pPr>
      <w:spacing w:before="120" w:after="0" w:line="240" w:lineRule="auto"/>
      <w:jc w:val="both"/>
    </w:pPr>
    <w:rPr>
      <w:rFonts w:ascii="Tahoma" w:hAnsi="Tahoma" w:eastAsia="Times New Roman" w:cs="Tahoma"/>
      <w:sz w:val="16"/>
      <w:szCs w:val="16"/>
      <w:lang w:val="en-GB" w:eastAsia="en-GB"/>
    </w:rPr>
  </w:style>
  <w:style w:type="paragraph" w:styleId="30">
    <w:name w:val="E-mail Signature"/>
    <w:basedOn w:val="1"/>
    <w:link w:val="329"/>
    <w:qFormat/>
    <w:uiPriority w:val="99"/>
    <w:pPr>
      <w:spacing w:before="120" w:after="0" w:line="255" w:lineRule="exact"/>
      <w:jc w:val="both"/>
    </w:pPr>
    <w:rPr>
      <w:rFonts w:ascii="Arial" w:hAnsi="Arial" w:eastAsia="Times New Roman" w:cstheme="minorHAnsi"/>
      <w:sz w:val="18"/>
      <w:szCs w:val="20"/>
      <w:lang w:val="en-GB" w:eastAsia="en-GB"/>
    </w:rPr>
  </w:style>
  <w:style w:type="character" w:styleId="31">
    <w:name w:val="Emphasis"/>
    <w:basedOn w:val="11"/>
    <w:qFormat/>
    <w:uiPriority w:val="20"/>
    <w:rPr>
      <w:i/>
      <w:iCs/>
    </w:rPr>
  </w:style>
  <w:style w:type="character" w:styleId="32">
    <w:name w:val="endnote reference"/>
    <w:basedOn w:val="11"/>
    <w:unhideWhenUsed/>
    <w:uiPriority w:val="99"/>
    <w:rPr>
      <w:vertAlign w:val="superscript"/>
    </w:rPr>
  </w:style>
  <w:style w:type="paragraph" w:styleId="33">
    <w:name w:val="endnote text"/>
    <w:basedOn w:val="1"/>
    <w:link w:val="240"/>
    <w:unhideWhenUsed/>
    <w:qFormat/>
    <w:uiPriority w:val="99"/>
    <w:pPr>
      <w:spacing w:before="120" w:after="120" w:line="240" w:lineRule="auto"/>
      <w:jc w:val="both"/>
    </w:pPr>
    <w:rPr>
      <w:rFonts w:ascii="Calibri" w:hAnsi="Calibri" w:eastAsia="Times New Roman" w:cs="Times New Roman"/>
      <w:sz w:val="20"/>
      <w:szCs w:val="20"/>
    </w:rPr>
  </w:style>
  <w:style w:type="paragraph" w:styleId="34">
    <w:name w:val="envelope address"/>
    <w:basedOn w:val="1"/>
    <w:qFormat/>
    <w:uiPriority w:val="99"/>
    <w:pPr>
      <w:framePr w:w="7920" w:h="1980" w:hRule="exact" w:hSpace="180" w:wrap="auto" w:vAnchor="margin" w:hAnchor="page" w:xAlign="center" w:yAlign="bottom"/>
      <w:spacing w:before="120" w:after="0" w:line="255" w:lineRule="exact"/>
      <w:ind w:left="2880"/>
      <w:jc w:val="both"/>
    </w:pPr>
    <w:rPr>
      <w:rFonts w:ascii="Book Antiqua" w:hAnsi="Book Antiqua" w:eastAsia="Times New Roman" w:cstheme="minorHAnsi"/>
      <w:szCs w:val="24"/>
      <w:lang w:eastAsia="en-GB"/>
    </w:rPr>
  </w:style>
  <w:style w:type="paragraph" w:styleId="35">
    <w:name w:val="envelope return"/>
    <w:basedOn w:val="1"/>
    <w:uiPriority w:val="99"/>
    <w:pPr>
      <w:spacing w:before="120" w:after="0" w:line="255" w:lineRule="exact"/>
      <w:jc w:val="both"/>
    </w:pPr>
    <w:rPr>
      <w:rFonts w:ascii="Book Antiqua" w:hAnsi="Book Antiqua" w:eastAsia="Times New Roman" w:cstheme="minorHAnsi"/>
      <w:sz w:val="20"/>
      <w:szCs w:val="20"/>
      <w:lang w:eastAsia="en-GB"/>
    </w:rPr>
  </w:style>
  <w:style w:type="character" w:styleId="36">
    <w:name w:val="FollowedHyperlink"/>
    <w:basedOn w:val="11"/>
    <w:unhideWhenUsed/>
    <w:qFormat/>
    <w:uiPriority w:val="99"/>
    <w:rPr>
      <w:color w:val="954F72" w:themeColor="followedHyperlink"/>
      <w:u w:val="single"/>
      <w14:textFill>
        <w14:solidFill>
          <w14:schemeClr w14:val="folHlink"/>
        </w14:solidFill>
      </w14:textFill>
    </w:rPr>
  </w:style>
  <w:style w:type="paragraph" w:styleId="37">
    <w:name w:val="footer"/>
    <w:basedOn w:val="1"/>
    <w:link w:val="110"/>
    <w:unhideWhenUsed/>
    <w:qFormat/>
    <w:uiPriority w:val="99"/>
    <w:pPr>
      <w:tabs>
        <w:tab w:val="center" w:pos="4513"/>
        <w:tab w:val="right" w:pos="9026"/>
      </w:tabs>
      <w:spacing w:after="0" w:line="240" w:lineRule="auto"/>
    </w:pPr>
  </w:style>
  <w:style w:type="character" w:styleId="38">
    <w:name w:val="footnote reference"/>
    <w:link w:val="39"/>
    <w:qFormat/>
    <w:uiPriority w:val="99"/>
    <w:rPr>
      <w:vertAlign w:val="superscript"/>
    </w:rPr>
  </w:style>
  <w:style w:type="paragraph" w:customStyle="1" w:styleId="39">
    <w:name w:val="BVI fnr Car Car Car Car Char"/>
    <w:basedOn w:val="1"/>
    <w:link w:val="38"/>
    <w:qFormat/>
    <w:uiPriority w:val="99"/>
    <w:pPr>
      <w:widowControl w:val="0"/>
      <w:adjustRightInd w:val="0"/>
      <w:spacing w:before="120" w:after="0" w:line="240" w:lineRule="exact"/>
      <w:jc w:val="both"/>
    </w:pPr>
    <w:rPr>
      <w:rFonts w:asciiTheme="minorHAnsi" w:hAnsiTheme="minorHAnsi"/>
      <w:vertAlign w:val="superscript"/>
    </w:rPr>
  </w:style>
  <w:style w:type="paragraph" w:styleId="40">
    <w:name w:val="footnote text"/>
    <w:basedOn w:val="1"/>
    <w:link w:val="180"/>
    <w:qFormat/>
    <w:uiPriority w:val="99"/>
    <w:pPr>
      <w:widowControl w:val="0"/>
      <w:tabs>
        <w:tab w:val="left" w:pos="-1440"/>
        <w:tab w:val="left" w:pos="-720"/>
        <w:tab w:val="left" w:pos="1440"/>
        <w:tab w:val="left" w:pos="1860"/>
        <w:tab w:val="left" w:pos="2232"/>
        <w:tab w:val="left" w:pos="2604"/>
        <w:tab w:val="left" w:pos="2976"/>
        <w:tab w:val="left" w:pos="3348"/>
        <w:tab w:val="left" w:pos="3720"/>
        <w:tab w:val="left" w:pos="4092"/>
        <w:tab w:val="left" w:pos="4464"/>
        <w:tab w:val="left" w:pos="4836"/>
        <w:tab w:val="left" w:pos="5208"/>
        <w:tab w:val="left" w:pos="5580"/>
        <w:tab w:val="left" w:pos="5952"/>
        <w:tab w:val="left" w:pos="6324"/>
        <w:tab w:val="left" w:pos="6696"/>
        <w:tab w:val="left" w:pos="7068"/>
        <w:tab w:val="left" w:pos="7440"/>
        <w:tab w:val="left" w:pos="7812"/>
        <w:tab w:val="left" w:pos="8184"/>
        <w:tab w:val="left" w:pos="8556"/>
      </w:tabs>
      <w:spacing w:before="120" w:after="120" w:line="240" w:lineRule="auto"/>
      <w:ind w:left="720"/>
      <w:jc w:val="both"/>
    </w:pPr>
    <w:rPr>
      <w:rFonts w:ascii="Univers" w:hAnsi="Univers" w:eastAsia="Times New Roman" w:cs="Times New Roman"/>
      <w:snapToGrid w:val="0"/>
      <w:sz w:val="24"/>
      <w:szCs w:val="20"/>
    </w:rPr>
  </w:style>
  <w:style w:type="paragraph" w:styleId="41">
    <w:name w:val="header"/>
    <w:basedOn w:val="1"/>
    <w:link w:val="109"/>
    <w:unhideWhenUsed/>
    <w:qFormat/>
    <w:uiPriority w:val="99"/>
    <w:pPr>
      <w:tabs>
        <w:tab w:val="center" w:pos="4513"/>
        <w:tab w:val="right" w:pos="9026"/>
      </w:tabs>
      <w:spacing w:after="0" w:line="240" w:lineRule="auto"/>
    </w:pPr>
  </w:style>
  <w:style w:type="paragraph" w:styleId="42">
    <w:name w:val="HTML Address"/>
    <w:basedOn w:val="1"/>
    <w:link w:val="363"/>
    <w:uiPriority w:val="0"/>
    <w:pPr>
      <w:spacing w:before="120" w:after="0" w:line="255" w:lineRule="exact"/>
      <w:jc w:val="both"/>
    </w:pPr>
    <w:rPr>
      <w:rFonts w:ascii="Arial" w:hAnsi="Arial" w:eastAsia="Times New Roman" w:cstheme="minorHAnsi"/>
      <w:i/>
      <w:iCs/>
      <w:sz w:val="18"/>
      <w:szCs w:val="20"/>
      <w:lang w:val="en-GB" w:eastAsia="en-GB"/>
    </w:rPr>
  </w:style>
  <w:style w:type="paragraph" w:styleId="43">
    <w:name w:val="HTML Preformatted"/>
    <w:basedOn w:val="1"/>
    <w:link w:val="364"/>
    <w:qFormat/>
    <w:uiPriority w:va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0" w:line="240" w:lineRule="auto"/>
      <w:jc w:val="both"/>
    </w:pPr>
    <w:rPr>
      <w:rFonts w:ascii="Courier New" w:hAnsi="Courier New" w:eastAsia="SimSun" w:cstheme="minorHAnsi"/>
      <w:sz w:val="20"/>
      <w:szCs w:val="20"/>
      <w:lang w:val="en-GB" w:eastAsia="zh-CN"/>
    </w:rPr>
  </w:style>
  <w:style w:type="character" w:styleId="44">
    <w:name w:val="Hyperlink"/>
    <w:basedOn w:val="11"/>
    <w:unhideWhenUsed/>
    <w:qFormat/>
    <w:uiPriority w:val="99"/>
    <w:rPr>
      <w:color w:val="0563C1" w:themeColor="hyperlink"/>
      <w:u w:val="single"/>
      <w14:textFill>
        <w14:solidFill>
          <w14:schemeClr w14:val="hlink"/>
        </w14:solidFill>
      </w14:textFill>
    </w:rPr>
  </w:style>
  <w:style w:type="paragraph" w:styleId="45">
    <w:name w:val="index 1"/>
    <w:basedOn w:val="1"/>
    <w:next w:val="1"/>
    <w:autoRedefine/>
    <w:uiPriority w:val="99"/>
    <w:pPr>
      <w:spacing w:before="120" w:after="0" w:line="255" w:lineRule="exact"/>
      <w:ind w:left="180" w:hanging="180"/>
      <w:jc w:val="both"/>
    </w:pPr>
    <w:rPr>
      <w:rFonts w:ascii="Arial" w:hAnsi="Arial" w:eastAsia="Times New Roman" w:cstheme="minorHAnsi"/>
      <w:sz w:val="18"/>
      <w:szCs w:val="20"/>
      <w:lang w:eastAsia="en-GB"/>
    </w:rPr>
  </w:style>
  <w:style w:type="paragraph" w:styleId="46">
    <w:name w:val="index 2"/>
    <w:basedOn w:val="1"/>
    <w:next w:val="1"/>
    <w:autoRedefine/>
    <w:qFormat/>
    <w:uiPriority w:val="99"/>
    <w:pPr>
      <w:spacing w:before="120" w:after="0" w:line="255" w:lineRule="exact"/>
      <w:ind w:left="360" w:hanging="180"/>
      <w:jc w:val="both"/>
    </w:pPr>
    <w:rPr>
      <w:rFonts w:ascii="Arial" w:hAnsi="Arial" w:eastAsia="Times New Roman" w:cstheme="minorHAnsi"/>
      <w:sz w:val="18"/>
      <w:szCs w:val="20"/>
      <w:lang w:eastAsia="en-GB"/>
    </w:rPr>
  </w:style>
  <w:style w:type="paragraph" w:styleId="47">
    <w:name w:val="index 3"/>
    <w:basedOn w:val="1"/>
    <w:next w:val="1"/>
    <w:autoRedefine/>
    <w:qFormat/>
    <w:uiPriority w:val="99"/>
    <w:pPr>
      <w:spacing w:before="120" w:after="0" w:line="255" w:lineRule="exact"/>
      <w:ind w:left="540" w:hanging="180"/>
      <w:jc w:val="both"/>
    </w:pPr>
    <w:rPr>
      <w:rFonts w:ascii="Arial" w:hAnsi="Arial" w:eastAsia="Times New Roman" w:cstheme="minorHAnsi"/>
      <w:sz w:val="18"/>
      <w:szCs w:val="20"/>
      <w:lang w:eastAsia="en-GB"/>
    </w:rPr>
  </w:style>
  <w:style w:type="paragraph" w:styleId="48">
    <w:name w:val="index 4"/>
    <w:basedOn w:val="1"/>
    <w:next w:val="1"/>
    <w:autoRedefine/>
    <w:uiPriority w:val="99"/>
    <w:pPr>
      <w:spacing w:before="120" w:after="0" w:line="255" w:lineRule="exact"/>
      <w:ind w:left="720" w:hanging="180"/>
      <w:jc w:val="both"/>
    </w:pPr>
    <w:rPr>
      <w:rFonts w:ascii="Arial" w:hAnsi="Arial" w:eastAsia="Times New Roman" w:cstheme="minorHAnsi"/>
      <w:sz w:val="18"/>
      <w:szCs w:val="20"/>
      <w:lang w:eastAsia="en-GB"/>
    </w:rPr>
  </w:style>
  <w:style w:type="paragraph" w:styleId="49">
    <w:name w:val="index 5"/>
    <w:basedOn w:val="1"/>
    <w:next w:val="1"/>
    <w:autoRedefine/>
    <w:qFormat/>
    <w:uiPriority w:val="99"/>
    <w:pPr>
      <w:spacing w:before="120" w:after="0" w:line="255" w:lineRule="exact"/>
      <w:ind w:left="900" w:hanging="180"/>
      <w:jc w:val="both"/>
    </w:pPr>
    <w:rPr>
      <w:rFonts w:ascii="Arial" w:hAnsi="Arial" w:eastAsia="Times New Roman" w:cstheme="minorHAnsi"/>
      <w:sz w:val="18"/>
      <w:szCs w:val="20"/>
      <w:lang w:eastAsia="en-GB"/>
    </w:rPr>
  </w:style>
  <w:style w:type="paragraph" w:styleId="50">
    <w:name w:val="index 6"/>
    <w:basedOn w:val="1"/>
    <w:next w:val="1"/>
    <w:autoRedefine/>
    <w:qFormat/>
    <w:uiPriority w:val="99"/>
    <w:pPr>
      <w:spacing w:before="120" w:after="0" w:line="255" w:lineRule="exact"/>
      <w:ind w:left="1080" w:hanging="180"/>
      <w:jc w:val="both"/>
    </w:pPr>
    <w:rPr>
      <w:rFonts w:ascii="Arial" w:hAnsi="Arial" w:eastAsia="Times New Roman" w:cstheme="minorHAnsi"/>
      <w:sz w:val="18"/>
      <w:szCs w:val="20"/>
      <w:lang w:eastAsia="en-GB"/>
    </w:rPr>
  </w:style>
  <w:style w:type="paragraph" w:styleId="51">
    <w:name w:val="index 7"/>
    <w:basedOn w:val="1"/>
    <w:next w:val="1"/>
    <w:autoRedefine/>
    <w:qFormat/>
    <w:uiPriority w:val="99"/>
    <w:pPr>
      <w:spacing w:before="120" w:after="0" w:line="255" w:lineRule="exact"/>
      <w:ind w:left="1260" w:hanging="180"/>
      <w:jc w:val="both"/>
    </w:pPr>
    <w:rPr>
      <w:rFonts w:ascii="Arial" w:hAnsi="Arial" w:eastAsia="Times New Roman" w:cstheme="minorHAnsi"/>
      <w:sz w:val="18"/>
      <w:szCs w:val="20"/>
      <w:lang w:eastAsia="en-GB"/>
    </w:rPr>
  </w:style>
  <w:style w:type="paragraph" w:styleId="52">
    <w:name w:val="index 8"/>
    <w:basedOn w:val="1"/>
    <w:next w:val="1"/>
    <w:autoRedefine/>
    <w:qFormat/>
    <w:uiPriority w:val="99"/>
    <w:pPr>
      <w:spacing w:before="120" w:after="0" w:line="255" w:lineRule="exact"/>
      <w:ind w:left="1440" w:hanging="180"/>
      <w:jc w:val="both"/>
    </w:pPr>
    <w:rPr>
      <w:rFonts w:ascii="Arial" w:hAnsi="Arial" w:eastAsia="Times New Roman" w:cstheme="minorHAnsi"/>
      <w:sz w:val="18"/>
      <w:szCs w:val="20"/>
      <w:lang w:eastAsia="en-GB"/>
    </w:rPr>
  </w:style>
  <w:style w:type="paragraph" w:styleId="53">
    <w:name w:val="index 9"/>
    <w:basedOn w:val="1"/>
    <w:next w:val="1"/>
    <w:semiHidden/>
    <w:uiPriority w:val="99"/>
    <w:pPr>
      <w:tabs>
        <w:tab w:val="right" w:leader="dot" w:pos="8505"/>
      </w:tabs>
      <w:spacing w:before="120" w:after="0" w:line="255" w:lineRule="exact"/>
      <w:ind w:left="1979" w:hanging="221"/>
      <w:jc w:val="both"/>
    </w:pPr>
    <w:rPr>
      <w:rFonts w:ascii="Arial" w:hAnsi="Arial" w:eastAsia="Times New Roman" w:cstheme="minorHAnsi"/>
      <w:sz w:val="18"/>
      <w:szCs w:val="20"/>
      <w:lang w:eastAsia="en-GB"/>
    </w:rPr>
  </w:style>
  <w:style w:type="paragraph" w:styleId="54">
    <w:name w:val="index heading"/>
    <w:basedOn w:val="1"/>
    <w:next w:val="45"/>
    <w:uiPriority w:val="99"/>
    <w:pPr>
      <w:spacing w:before="120" w:after="0" w:line="255" w:lineRule="exact"/>
      <w:jc w:val="both"/>
    </w:pPr>
    <w:rPr>
      <w:rFonts w:ascii="Book Antiqua" w:hAnsi="Book Antiqua" w:eastAsia="Times New Roman" w:cstheme="minorHAnsi"/>
      <w:b/>
      <w:bCs/>
      <w:sz w:val="18"/>
      <w:szCs w:val="20"/>
      <w:lang w:eastAsia="en-GB"/>
    </w:rPr>
  </w:style>
  <w:style w:type="paragraph" w:styleId="55">
    <w:name w:val="List"/>
    <w:basedOn w:val="1"/>
    <w:qFormat/>
    <w:uiPriority w:val="99"/>
    <w:pPr>
      <w:spacing w:before="120" w:after="0" w:line="240" w:lineRule="auto"/>
      <w:ind w:left="284" w:hanging="284"/>
      <w:jc w:val="both"/>
    </w:pPr>
    <w:rPr>
      <w:rFonts w:ascii="Book Antiqua" w:hAnsi="Book Antiqua" w:eastAsia="Times New Roman" w:cstheme="minorHAnsi"/>
      <w:szCs w:val="20"/>
      <w:lang w:val="en-GB" w:eastAsia="en-GB"/>
    </w:rPr>
  </w:style>
  <w:style w:type="paragraph" w:styleId="56">
    <w:name w:val="List 2"/>
    <w:basedOn w:val="1"/>
    <w:qFormat/>
    <w:uiPriority w:val="99"/>
    <w:pPr>
      <w:spacing w:before="120" w:after="0" w:line="255" w:lineRule="exact"/>
      <w:ind w:left="720" w:hanging="360"/>
      <w:contextualSpacing/>
      <w:jc w:val="both"/>
    </w:pPr>
    <w:rPr>
      <w:rFonts w:ascii="Arial" w:hAnsi="Arial" w:eastAsia="Times New Roman" w:cstheme="minorHAnsi"/>
      <w:sz w:val="18"/>
      <w:szCs w:val="20"/>
      <w:lang w:eastAsia="en-GB"/>
    </w:rPr>
  </w:style>
  <w:style w:type="paragraph" w:styleId="57">
    <w:name w:val="List 3"/>
    <w:basedOn w:val="1"/>
    <w:uiPriority w:val="99"/>
    <w:pPr>
      <w:spacing w:before="120" w:after="0" w:line="255" w:lineRule="exact"/>
      <w:ind w:left="1080" w:hanging="360"/>
      <w:contextualSpacing/>
      <w:jc w:val="both"/>
    </w:pPr>
    <w:rPr>
      <w:rFonts w:ascii="Arial" w:hAnsi="Arial" w:eastAsia="Times New Roman" w:cstheme="minorHAnsi"/>
      <w:sz w:val="18"/>
      <w:szCs w:val="20"/>
      <w:lang w:eastAsia="en-GB"/>
    </w:rPr>
  </w:style>
  <w:style w:type="paragraph" w:styleId="58">
    <w:name w:val="List 4"/>
    <w:basedOn w:val="1"/>
    <w:qFormat/>
    <w:uiPriority w:val="99"/>
    <w:pPr>
      <w:spacing w:before="120" w:after="0" w:line="255" w:lineRule="exact"/>
      <w:ind w:left="1440" w:hanging="360"/>
      <w:contextualSpacing/>
      <w:jc w:val="both"/>
    </w:pPr>
    <w:rPr>
      <w:rFonts w:ascii="Arial" w:hAnsi="Arial" w:eastAsia="Times New Roman" w:cstheme="minorHAnsi"/>
      <w:sz w:val="18"/>
      <w:szCs w:val="20"/>
      <w:lang w:eastAsia="en-GB"/>
    </w:rPr>
  </w:style>
  <w:style w:type="paragraph" w:styleId="59">
    <w:name w:val="List 5"/>
    <w:basedOn w:val="1"/>
    <w:uiPriority w:val="99"/>
    <w:pPr>
      <w:spacing w:before="120" w:after="0" w:line="255" w:lineRule="exact"/>
      <w:ind w:left="1800" w:hanging="360"/>
      <w:contextualSpacing/>
      <w:jc w:val="both"/>
    </w:pPr>
    <w:rPr>
      <w:rFonts w:ascii="Arial" w:hAnsi="Arial" w:eastAsia="Times New Roman" w:cstheme="minorHAnsi"/>
      <w:sz w:val="18"/>
      <w:szCs w:val="20"/>
      <w:lang w:eastAsia="en-GB"/>
    </w:rPr>
  </w:style>
  <w:style w:type="paragraph" w:styleId="60">
    <w:name w:val="List Bullet"/>
    <w:basedOn w:val="1"/>
    <w:autoRedefine/>
    <w:qFormat/>
    <w:uiPriority w:val="99"/>
    <w:pPr>
      <w:numPr>
        <w:ilvl w:val="0"/>
        <w:numId w:val="1"/>
      </w:numPr>
      <w:spacing w:before="120" w:after="0" w:line="240" w:lineRule="auto"/>
      <w:jc w:val="both"/>
    </w:pPr>
    <w:rPr>
      <w:rFonts w:ascii="Book Antiqua" w:hAnsi="Book Antiqua" w:eastAsia="Times New Roman" w:cstheme="minorHAnsi"/>
      <w:szCs w:val="20"/>
      <w:lang w:val="en-GB" w:eastAsia="en-GB"/>
    </w:rPr>
  </w:style>
  <w:style w:type="paragraph" w:styleId="61">
    <w:name w:val="List Bullet 2"/>
    <w:basedOn w:val="1"/>
    <w:uiPriority w:val="99"/>
    <w:pPr>
      <w:numPr>
        <w:ilvl w:val="0"/>
        <w:numId w:val="2"/>
      </w:numPr>
      <w:spacing w:before="120" w:after="0" w:line="255" w:lineRule="exact"/>
      <w:contextualSpacing/>
      <w:jc w:val="both"/>
    </w:pPr>
    <w:rPr>
      <w:rFonts w:ascii="Arial" w:hAnsi="Arial" w:eastAsia="Times New Roman" w:cstheme="minorHAnsi"/>
      <w:sz w:val="18"/>
      <w:szCs w:val="20"/>
      <w:lang w:eastAsia="en-GB"/>
    </w:rPr>
  </w:style>
  <w:style w:type="paragraph" w:styleId="62">
    <w:name w:val="List Bullet 3"/>
    <w:basedOn w:val="1"/>
    <w:qFormat/>
    <w:uiPriority w:val="99"/>
    <w:pPr>
      <w:numPr>
        <w:ilvl w:val="0"/>
        <w:numId w:val="3"/>
      </w:numPr>
      <w:spacing w:before="120" w:after="0" w:line="255" w:lineRule="exact"/>
      <w:contextualSpacing/>
      <w:jc w:val="both"/>
    </w:pPr>
    <w:rPr>
      <w:rFonts w:ascii="Arial" w:hAnsi="Arial" w:eastAsia="Times New Roman" w:cstheme="minorHAnsi"/>
      <w:sz w:val="18"/>
      <w:szCs w:val="20"/>
      <w:lang w:eastAsia="en-GB"/>
    </w:rPr>
  </w:style>
  <w:style w:type="paragraph" w:styleId="63">
    <w:name w:val="List Bullet 4"/>
    <w:basedOn w:val="1"/>
    <w:qFormat/>
    <w:uiPriority w:val="99"/>
    <w:pPr>
      <w:numPr>
        <w:ilvl w:val="0"/>
        <w:numId w:val="4"/>
      </w:numPr>
      <w:spacing w:before="120" w:after="0" w:line="255" w:lineRule="exact"/>
      <w:contextualSpacing/>
      <w:jc w:val="both"/>
    </w:pPr>
    <w:rPr>
      <w:rFonts w:ascii="Arial" w:hAnsi="Arial" w:eastAsia="Times New Roman" w:cstheme="minorHAnsi"/>
      <w:sz w:val="18"/>
      <w:szCs w:val="20"/>
      <w:lang w:eastAsia="en-GB"/>
    </w:rPr>
  </w:style>
  <w:style w:type="paragraph" w:styleId="64">
    <w:name w:val="List Bullet 5"/>
    <w:basedOn w:val="1"/>
    <w:uiPriority w:val="99"/>
    <w:pPr>
      <w:numPr>
        <w:ilvl w:val="0"/>
        <w:numId w:val="5"/>
      </w:numPr>
      <w:spacing w:before="120" w:after="0" w:line="255" w:lineRule="exact"/>
      <w:contextualSpacing/>
      <w:jc w:val="both"/>
    </w:pPr>
    <w:rPr>
      <w:rFonts w:ascii="Arial" w:hAnsi="Arial" w:eastAsia="Times New Roman" w:cstheme="minorHAnsi"/>
      <w:sz w:val="18"/>
      <w:szCs w:val="20"/>
      <w:lang w:eastAsia="en-GB"/>
    </w:rPr>
  </w:style>
  <w:style w:type="paragraph" w:styleId="65">
    <w:name w:val="List Continue"/>
    <w:basedOn w:val="1"/>
    <w:qFormat/>
    <w:uiPriority w:val="99"/>
    <w:pPr>
      <w:spacing w:before="120" w:after="0" w:line="255" w:lineRule="exact"/>
      <w:ind w:left="360"/>
      <w:contextualSpacing/>
      <w:jc w:val="both"/>
    </w:pPr>
    <w:rPr>
      <w:rFonts w:ascii="Arial" w:hAnsi="Arial" w:eastAsia="Times New Roman" w:cstheme="minorHAnsi"/>
      <w:sz w:val="18"/>
      <w:szCs w:val="20"/>
      <w:lang w:eastAsia="en-GB"/>
    </w:rPr>
  </w:style>
  <w:style w:type="paragraph" w:styleId="66">
    <w:name w:val="List Continue 2"/>
    <w:basedOn w:val="1"/>
    <w:qFormat/>
    <w:uiPriority w:val="99"/>
    <w:pPr>
      <w:autoSpaceDE w:val="0"/>
      <w:autoSpaceDN w:val="0"/>
      <w:adjustRightInd w:val="0"/>
      <w:spacing w:before="120" w:after="0" w:line="240" w:lineRule="auto"/>
      <w:ind w:left="720"/>
      <w:jc w:val="both"/>
    </w:pPr>
    <w:rPr>
      <w:rFonts w:ascii="Gill Sans MT" w:hAnsi="Gill Sans MT" w:eastAsia="Calibri" w:cstheme="minorHAnsi"/>
      <w:szCs w:val="24"/>
      <w:lang w:eastAsia="en-GB"/>
    </w:rPr>
  </w:style>
  <w:style w:type="paragraph" w:styleId="67">
    <w:name w:val="List Continue 3"/>
    <w:basedOn w:val="1"/>
    <w:qFormat/>
    <w:uiPriority w:val="99"/>
    <w:pPr>
      <w:spacing w:before="120" w:after="0" w:line="255" w:lineRule="exact"/>
      <w:ind w:left="1080"/>
      <w:contextualSpacing/>
      <w:jc w:val="both"/>
    </w:pPr>
    <w:rPr>
      <w:rFonts w:ascii="Arial" w:hAnsi="Arial" w:eastAsia="Times New Roman" w:cstheme="minorHAnsi"/>
      <w:sz w:val="18"/>
      <w:szCs w:val="20"/>
      <w:lang w:eastAsia="en-GB"/>
    </w:rPr>
  </w:style>
  <w:style w:type="paragraph" w:styleId="68">
    <w:name w:val="List Continue 4"/>
    <w:basedOn w:val="1"/>
    <w:qFormat/>
    <w:uiPriority w:val="99"/>
    <w:pPr>
      <w:spacing w:before="120" w:after="0" w:line="255" w:lineRule="exact"/>
      <w:ind w:left="1440"/>
      <w:contextualSpacing/>
      <w:jc w:val="both"/>
    </w:pPr>
    <w:rPr>
      <w:rFonts w:ascii="Arial" w:hAnsi="Arial" w:eastAsia="Times New Roman" w:cstheme="minorHAnsi"/>
      <w:sz w:val="18"/>
      <w:szCs w:val="20"/>
      <w:lang w:eastAsia="en-GB"/>
    </w:rPr>
  </w:style>
  <w:style w:type="paragraph" w:styleId="69">
    <w:name w:val="List Continue 5"/>
    <w:basedOn w:val="1"/>
    <w:qFormat/>
    <w:uiPriority w:val="99"/>
    <w:pPr>
      <w:spacing w:before="120" w:after="0" w:line="255" w:lineRule="exact"/>
      <w:ind w:left="1800"/>
      <w:contextualSpacing/>
      <w:jc w:val="both"/>
    </w:pPr>
    <w:rPr>
      <w:rFonts w:ascii="Arial" w:hAnsi="Arial" w:eastAsia="Times New Roman" w:cstheme="minorHAnsi"/>
      <w:sz w:val="18"/>
      <w:szCs w:val="20"/>
      <w:lang w:eastAsia="en-GB"/>
    </w:rPr>
  </w:style>
  <w:style w:type="paragraph" w:styleId="70">
    <w:name w:val="List Number"/>
    <w:basedOn w:val="1"/>
    <w:qFormat/>
    <w:uiPriority w:val="99"/>
    <w:pPr>
      <w:numPr>
        <w:ilvl w:val="0"/>
        <w:numId w:val="6"/>
      </w:numPr>
      <w:spacing w:before="120" w:after="0" w:line="255" w:lineRule="exact"/>
      <w:contextualSpacing/>
      <w:jc w:val="both"/>
    </w:pPr>
    <w:rPr>
      <w:rFonts w:ascii="Arial" w:hAnsi="Arial" w:eastAsia="Times New Roman" w:cstheme="minorHAnsi"/>
      <w:sz w:val="18"/>
      <w:szCs w:val="20"/>
      <w:lang w:eastAsia="en-GB"/>
    </w:rPr>
  </w:style>
  <w:style w:type="paragraph" w:styleId="71">
    <w:name w:val="List Number 2"/>
    <w:basedOn w:val="1"/>
    <w:qFormat/>
    <w:uiPriority w:val="99"/>
    <w:pPr>
      <w:numPr>
        <w:ilvl w:val="0"/>
        <w:numId w:val="7"/>
      </w:numPr>
      <w:spacing w:before="120" w:after="0" w:line="255" w:lineRule="exact"/>
      <w:contextualSpacing/>
      <w:jc w:val="both"/>
    </w:pPr>
    <w:rPr>
      <w:rFonts w:ascii="Arial" w:hAnsi="Arial" w:eastAsia="Times New Roman" w:cstheme="minorHAnsi"/>
      <w:sz w:val="18"/>
      <w:szCs w:val="20"/>
      <w:lang w:eastAsia="en-GB"/>
    </w:rPr>
  </w:style>
  <w:style w:type="paragraph" w:styleId="72">
    <w:name w:val="List Number 3"/>
    <w:basedOn w:val="1"/>
    <w:uiPriority w:val="99"/>
    <w:pPr>
      <w:numPr>
        <w:ilvl w:val="0"/>
        <w:numId w:val="8"/>
      </w:numPr>
      <w:spacing w:before="120" w:after="0" w:line="255" w:lineRule="exact"/>
      <w:contextualSpacing/>
      <w:jc w:val="both"/>
    </w:pPr>
    <w:rPr>
      <w:rFonts w:ascii="Arial" w:hAnsi="Arial" w:eastAsia="Times New Roman" w:cstheme="minorHAnsi"/>
      <w:sz w:val="18"/>
      <w:szCs w:val="20"/>
      <w:lang w:eastAsia="en-GB"/>
    </w:rPr>
  </w:style>
  <w:style w:type="paragraph" w:styleId="73">
    <w:name w:val="List Number 4"/>
    <w:basedOn w:val="1"/>
    <w:qFormat/>
    <w:uiPriority w:val="99"/>
    <w:pPr>
      <w:numPr>
        <w:ilvl w:val="0"/>
        <w:numId w:val="9"/>
      </w:numPr>
      <w:spacing w:before="120" w:after="0" w:line="255" w:lineRule="exact"/>
      <w:contextualSpacing/>
      <w:jc w:val="both"/>
    </w:pPr>
    <w:rPr>
      <w:rFonts w:ascii="Arial" w:hAnsi="Arial" w:eastAsia="Times New Roman" w:cstheme="minorHAnsi"/>
      <w:sz w:val="18"/>
      <w:szCs w:val="20"/>
      <w:lang w:eastAsia="en-GB"/>
    </w:rPr>
  </w:style>
  <w:style w:type="paragraph" w:styleId="74">
    <w:name w:val="List Number 5"/>
    <w:basedOn w:val="1"/>
    <w:qFormat/>
    <w:uiPriority w:val="99"/>
    <w:pPr>
      <w:numPr>
        <w:ilvl w:val="0"/>
        <w:numId w:val="10"/>
      </w:numPr>
      <w:spacing w:before="120" w:after="0" w:line="255" w:lineRule="exact"/>
      <w:contextualSpacing/>
      <w:jc w:val="both"/>
    </w:pPr>
    <w:rPr>
      <w:rFonts w:ascii="Arial" w:hAnsi="Arial" w:eastAsia="Times New Roman" w:cstheme="minorHAnsi"/>
      <w:sz w:val="18"/>
      <w:szCs w:val="20"/>
      <w:lang w:eastAsia="en-GB"/>
    </w:rPr>
  </w:style>
  <w:style w:type="paragraph" w:styleId="75">
    <w:name w:val="macro"/>
    <w:link w:val="391"/>
    <w:qFormat/>
    <w:uiPriority w:val="99"/>
    <w:pPr>
      <w:tabs>
        <w:tab w:val="left" w:pos="480"/>
        <w:tab w:val="left" w:pos="960"/>
        <w:tab w:val="left" w:pos="1440"/>
        <w:tab w:val="left" w:pos="1920"/>
        <w:tab w:val="left" w:pos="2400"/>
        <w:tab w:val="left" w:pos="2880"/>
        <w:tab w:val="left" w:pos="3360"/>
        <w:tab w:val="left" w:pos="3840"/>
        <w:tab w:val="left" w:pos="4320"/>
      </w:tabs>
      <w:spacing w:before="120" w:line="360" w:lineRule="auto"/>
      <w:jc w:val="both"/>
    </w:pPr>
    <w:rPr>
      <w:rFonts w:ascii="Courier New" w:hAnsi="Courier New" w:eastAsia="Times New Roman" w:cstheme="minorHAnsi"/>
      <w:sz w:val="22"/>
      <w:szCs w:val="24"/>
      <w:lang w:val="en-GB" w:eastAsia="en-US" w:bidi="ar-SA"/>
    </w:rPr>
  </w:style>
  <w:style w:type="paragraph" w:styleId="76">
    <w:name w:val="Message Header"/>
    <w:basedOn w:val="1"/>
    <w:link w:val="410"/>
    <w:qFormat/>
    <w:uiPriority w:val="99"/>
    <w:pPr>
      <w:pBdr>
        <w:top w:val="single" w:color="auto" w:sz="6" w:space="1"/>
        <w:left w:val="single" w:color="auto" w:sz="6" w:space="1"/>
        <w:bottom w:val="single" w:color="auto" w:sz="6" w:space="1"/>
        <w:right w:val="single" w:color="auto" w:sz="6" w:space="1"/>
      </w:pBdr>
      <w:shd w:val="pct20" w:color="auto" w:fill="auto"/>
      <w:spacing w:before="120" w:after="0" w:line="255" w:lineRule="exact"/>
      <w:ind w:left="1080" w:hanging="1080"/>
      <w:jc w:val="both"/>
    </w:pPr>
    <w:rPr>
      <w:rFonts w:ascii="Book Antiqua" w:hAnsi="Book Antiqua" w:eastAsia="Times New Roman" w:cstheme="minorHAnsi"/>
      <w:szCs w:val="24"/>
      <w:lang w:val="en-GB" w:eastAsia="en-GB"/>
    </w:rPr>
  </w:style>
  <w:style w:type="paragraph" w:styleId="77">
    <w:name w:val="Normal (Web)"/>
    <w:basedOn w:val="1"/>
    <w:unhideWhenUsed/>
    <w:qFormat/>
    <w:uiPriority w:val="99"/>
    <w:pPr>
      <w:spacing w:before="100" w:beforeAutospacing="1" w:after="100" w:afterAutospacing="1" w:line="240" w:lineRule="auto"/>
    </w:pPr>
    <w:rPr>
      <w:rFonts w:ascii="Times New Roman" w:hAnsi="Times New Roman" w:eastAsia="Times New Roman" w:cs="Times New Roman"/>
      <w:sz w:val="24"/>
      <w:szCs w:val="24"/>
    </w:rPr>
  </w:style>
  <w:style w:type="paragraph" w:styleId="78">
    <w:name w:val="Normal Indent"/>
    <w:basedOn w:val="1"/>
    <w:link w:val="293"/>
    <w:unhideWhenUsed/>
    <w:uiPriority w:val="0"/>
    <w:pPr>
      <w:spacing w:before="120" w:after="0" w:line="360" w:lineRule="auto"/>
      <w:ind w:left="720"/>
      <w:jc w:val="both"/>
    </w:pPr>
    <w:rPr>
      <w:rFonts w:ascii="Book Antiqua" w:hAnsi="Book Antiqua" w:eastAsia="Calibri" w:cstheme="minorHAnsi"/>
      <w:szCs w:val="24"/>
      <w:lang w:val="en-GB" w:eastAsia="en-GB"/>
    </w:rPr>
  </w:style>
  <w:style w:type="paragraph" w:styleId="79">
    <w:name w:val="Note Heading"/>
    <w:basedOn w:val="1"/>
    <w:next w:val="1"/>
    <w:link w:val="420"/>
    <w:qFormat/>
    <w:uiPriority w:val="99"/>
    <w:pPr>
      <w:spacing w:before="120" w:after="0" w:line="255" w:lineRule="exact"/>
      <w:jc w:val="both"/>
    </w:pPr>
    <w:rPr>
      <w:rFonts w:ascii="Arial" w:hAnsi="Arial" w:eastAsia="Times New Roman" w:cstheme="minorHAnsi"/>
      <w:sz w:val="18"/>
      <w:szCs w:val="20"/>
      <w:lang w:val="en-GB" w:eastAsia="en-GB"/>
    </w:rPr>
  </w:style>
  <w:style w:type="character" w:styleId="80">
    <w:name w:val="page number"/>
    <w:qFormat/>
    <w:uiPriority w:val="0"/>
    <w:rPr>
      <w:rFonts w:ascii="Arial" w:hAnsi="Arial"/>
      <w:sz w:val="20"/>
    </w:rPr>
  </w:style>
  <w:style w:type="paragraph" w:styleId="81">
    <w:name w:val="Plain Text"/>
    <w:basedOn w:val="1"/>
    <w:link w:val="426"/>
    <w:uiPriority w:val="99"/>
    <w:pPr>
      <w:spacing w:before="120" w:after="0" w:line="240" w:lineRule="auto"/>
      <w:jc w:val="both"/>
    </w:pPr>
    <w:rPr>
      <w:rFonts w:ascii="Courier New" w:hAnsi="Courier New" w:eastAsia="Times New Roman" w:cstheme="minorHAnsi"/>
      <w:sz w:val="20"/>
      <w:szCs w:val="20"/>
      <w:lang w:eastAsia="en-GB"/>
    </w:rPr>
  </w:style>
  <w:style w:type="paragraph" w:styleId="82">
    <w:name w:val="Salutation"/>
    <w:basedOn w:val="1"/>
    <w:next w:val="1"/>
    <w:link w:val="430"/>
    <w:uiPriority w:val="99"/>
    <w:pPr>
      <w:spacing w:before="120" w:after="0" w:line="255" w:lineRule="exact"/>
      <w:jc w:val="both"/>
    </w:pPr>
    <w:rPr>
      <w:rFonts w:ascii="Arial" w:hAnsi="Arial" w:eastAsia="Times New Roman" w:cstheme="minorHAnsi"/>
      <w:sz w:val="18"/>
      <w:szCs w:val="20"/>
      <w:lang w:val="en-GB" w:eastAsia="en-GB"/>
    </w:rPr>
  </w:style>
  <w:style w:type="paragraph" w:styleId="83">
    <w:name w:val="Signature"/>
    <w:basedOn w:val="1"/>
    <w:link w:val="434"/>
    <w:uiPriority w:val="99"/>
    <w:pPr>
      <w:spacing w:before="120" w:after="0" w:line="255" w:lineRule="exact"/>
      <w:ind w:left="4320"/>
      <w:jc w:val="both"/>
    </w:pPr>
    <w:rPr>
      <w:rFonts w:ascii="Arial" w:hAnsi="Arial" w:eastAsia="Times New Roman" w:cstheme="minorHAnsi"/>
      <w:sz w:val="18"/>
      <w:szCs w:val="20"/>
      <w:lang w:val="en-GB" w:eastAsia="en-GB"/>
    </w:rPr>
  </w:style>
  <w:style w:type="character" w:styleId="84">
    <w:name w:val="Strong"/>
    <w:basedOn w:val="11"/>
    <w:qFormat/>
    <w:uiPriority w:val="22"/>
    <w:rPr>
      <w:b/>
      <w:bCs/>
    </w:rPr>
  </w:style>
  <w:style w:type="paragraph" w:styleId="85">
    <w:name w:val="Subtitle"/>
    <w:basedOn w:val="1"/>
    <w:next w:val="1"/>
    <w:link w:val="242"/>
    <w:qFormat/>
    <w:uiPriority w:val="11"/>
    <w:pPr>
      <w:spacing w:before="120" w:after="120" w:line="240" w:lineRule="auto"/>
      <w:jc w:val="both"/>
    </w:pPr>
    <w:rPr>
      <w:rFonts w:ascii="Book Antiqua" w:hAnsi="Book Antiqua" w:eastAsiaTheme="minorEastAsia"/>
      <w:color w:val="595959" w:themeColor="text1" w:themeTint="A6"/>
      <w:spacing w:val="15"/>
      <w14:textFill>
        <w14:solidFill>
          <w14:schemeClr w14:val="tx1">
            <w14:lumMod w14:val="65000"/>
            <w14:lumOff w14:val="35000"/>
          </w14:schemeClr>
        </w14:solidFill>
      </w14:textFill>
    </w:rPr>
  </w:style>
  <w:style w:type="table" w:styleId="86">
    <w:name w:val="Table Grid"/>
    <w:basedOn w:val="12"/>
    <w:qFormat/>
    <w:uiPriority w:val="39"/>
    <w:rPr>
      <w:rFonts w:cstheme="minorHAns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87">
    <w:name w:val="table of authorities"/>
    <w:basedOn w:val="1"/>
    <w:next w:val="1"/>
    <w:uiPriority w:val="99"/>
    <w:pPr>
      <w:spacing w:before="120" w:after="0" w:line="255" w:lineRule="exact"/>
      <w:ind w:left="180" w:hanging="180"/>
      <w:jc w:val="both"/>
    </w:pPr>
    <w:rPr>
      <w:rFonts w:ascii="Arial" w:hAnsi="Arial" w:eastAsia="Times New Roman" w:cstheme="minorHAnsi"/>
      <w:sz w:val="18"/>
      <w:szCs w:val="20"/>
      <w:lang w:eastAsia="en-GB"/>
    </w:rPr>
  </w:style>
  <w:style w:type="paragraph" w:styleId="88">
    <w:name w:val="table of figures"/>
    <w:basedOn w:val="1"/>
    <w:next w:val="1"/>
    <w:unhideWhenUsed/>
    <w:uiPriority w:val="99"/>
    <w:pPr>
      <w:spacing w:before="100" w:beforeAutospacing="1" w:after="0" w:afterAutospacing="1" w:line="276" w:lineRule="auto"/>
      <w:jc w:val="both"/>
    </w:pPr>
    <w:rPr>
      <w:rFonts w:ascii="Book Antiqua" w:hAnsi="Book Antiqua"/>
    </w:rPr>
  </w:style>
  <w:style w:type="table" w:styleId="89">
    <w:name w:val="Table Web 3"/>
    <w:basedOn w:val="12"/>
    <w:uiPriority w:val="99"/>
    <w:pPr>
      <w:spacing w:before="120"/>
      <w:jc w:val="both"/>
    </w:pPr>
    <w:rPr>
      <w:rFonts w:ascii="Book Antiqua" w:hAnsi="Book Antiqua" w:eastAsia="Calibri" w:cstheme="minorHAnsi"/>
      <w:szCs w:val="24"/>
      <w:lang w:val="en-GB" w:eastAsia="en-GB"/>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blPr/>
      <w:tcPr>
        <w:tcBorders>
          <w:tl2br w:val="nil"/>
          <w:tr2bl w:val="nil"/>
        </w:tcBorders>
      </w:tcPr>
    </w:tblStylePr>
  </w:style>
  <w:style w:type="paragraph" w:styleId="90">
    <w:name w:val="Title"/>
    <w:basedOn w:val="1"/>
    <w:next w:val="1"/>
    <w:link w:val="147"/>
    <w:qFormat/>
    <w:uiPriority w:val="10"/>
    <w:pPr>
      <w:widowControl w:val="0"/>
      <w:autoSpaceDE w:val="0"/>
      <w:autoSpaceDN w:val="0"/>
      <w:spacing w:beforeAutospacing="1" w:after="0" w:afterAutospacing="1" w:line="240" w:lineRule="auto"/>
      <w:contextualSpacing/>
      <w:jc w:val="both"/>
    </w:pPr>
    <w:rPr>
      <w:rFonts w:asciiTheme="majorHAnsi" w:hAnsiTheme="majorHAnsi" w:eastAsiaTheme="majorEastAsia" w:cstheme="majorBidi"/>
      <w:spacing w:val="-10"/>
      <w:kern w:val="28"/>
      <w:sz w:val="56"/>
      <w:szCs w:val="56"/>
      <w:lang w:bidi="en-US"/>
    </w:rPr>
  </w:style>
  <w:style w:type="paragraph" w:styleId="91">
    <w:name w:val="toa heading"/>
    <w:basedOn w:val="1"/>
    <w:next w:val="1"/>
    <w:uiPriority w:val="99"/>
    <w:pPr>
      <w:spacing w:before="120" w:after="0" w:line="255" w:lineRule="exact"/>
      <w:jc w:val="both"/>
    </w:pPr>
    <w:rPr>
      <w:rFonts w:ascii="Book Antiqua" w:hAnsi="Book Antiqua" w:eastAsia="Times New Roman" w:cstheme="minorHAnsi"/>
      <w:b/>
      <w:bCs/>
      <w:szCs w:val="24"/>
      <w:lang w:eastAsia="en-GB"/>
    </w:rPr>
  </w:style>
  <w:style w:type="paragraph" w:styleId="92">
    <w:name w:val="toc 1"/>
    <w:basedOn w:val="1"/>
    <w:qFormat/>
    <w:uiPriority w:val="39"/>
    <w:pPr>
      <w:widowControl w:val="0"/>
      <w:autoSpaceDE w:val="0"/>
      <w:autoSpaceDN w:val="0"/>
      <w:spacing w:before="363" w:after="0" w:line="240" w:lineRule="auto"/>
      <w:ind w:left="1487" w:hanging="361"/>
    </w:pPr>
    <w:rPr>
      <w:rFonts w:ascii="Calibri" w:hAnsi="Calibri" w:eastAsia="Calibri" w:cs="Calibri"/>
      <w:b/>
      <w:bCs/>
      <w:sz w:val="20"/>
      <w:szCs w:val="20"/>
    </w:rPr>
  </w:style>
  <w:style w:type="paragraph" w:styleId="93">
    <w:name w:val="toc 2"/>
    <w:basedOn w:val="1"/>
    <w:qFormat/>
    <w:uiPriority w:val="39"/>
    <w:pPr>
      <w:widowControl w:val="0"/>
      <w:autoSpaceDE w:val="0"/>
      <w:autoSpaceDN w:val="0"/>
      <w:spacing w:before="243" w:after="0" w:line="240" w:lineRule="auto"/>
      <w:ind w:left="1847" w:hanging="361"/>
    </w:pPr>
    <w:rPr>
      <w:rFonts w:ascii="Calibri" w:hAnsi="Calibri" w:eastAsia="Calibri" w:cs="Calibri"/>
      <w:sz w:val="20"/>
      <w:szCs w:val="20"/>
    </w:rPr>
  </w:style>
  <w:style w:type="paragraph" w:styleId="94">
    <w:name w:val="toc 3"/>
    <w:basedOn w:val="1"/>
    <w:next w:val="1"/>
    <w:autoRedefine/>
    <w:unhideWhenUsed/>
    <w:qFormat/>
    <w:uiPriority w:val="39"/>
    <w:pPr>
      <w:spacing w:before="100" w:beforeAutospacing="1" w:after="100" w:afterAutospacing="1" w:line="276" w:lineRule="auto"/>
      <w:ind w:left="440"/>
      <w:jc w:val="both"/>
    </w:pPr>
    <w:rPr>
      <w:rFonts w:ascii="Book Antiqua" w:hAnsi="Book Antiqua"/>
    </w:rPr>
  </w:style>
  <w:style w:type="paragraph" w:styleId="95">
    <w:name w:val="toc 4"/>
    <w:basedOn w:val="1"/>
    <w:next w:val="1"/>
    <w:autoRedefine/>
    <w:unhideWhenUsed/>
    <w:qFormat/>
    <w:uiPriority w:val="39"/>
    <w:pPr>
      <w:spacing w:after="100"/>
      <w:ind w:left="660"/>
    </w:pPr>
    <w:rPr>
      <w:rFonts w:eastAsiaTheme="minorEastAsia"/>
    </w:rPr>
  </w:style>
  <w:style w:type="paragraph" w:styleId="96">
    <w:name w:val="toc 5"/>
    <w:basedOn w:val="1"/>
    <w:next w:val="1"/>
    <w:autoRedefine/>
    <w:unhideWhenUsed/>
    <w:qFormat/>
    <w:uiPriority w:val="39"/>
    <w:pPr>
      <w:spacing w:after="100"/>
      <w:ind w:left="880"/>
    </w:pPr>
    <w:rPr>
      <w:rFonts w:eastAsiaTheme="minorEastAsia"/>
    </w:rPr>
  </w:style>
  <w:style w:type="paragraph" w:styleId="97">
    <w:name w:val="toc 6"/>
    <w:basedOn w:val="1"/>
    <w:next w:val="1"/>
    <w:autoRedefine/>
    <w:unhideWhenUsed/>
    <w:uiPriority w:val="39"/>
    <w:pPr>
      <w:spacing w:after="100"/>
      <w:ind w:left="1100"/>
    </w:pPr>
    <w:rPr>
      <w:rFonts w:eastAsiaTheme="minorEastAsia"/>
    </w:rPr>
  </w:style>
  <w:style w:type="paragraph" w:styleId="98">
    <w:name w:val="toc 7"/>
    <w:basedOn w:val="1"/>
    <w:next w:val="1"/>
    <w:autoRedefine/>
    <w:unhideWhenUsed/>
    <w:uiPriority w:val="39"/>
    <w:pPr>
      <w:spacing w:after="100"/>
      <w:ind w:left="1320"/>
    </w:pPr>
    <w:rPr>
      <w:rFonts w:eastAsiaTheme="minorEastAsia"/>
    </w:rPr>
  </w:style>
  <w:style w:type="paragraph" w:styleId="99">
    <w:name w:val="toc 8"/>
    <w:basedOn w:val="1"/>
    <w:next w:val="1"/>
    <w:autoRedefine/>
    <w:unhideWhenUsed/>
    <w:uiPriority w:val="39"/>
    <w:pPr>
      <w:spacing w:after="100"/>
      <w:ind w:left="1540"/>
    </w:pPr>
    <w:rPr>
      <w:rFonts w:eastAsiaTheme="minorEastAsia"/>
    </w:rPr>
  </w:style>
  <w:style w:type="paragraph" w:styleId="100">
    <w:name w:val="toc 9"/>
    <w:basedOn w:val="1"/>
    <w:next w:val="1"/>
    <w:autoRedefine/>
    <w:unhideWhenUsed/>
    <w:uiPriority w:val="39"/>
    <w:pPr>
      <w:spacing w:after="100"/>
      <w:ind w:left="1760"/>
    </w:pPr>
    <w:rPr>
      <w:rFonts w:eastAsiaTheme="minorEastAsia"/>
    </w:rPr>
  </w:style>
  <w:style w:type="table" w:styleId="101">
    <w:name w:val="Light Shading Accent 4"/>
    <w:basedOn w:val="12"/>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bl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bl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102">
    <w:name w:val="Heading 1 Char"/>
    <w:basedOn w:val="11"/>
    <w:link w:val="2"/>
    <w:qFormat/>
    <w:uiPriority w:val="0"/>
    <w:rPr>
      <w:rFonts w:ascii="Arial Narrow" w:hAnsi="Arial Narrow" w:eastAsiaTheme="majorEastAsia" w:cstheme="majorBidi"/>
      <w:b/>
      <w:sz w:val="28"/>
      <w:szCs w:val="28"/>
    </w:rPr>
  </w:style>
  <w:style w:type="character" w:customStyle="1" w:styleId="103">
    <w:name w:val="Heading 2 Char"/>
    <w:basedOn w:val="11"/>
    <w:link w:val="3"/>
    <w:qFormat/>
    <w:uiPriority w:val="0"/>
    <w:rPr>
      <w:rFonts w:ascii="Arial Narrow" w:hAnsi="Arial Narrow" w:eastAsia="Times New Roman" w:cs="Times New Roman"/>
      <w:b/>
      <w:kern w:val="3"/>
      <w:sz w:val="24"/>
      <w:szCs w:val="26"/>
    </w:rPr>
  </w:style>
  <w:style w:type="character" w:customStyle="1" w:styleId="104">
    <w:name w:val="Heading 3 Char"/>
    <w:basedOn w:val="11"/>
    <w:link w:val="4"/>
    <w:qFormat/>
    <w:uiPriority w:val="9"/>
    <w:rPr>
      <w:rFonts w:ascii="Arial Narrow" w:hAnsi="Arial Narrow" w:eastAsiaTheme="majorEastAsia" w:cstheme="majorBidi"/>
      <w:b/>
      <w:szCs w:val="24"/>
    </w:rPr>
  </w:style>
  <w:style w:type="character" w:customStyle="1" w:styleId="105">
    <w:name w:val="Heading 4 Char"/>
    <w:basedOn w:val="11"/>
    <w:link w:val="5"/>
    <w:uiPriority w:val="9"/>
    <w:rPr>
      <w:rFonts w:ascii="Arial Narrow" w:hAnsi="Arial Narrow" w:eastAsia="Times New Roman" w:cs="Times New Roman"/>
      <w:b/>
      <w:iCs/>
      <w:kern w:val="3"/>
      <w:sz w:val="24"/>
      <w:szCs w:val="24"/>
    </w:rPr>
  </w:style>
  <w:style w:type="character" w:customStyle="1" w:styleId="106">
    <w:name w:val="Heading 5 Char"/>
    <w:basedOn w:val="11"/>
    <w:link w:val="6"/>
    <w:uiPriority w:val="9"/>
    <w:rPr>
      <w:rFonts w:asciiTheme="majorHAnsi" w:hAnsiTheme="majorHAnsi" w:eastAsiaTheme="majorEastAsia" w:cstheme="majorBidi"/>
      <w:color w:val="2E75B6" w:themeColor="accent1" w:themeShade="BF"/>
    </w:rPr>
  </w:style>
  <w:style w:type="character" w:customStyle="1" w:styleId="107">
    <w:name w:val="Heading 6 Char"/>
    <w:basedOn w:val="11"/>
    <w:link w:val="7"/>
    <w:uiPriority w:val="9"/>
    <w:rPr>
      <w:rFonts w:asciiTheme="majorHAnsi" w:hAnsiTheme="majorHAnsi" w:eastAsiaTheme="majorEastAsia" w:cstheme="majorBidi"/>
      <w:color w:val="1F4E79" w:themeColor="accent1" w:themeShade="80"/>
    </w:rPr>
  </w:style>
  <w:style w:type="character" w:customStyle="1" w:styleId="108">
    <w:name w:val="Heading 7 Char"/>
    <w:basedOn w:val="11"/>
    <w:link w:val="8"/>
    <w:uiPriority w:val="9"/>
    <w:rPr>
      <w:rFonts w:asciiTheme="majorHAnsi" w:hAnsiTheme="majorHAnsi" w:eastAsiaTheme="majorEastAsia" w:cstheme="majorBidi"/>
      <w:i/>
      <w:iCs/>
      <w:color w:val="1F4E79" w:themeColor="accent1" w:themeShade="80"/>
    </w:rPr>
  </w:style>
  <w:style w:type="character" w:customStyle="1" w:styleId="109">
    <w:name w:val="Header Char"/>
    <w:basedOn w:val="11"/>
    <w:link w:val="41"/>
    <w:qFormat/>
    <w:uiPriority w:val="99"/>
  </w:style>
  <w:style w:type="character" w:customStyle="1" w:styleId="110">
    <w:name w:val="Footer Char"/>
    <w:basedOn w:val="11"/>
    <w:link w:val="37"/>
    <w:qFormat/>
    <w:uiPriority w:val="99"/>
  </w:style>
  <w:style w:type="character" w:customStyle="1" w:styleId="111">
    <w:name w:val="Body Text Indent Char"/>
    <w:basedOn w:val="11"/>
    <w:link w:val="19"/>
    <w:uiPriority w:val="0"/>
    <w:rPr>
      <w:rFonts w:ascii="Arial" w:hAnsi="Arial" w:eastAsia="Times New Roman" w:cs="Times New Roman"/>
      <w:sz w:val="20"/>
      <w:szCs w:val="20"/>
      <w:lang w:val="en-GB"/>
    </w:rPr>
  </w:style>
  <w:style w:type="paragraph" w:customStyle="1" w:styleId="112">
    <w:name w:val="Heading 1_New"/>
    <w:basedOn w:val="1"/>
    <w:next w:val="113"/>
    <w:autoRedefine/>
    <w:qFormat/>
    <w:uiPriority w:val="0"/>
    <w:pPr>
      <w:spacing w:line="276" w:lineRule="auto"/>
    </w:pPr>
    <w:rPr>
      <w:rFonts w:eastAsia="Times New Roman Bold" w:cstheme="minorHAnsi"/>
      <w:b/>
      <w:w w:val="110"/>
      <w:sz w:val="28"/>
      <w:szCs w:val="24"/>
      <w:lang w:eastAsia="en-GB"/>
    </w:rPr>
  </w:style>
  <w:style w:type="paragraph" w:customStyle="1" w:styleId="113">
    <w:name w:val="Horiz line 2"/>
    <w:basedOn w:val="114"/>
    <w:next w:val="78"/>
    <w:uiPriority w:val="99"/>
    <w:pPr>
      <w:spacing w:before="240"/>
    </w:pPr>
  </w:style>
  <w:style w:type="paragraph" w:customStyle="1" w:styleId="114">
    <w:name w:val="Horiz line 1"/>
    <w:basedOn w:val="78"/>
    <w:next w:val="3"/>
    <w:link w:val="360"/>
    <w:uiPriority w:val="0"/>
    <w:pPr>
      <w:keepNext/>
      <w:pBdr>
        <w:top w:val="single" w:color="auto" w:sz="6" w:space="1"/>
      </w:pBdr>
      <w:spacing w:line="240" w:lineRule="auto"/>
      <w:ind w:left="709"/>
    </w:pPr>
    <w:rPr>
      <w:rFonts w:ascii="Arial" w:hAnsi="Arial" w:eastAsia="Times New Roman"/>
      <w:sz w:val="20"/>
      <w:szCs w:val="20"/>
    </w:rPr>
  </w:style>
  <w:style w:type="paragraph" w:styleId="115">
    <w:name w:val="List Paragraph"/>
    <w:basedOn w:val="1"/>
    <w:link w:val="116"/>
    <w:autoRedefine/>
    <w:qFormat/>
    <w:uiPriority w:val="34"/>
    <w:pPr>
      <w:numPr>
        <w:ilvl w:val="0"/>
        <w:numId w:val="11"/>
      </w:numPr>
      <w:spacing w:after="0" w:line="240" w:lineRule="auto"/>
      <w:ind w:left="1418" w:hanging="709"/>
      <w:contextualSpacing/>
      <w:jc w:val="both"/>
    </w:pPr>
    <w:rPr>
      <w:rFonts w:cstheme="minorHAnsi"/>
    </w:rPr>
  </w:style>
  <w:style w:type="character" w:customStyle="1" w:styleId="116">
    <w:name w:val="List Paragraph Char"/>
    <w:basedOn w:val="11"/>
    <w:link w:val="115"/>
    <w:qFormat/>
    <w:locked/>
    <w:uiPriority w:val="34"/>
    <w:rPr>
      <w:rFonts w:ascii="Arial Narrow" w:hAnsi="Arial Narrow" w:cstheme="minorHAnsi"/>
      <w:sz w:val="22"/>
      <w:szCs w:val="22"/>
    </w:rPr>
  </w:style>
  <w:style w:type="paragraph" w:customStyle="1" w:styleId="117">
    <w:name w:val="Heading 2+"/>
    <w:basedOn w:val="3"/>
    <w:next w:val="1"/>
    <w:link w:val="118"/>
    <w:autoRedefine/>
    <w:qFormat/>
    <w:uiPriority w:val="0"/>
    <w:pPr>
      <w:tabs>
        <w:tab w:val="left" w:pos="709"/>
      </w:tabs>
      <w:spacing w:line="259" w:lineRule="auto"/>
    </w:pPr>
    <w:rPr>
      <w:rFonts w:eastAsia="Times New Roman Bold" w:cstheme="minorHAnsi"/>
      <w:bCs/>
      <w:iCs/>
      <w:kern w:val="0"/>
      <w:szCs w:val="28"/>
      <w:lang w:eastAsia="ja-JP"/>
    </w:rPr>
  </w:style>
  <w:style w:type="character" w:customStyle="1" w:styleId="118">
    <w:name w:val="Heading 2+ Char"/>
    <w:link w:val="117"/>
    <w:uiPriority w:val="0"/>
    <w:rPr>
      <w:rFonts w:ascii="Arial Narrow" w:hAnsi="Arial Narrow" w:eastAsia="Times New Roman Bold" w:cstheme="minorHAnsi"/>
      <w:b/>
      <w:bCs/>
      <w:iCs/>
      <w:sz w:val="24"/>
      <w:szCs w:val="28"/>
      <w:lang w:eastAsia="ja-JP"/>
    </w:rPr>
  </w:style>
  <w:style w:type="character" w:customStyle="1" w:styleId="119">
    <w:name w:val="Caption Char"/>
    <w:link w:val="23"/>
    <w:qFormat/>
    <w:uiPriority w:val="0"/>
    <w:rPr>
      <w:rFonts w:ascii="Arial Narrow" w:hAnsi="Arial Narrow" w:cstheme="minorHAnsi"/>
      <w:b/>
      <w:iCs/>
      <w:sz w:val="22"/>
      <w:szCs w:val="22"/>
      <w:lang w:val="en-GB" w:eastAsia="ja-JP"/>
    </w:rPr>
  </w:style>
  <w:style w:type="paragraph" w:customStyle="1" w:styleId="120">
    <w:name w:val="Para 1"/>
    <w:basedOn w:val="1"/>
    <w:uiPriority w:val="0"/>
    <w:pPr>
      <w:tabs>
        <w:tab w:val="left" w:pos="1701"/>
        <w:tab w:val="left" w:pos="2268"/>
        <w:tab w:val="left" w:pos="2835"/>
        <w:tab w:val="left" w:pos="3402"/>
        <w:tab w:val="left" w:pos="3969"/>
      </w:tabs>
      <w:spacing w:before="120" w:after="0" w:line="280" w:lineRule="exact"/>
      <w:ind w:left="1134"/>
      <w:jc w:val="both"/>
    </w:pPr>
    <w:rPr>
      <w:rFonts w:eastAsia="Times New Roman" w:cs="Times New Roman"/>
      <w:sz w:val="24"/>
      <w:szCs w:val="20"/>
      <w:lang w:val="en-GB"/>
    </w:rPr>
  </w:style>
  <w:style w:type="paragraph" w:styleId="121">
    <w:name w:val="No Spacing"/>
    <w:link w:val="142"/>
    <w:qFormat/>
    <w:uiPriority w:val="1"/>
    <w:pPr>
      <w:spacing w:beforeAutospacing="1" w:afterAutospacing="1"/>
      <w:jc w:val="both"/>
    </w:pPr>
    <w:rPr>
      <w:rFonts w:ascii="Book Antiqua" w:hAnsi="Book Antiqua" w:eastAsiaTheme="minorHAnsi" w:cstheme="minorBidi"/>
      <w:sz w:val="22"/>
      <w:szCs w:val="22"/>
      <w:lang w:val="en-US" w:eastAsia="en-US" w:bidi="ar-SA"/>
    </w:rPr>
  </w:style>
  <w:style w:type="character" w:customStyle="1" w:styleId="122">
    <w:name w:val="cf01"/>
    <w:basedOn w:val="11"/>
    <w:uiPriority w:val="0"/>
    <w:rPr>
      <w:rFonts w:hint="default" w:ascii="Segoe UI" w:hAnsi="Segoe UI" w:cs="Segoe UI"/>
      <w:sz w:val="18"/>
      <w:szCs w:val="18"/>
    </w:rPr>
  </w:style>
  <w:style w:type="character" w:customStyle="1" w:styleId="123">
    <w:name w:val="Body Text Char"/>
    <w:basedOn w:val="11"/>
    <w:link w:val="15"/>
    <w:uiPriority w:val="1"/>
    <w:rPr>
      <w:rFonts w:ascii="Book Antiqua" w:hAnsi="Book Antiqua"/>
    </w:rPr>
  </w:style>
  <w:style w:type="paragraph" w:customStyle="1" w:styleId="124">
    <w:name w:val="Table Paragraph"/>
    <w:basedOn w:val="1"/>
    <w:qFormat/>
    <w:uiPriority w:val="1"/>
    <w:pPr>
      <w:widowControl w:val="0"/>
      <w:autoSpaceDE w:val="0"/>
      <w:autoSpaceDN w:val="0"/>
      <w:spacing w:after="0" w:line="240" w:lineRule="auto"/>
    </w:pPr>
    <w:rPr>
      <w:rFonts w:ascii="Microsoft Sans Serif" w:hAnsi="Microsoft Sans Serif" w:eastAsia="Microsoft Sans Serif" w:cs="Microsoft Sans Serif"/>
    </w:rPr>
  </w:style>
  <w:style w:type="paragraph" w:customStyle="1" w:styleId="125">
    <w:name w:val="Project alternatives"/>
    <w:basedOn w:val="1"/>
    <w:next w:val="8"/>
    <w:link w:val="126"/>
    <w:qFormat/>
    <w:uiPriority w:val="1"/>
    <w:pPr>
      <w:widowControl w:val="0"/>
      <w:autoSpaceDE w:val="0"/>
      <w:autoSpaceDN w:val="0"/>
      <w:spacing w:before="100" w:beforeAutospacing="1" w:after="0" w:line="240" w:lineRule="auto"/>
    </w:pPr>
    <w:rPr>
      <w:rFonts w:ascii="Times New Roman" w:hAnsi="Times New Roman" w:eastAsia="Calibri" w:cs="Calibri"/>
      <w:sz w:val="24"/>
    </w:rPr>
  </w:style>
  <w:style w:type="character" w:customStyle="1" w:styleId="126">
    <w:name w:val="Project alternatives Char"/>
    <w:basedOn w:val="11"/>
    <w:link w:val="125"/>
    <w:uiPriority w:val="1"/>
    <w:rPr>
      <w:rFonts w:ascii="Times New Roman" w:hAnsi="Times New Roman" w:eastAsia="Calibri" w:cs="Calibri"/>
      <w:sz w:val="24"/>
    </w:rPr>
  </w:style>
  <w:style w:type="paragraph" w:customStyle="1" w:styleId="127">
    <w:name w:val="TOC Heading1"/>
    <w:basedOn w:val="2"/>
    <w:next w:val="1"/>
    <w:unhideWhenUsed/>
    <w:qFormat/>
    <w:uiPriority w:val="39"/>
    <w:pPr>
      <w:spacing w:before="240" w:beforeAutospacing="0" w:after="0" w:afterAutospacing="0" w:line="259" w:lineRule="auto"/>
      <w:jc w:val="left"/>
      <w:outlineLvl w:val="9"/>
    </w:pPr>
    <w:rPr>
      <w:rFonts w:asciiTheme="majorHAnsi" w:hAnsiTheme="majorHAnsi"/>
      <w:b w:val="0"/>
      <w:color w:val="2E75B6" w:themeColor="accent1" w:themeShade="BF"/>
      <w:sz w:val="32"/>
    </w:rPr>
  </w:style>
  <w:style w:type="paragraph" w:customStyle="1" w:styleId="128">
    <w:name w:val="Default"/>
    <w:link w:val="311"/>
    <w:uiPriority w:val="99"/>
    <w:pPr>
      <w:autoSpaceDE w:val="0"/>
      <w:autoSpaceDN w:val="0"/>
      <w:adjustRightInd w:val="0"/>
    </w:pPr>
    <w:rPr>
      <w:rFonts w:ascii="Garamond" w:hAnsi="Garamond" w:cs="Garamond" w:eastAsiaTheme="minorHAnsi"/>
      <w:color w:val="000000"/>
      <w:sz w:val="24"/>
      <w:szCs w:val="24"/>
      <w:lang w:val="en-GB" w:eastAsia="en-US" w:bidi="ar-SA"/>
    </w:rPr>
  </w:style>
  <w:style w:type="table" w:customStyle="1" w:styleId="129">
    <w:name w:val="TableGrid"/>
    <w:uiPriority w:val="0"/>
    <w:rPr>
      <w:rFonts w:eastAsiaTheme="minorEastAsia"/>
    </w:rPr>
    <w:tblPr>
      <w:tblCellMar>
        <w:top w:w="0" w:type="dxa"/>
        <w:left w:w="0" w:type="dxa"/>
        <w:bottom w:w="0" w:type="dxa"/>
        <w:right w:w="0" w:type="dxa"/>
      </w:tblCellMar>
    </w:tblPr>
  </w:style>
  <w:style w:type="table" w:customStyle="1" w:styleId="130">
    <w:name w:val="Table Grid1"/>
    <w:basedOn w:val="12"/>
    <w:uiPriority w:val="39"/>
    <w:rPr>
      <w:rFonts w:ascii="Calibri" w:hAnsi="Calibri" w:eastAsia="Calibri" w:cs="SimSu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1">
    <w:name w:val="Comment Text Char"/>
    <w:basedOn w:val="11"/>
    <w:link w:val="26"/>
    <w:qFormat/>
    <w:uiPriority w:val="99"/>
    <w:rPr>
      <w:rFonts w:ascii="Arial Narrow" w:hAnsi="Arial Narrow"/>
      <w:sz w:val="20"/>
      <w:szCs w:val="20"/>
    </w:rPr>
  </w:style>
  <w:style w:type="character" w:customStyle="1" w:styleId="132">
    <w:name w:val="Balloon Text Char"/>
    <w:basedOn w:val="11"/>
    <w:link w:val="13"/>
    <w:uiPriority w:val="99"/>
    <w:rPr>
      <w:rFonts w:ascii="Segoe UI" w:hAnsi="Segoe UI" w:cs="Segoe UI"/>
      <w:sz w:val="18"/>
      <w:szCs w:val="18"/>
    </w:rPr>
  </w:style>
  <w:style w:type="character" w:customStyle="1" w:styleId="133">
    <w:name w:val="Heading 3+ Char"/>
    <w:link w:val="134"/>
    <w:locked/>
    <w:uiPriority w:val="0"/>
    <w:rPr>
      <w:rFonts w:ascii="Arial Narrow" w:hAnsi="Arial Narrow" w:eastAsia="Times New Roman Bold" w:cstheme="minorHAnsi"/>
      <w:b/>
      <w:szCs w:val="24"/>
      <w:lang w:eastAsia="en-GB"/>
    </w:rPr>
  </w:style>
  <w:style w:type="paragraph" w:customStyle="1" w:styleId="134">
    <w:name w:val="Heading 3+"/>
    <w:basedOn w:val="1"/>
    <w:next w:val="4"/>
    <w:link w:val="133"/>
    <w:autoRedefine/>
    <w:qFormat/>
    <w:uiPriority w:val="0"/>
    <w:pPr>
      <w:keepNext/>
      <w:keepLines/>
      <w:spacing w:before="100" w:beforeAutospacing="1" w:after="100" w:afterAutospacing="1" w:line="240" w:lineRule="auto"/>
      <w:jc w:val="both"/>
      <w:outlineLvl w:val="0"/>
    </w:pPr>
    <w:rPr>
      <w:rFonts w:eastAsia="Times New Roman Bold" w:cstheme="minorHAnsi"/>
      <w:b/>
      <w:szCs w:val="24"/>
      <w:lang w:eastAsia="en-GB"/>
    </w:rPr>
  </w:style>
  <w:style w:type="character" w:customStyle="1" w:styleId="135">
    <w:name w:val="selectable-text"/>
    <w:basedOn w:val="11"/>
    <w:uiPriority w:val="0"/>
  </w:style>
  <w:style w:type="character" w:customStyle="1" w:styleId="136">
    <w:name w:val="Heading 8 Char"/>
    <w:basedOn w:val="11"/>
    <w:link w:val="9"/>
    <w:uiPriority w:val="9"/>
    <w:rPr>
      <w:rFonts w:asciiTheme="majorHAnsi" w:hAnsiTheme="majorHAnsi" w:eastAsiaTheme="majorEastAsia" w:cstheme="majorBidi"/>
      <w:color w:val="262626" w:themeColor="text1" w:themeTint="D9"/>
      <w:sz w:val="21"/>
      <w:szCs w:val="21"/>
      <w:lang w:bidi="en-US"/>
      <w14:textFill>
        <w14:solidFill>
          <w14:schemeClr w14:val="tx1">
            <w14:lumMod w14:val="85000"/>
            <w14:lumOff w14:val="15000"/>
          </w14:schemeClr>
        </w14:solidFill>
      </w14:textFill>
    </w:rPr>
  </w:style>
  <w:style w:type="character" w:customStyle="1" w:styleId="137">
    <w:name w:val="Heading 9 Char"/>
    <w:basedOn w:val="11"/>
    <w:link w:val="10"/>
    <w:uiPriority w:val="9"/>
    <w:rPr>
      <w:rFonts w:asciiTheme="majorHAnsi" w:hAnsiTheme="majorHAnsi" w:eastAsiaTheme="majorEastAsia" w:cstheme="majorBidi"/>
      <w:i/>
      <w:iCs/>
      <w:color w:val="262626" w:themeColor="text1" w:themeTint="D9"/>
      <w:sz w:val="21"/>
      <w:szCs w:val="21"/>
      <w:lang w:bidi="en-US"/>
      <w14:textFill>
        <w14:solidFill>
          <w14:schemeClr w14:val="tx1">
            <w14:lumMod w14:val="85000"/>
            <w14:lumOff w14:val="15000"/>
          </w14:schemeClr>
        </w14:solidFill>
      </w14:textFill>
    </w:rPr>
  </w:style>
  <w:style w:type="table" w:customStyle="1" w:styleId="138">
    <w:name w:val="Table Grid (Appendix list)1"/>
    <w:basedOn w:val="12"/>
    <w:qFormat/>
    <w:uiPriority w:val="0"/>
    <w:rPr>
      <w:rFonts w:ascii="Times New Roman" w:hAnsi="Times New Roman" w:eastAsia="SimSun" w:cs="Times New Roman"/>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9">
    <w:name w:val="Table Grid11"/>
    <w:basedOn w:val="12"/>
    <w:uiPriority w:val="39"/>
    <w:rPr>
      <w:rFonts w:ascii="Calibri" w:hAnsi="Calibri" w:eastAsia="Calibri" w:cs="SimSu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0">
    <w:name w:val="Heading 4+"/>
    <w:basedOn w:val="1"/>
    <w:link w:val="141"/>
    <w:autoRedefine/>
    <w:qFormat/>
    <w:uiPriority w:val="0"/>
    <w:pPr>
      <w:keepNext/>
      <w:keepLines/>
      <w:spacing w:before="100" w:beforeAutospacing="1" w:after="100" w:afterAutospacing="1" w:line="276" w:lineRule="auto"/>
      <w:outlineLvl w:val="3"/>
    </w:pPr>
    <w:rPr>
      <w:rFonts w:ascii="Book Antiqua" w:hAnsi="Book Antiqua" w:eastAsia="Times New Roman" w:cstheme="minorHAnsi"/>
      <w:b/>
      <w:iCs/>
      <w:szCs w:val="24"/>
      <w:lang w:val="en-GB" w:eastAsia="en-GB"/>
    </w:rPr>
  </w:style>
  <w:style w:type="character" w:customStyle="1" w:styleId="141">
    <w:name w:val="Heading 4+ Char"/>
    <w:link w:val="140"/>
    <w:uiPriority w:val="0"/>
    <w:rPr>
      <w:rFonts w:ascii="Book Antiqua" w:hAnsi="Book Antiqua" w:eastAsia="Times New Roman" w:cstheme="minorHAnsi"/>
      <w:b/>
      <w:iCs/>
      <w:szCs w:val="24"/>
      <w:lang w:val="en-GB" w:eastAsia="en-GB"/>
    </w:rPr>
  </w:style>
  <w:style w:type="character" w:customStyle="1" w:styleId="142">
    <w:name w:val="No Spacing Char"/>
    <w:basedOn w:val="11"/>
    <w:link w:val="121"/>
    <w:uiPriority w:val="1"/>
    <w:rPr>
      <w:rFonts w:ascii="Book Antiqua" w:hAnsi="Book Antiqua"/>
    </w:rPr>
  </w:style>
  <w:style w:type="character" w:customStyle="1" w:styleId="143">
    <w:name w:val="Unresolved Mention1"/>
    <w:basedOn w:val="11"/>
    <w:semiHidden/>
    <w:unhideWhenUsed/>
    <w:uiPriority w:val="99"/>
    <w:rPr>
      <w:color w:val="605E5C"/>
      <w:shd w:val="clear" w:color="auto" w:fill="E1DFDD"/>
    </w:rPr>
  </w:style>
  <w:style w:type="table" w:customStyle="1" w:styleId="144">
    <w:name w:val="Plain Table 41"/>
    <w:basedOn w:val="12"/>
    <w:uiPriority w:val="44"/>
    <w:rPr>
      <w:rFonts w:eastAsia="Calibri"/>
    </w:rPr>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paragraph" w:customStyle="1" w:styleId="145">
    <w:name w:val="z-Top of Form1"/>
    <w:basedOn w:val="1"/>
    <w:next w:val="1"/>
    <w:link w:val="146"/>
    <w:semiHidden/>
    <w:unhideWhenUsed/>
    <w:uiPriority w:val="99"/>
    <w:pPr>
      <w:pBdr>
        <w:bottom w:val="single" w:color="auto" w:sz="6" w:space="1"/>
      </w:pBdr>
      <w:spacing w:before="100" w:beforeAutospacing="1" w:after="100" w:afterAutospacing="1" w:line="240" w:lineRule="auto"/>
      <w:jc w:val="center"/>
    </w:pPr>
    <w:rPr>
      <w:rFonts w:ascii="Arial" w:hAnsi="Arial" w:eastAsia="Times New Roman" w:cs="Arial"/>
      <w:vanish/>
      <w:sz w:val="16"/>
      <w:szCs w:val="16"/>
      <w:lang w:val="en-GB" w:eastAsia="en-GB"/>
    </w:rPr>
  </w:style>
  <w:style w:type="character" w:customStyle="1" w:styleId="146">
    <w:name w:val="z-Top of Form Char"/>
    <w:basedOn w:val="11"/>
    <w:link w:val="145"/>
    <w:semiHidden/>
    <w:uiPriority w:val="99"/>
    <w:rPr>
      <w:rFonts w:ascii="Arial" w:hAnsi="Arial" w:eastAsia="Times New Roman" w:cs="Arial"/>
      <w:vanish/>
      <w:sz w:val="16"/>
      <w:szCs w:val="16"/>
      <w:lang w:val="en-GB" w:eastAsia="en-GB"/>
    </w:rPr>
  </w:style>
  <w:style w:type="character" w:customStyle="1" w:styleId="147">
    <w:name w:val="Title Char"/>
    <w:basedOn w:val="11"/>
    <w:link w:val="90"/>
    <w:uiPriority w:val="10"/>
    <w:rPr>
      <w:rFonts w:asciiTheme="majorHAnsi" w:hAnsiTheme="majorHAnsi" w:eastAsiaTheme="majorEastAsia" w:cstheme="majorBidi"/>
      <w:spacing w:val="-10"/>
      <w:kern w:val="28"/>
      <w:sz w:val="56"/>
      <w:szCs w:val="56"/>
      <w:lang w:bidi="en-US"/>
    </w:rPr>
  </w:style>
  <w:style w:type="character" w:customStyle="1" w:styleId="148">
    <w:name w:val="fontstyle01"/>
    <w:basedOn w:val="11"/>
    <w:uiPriority w:val="0"/>
    <w:rPr>
      <w:rFonts w:hint="default" w:ascii="Times New Roman" w:hAnsi="Times New Roman" w:cs="Times New Roman"/>
      <w:color w:val="000000"/>
      <w:sz w:val="24"/>
      <w:szCs w:val="24"/>
    </w:rPr>
  </w:style>
  <w:style w:type="paragraph" w:customStyle="1" w:styleId="149">
    <w:name w:val="msonormal"/>
    <w:basedOn w:val="1"/>
    <w:uiPriority w:val="99"/>
    <w:pPr>
      <w:spacing w:before="100" w:beforeAutospacing="1" w:after="100" w:afterAutospacing="1" w:line="240" w:lineRule="auto"/>
      <w:jc w:val="both"/>
    </w:pPr>
    <w:rPr>
      <w:rFonts w:ascii="Times New Roman" w:hAnsi="Times New Roman" w:eastAsia="Times New Roman" w:cs="Times New Roman"/>
      <w:sz w:val="24"/>
      <w:szCs w:val="24"/>
      <w:lang w:val="en-GB" w:eastAsia="en-GB"/>
    </w:rPr>
  </w:style>
  <w:style w:type="character" w:customStyle="1" w:styleId="150">
    <w:name w:val="Subtle Emphasis1"/>
    <w:basedOn w:val="11"/>
    <w:qFormat/>
    <w:uiPriority w:val="19"/>
    <w:rPr>
      <w:i/>
      <w:iCs/>
      <w:color w:val="404040" w:themeColor="text1" w:themeTint="BF"/>
      <w14:textFill>
        <w14:solidFill>
          <w14:schemeClr w14:val="tx1">
            <w14:lumMod w14:val="75000"/>
            <w14:lumOff w14:val="25000"/>
          </w14:schemeClr>
        </w14:solidFill>
      </w14:textFill>
    </w:rPr>
  </w:style>
  <w:style w:type="paragraph" w:customStyle="1" w:styleId="151">
    <w:name w:val="xl65"/>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textAlignment w:val="top"/>
    </w:pPr>
    <w:rPr>
      <w:rFonts w:ascii="Times New Roman" w:hAnsi="Times New Roman" w:eastAsia="Times New Roman" w:cs="Times New Roman"/>
      <w:b/>
      <w:bCs/>
      <w:color w:val="374151"/>
      <w:sz w:val="24"/>
      <w:szCs w:val="24"/>
      <w:lang w:val="en-GB" w:eastAsia="en-GB"/>
    </w:rPr>
  </w:style>
  <w:style w:type="paragraph" w:customStyle="1" w:styleId="152">
    <w:name w:val="xl66"/>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textAlignment w:val="top"/>
    </w:pPr>
    <w:rPr>
      <w:rFonts w:ascii="Times New Roman" w:hAnsi="Times New Roman" w:eastAsia="Times New Roman" w:cs="Times New Roman"/>
      <w:color w:val="374151"/>
      <w:sz w:val="24"/>
      <w:szCs w:val="24"/>
      <w:lang w:val="en-GB" w:eastAsia="en-GB"/>
    </w:rPr>
  </w:style>
  <w:style w:type="paragraph" w:customStyle="1" w:styleId="153">
    <w:name w:val="xl67"/>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Times New Roman" w:hAnsi="Times New Roman" w:eastAsia="Times New Roman" w:cs="Times New Roman"/>
      <w:sz w:val="24"/>
      <w:szCs w:val="24"/>
      <w:lang w:val="en-GB" w:eastAsia="en-GB"/>
    </w:rPr>
  </w:style>
  <w:style w:type="paragraph" w:customStyle="1" w:styleId="154">
    <w:name w:val="xl68"/>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textAlignment w:val="top"/>
    </w:pPr>
    <w:rPr>
      <w:rFonts w:ascii="Times New Roman" w:hAnsi="Times New Roman" w:eastAsia="Times New Roman" w:cs="Times New Roman"/>
      <w:color w:val="374151"/>
      <w:sz w:val="24"/>
      <w:szCs w:val="24"/>
      <w:lang w:val="en-GB" w:eastAsia="en-GB"/>
    </w:rPr>
  </w:style>
  <w:style w:type="paragraph" w:customStyle="1" w:styleId="155">
    <w:name w:val="xl69"/>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Times New Roman" w:hAnsi="Times New Roman" w:eastAsia="Times New Roman" w:cs="Times New Roman"/>
      <w:sz w:val="24"/>
      <w:szCs w:val="24"/>
      <w:lang w:val="en-GB" w:eastAsia="en-GB"/>
    </w:rPr>
  </w:style>
  <w:style w:type="paragraph" w:customStyle="1" w:styleId="156">
    <w:name w:val="Body - Regular"/>
    <w:link w:val="157"/>
    <w:qFormat/>
    <w:uiPriority w:val="0"/>
    <w:pPr>
      <w:spacing w:after="120"/>
      <w:jc w:val="both"/>
    </w:pPr>
    <w:rPr>
      <w:rFonts w:ascii="Calibri" w:hAnsi="Calibri" w:eastAsia="Myriad Pro Condensed" w:cs="Times New Roman"/>
      <w:sz w:val="24"/>
      <w:szCs w:val="24"/>
      <w:lang w:val="en-CA" w:eastAsia="en-US" w:bidi="ar-SA"/>
    </w:rPr>
  </w:style>
  <w:style w:type="character" w:customStyle="1" w:styleId="157">
    <w:name w:val="Body - Regular Char"/>
    <w:link w:val="156"/>
    <w:uiPriority w:val="0"/>
    <w:rPr>
      <w:rFonts w:ascii="Calibri" w:hAnsi="Calibri" w:eastAsia="Myriad Pro Condensed" w:cs="Times New Roman"/>
      <w:sz w:val="24"/>
      <w:szCs w:val="24"/>
      <w:lang w:val="en-CA"/>
    </w:rPr>
  </w:style>
  <w:style w:type="character" w:customStyle="1" w:styleId="158">
    <w:name w:val="Balloon Text Char1"/>
    <w:basedOn w:val="11"/>
    <w:semiHidden/>
    <w:uiPriority w:val="99"/>
    <w:rPr>
      <w:rFonts w:ascii="Tahoma" w:hAnsi="Tahoma" w:cs="Tahoma"/>
      <w:sz w:val="16"/>
      <w:szCs w:val="16"/>
      <w:lang w:val="en-GB"/>
    </w:rPr>
  </w:style>
  <w:style w:type="table" w:customStyle="1" w:styleId="159">
    <w:name w:val="Table Grid2"/>
    <w:basedOn w:val="12"/>
    <w:uiPriority w:val="59"/>
    <w:rPr>
      <w:rFonts w:ascii="Arial" w:hAnsi="Arial" w:eastAsia="Times New Roman" w:cs="Times New Roman"/>
      <w:sz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60">
    <w:name w:val="Heading 2 Char1"/>
    <w:basedOn w:val="11"/>
    <w:semiHidden/>
    <w:uiPriority w:val="9"/>
    <w:rPr>
      <w:rFonts w:asciiTheme="majorHAnsi" w:hAnsiTheme="majorHAnsi" w:eastAsiaTheme="majorEastAsia" w:cstheme="majorBidi"/>
      <w:color w:val="2E75B6" w:themeColor="accent1" w:themeShade="BF"/>
      <w:sz w:val="26"/>
      <w:szCs w:val="26"/>
      <w:lang w:val="en-US"/>
    </w:rPr>
  </w:style>
  <w:style w:type="character" w:customStyle="1" w:styleId="161">
    <w:name w:val="Comment Subject Char"/>
    <w:basedOn w:val="131"/>
    <w:link w:val="27"/>
    <w:uiPriority w:val="99"/>
    <w:rPr>
      <w:rFonts w:ascii="Calibri" w:hAnsi="Calibri" w:eastAsia="Times New Roman" w:cs="Times New Roman"/>
      <w:b/>
      <w:bCs/>
      <w:sz w:val="20"/>
      <w:szCs w:val="20"/>
    </w:rPr>
  </w:style>
  <w:style w:type="table" w:customStyle="1" w:styleId="162">
    <w:name w:val="Plain Table 11"/>
    <w:basedOn w:val="12"/>
    <w:uiPriority w:val="41"/>
    <w:pPr>
      <w:spacing w:before="120"/>
    </w:pPr>
    <w:rPr>
      <w:kern w:val="2"/>
      <w14:ligatures w14:val="standardContextual"/>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table" w:customStyle="1" w:styleId="163">
    <w:name w:val="Grid Table 6 Colorful - Accent 11"/>
    <w:basedOn w:val="12"/>
    <w:uiPriority w:val="51"/>
    <w:pPr>
      <w:spacing w:before="120"/>
    </w:pPr>
    <w:rPr>
      <w:color w:val="2E75B6" w:themeColor="accent1" w:themeShade="BF"/>
      <w:kern w:val="2"/>
      <w14:ligatures w14:val="standardContextual"/>
    </w:r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rPr>
      <w:tcPr>
        <w:tcBorders>
          <w:bottom w:val="single" w:color="9CC2E5" w:themeColor="accent1" w:themeTint="99" w:sz="12" w:space="0"/>
        </w:tcBorders>
      </w:tcPr>
    </w:tblStylePr>
    <w:tblStylePr w:type="lastRow">
      <w:rPr>
        <w:b/>
        <w:bCs/>
      </w:rPr>
      <w:tcPr>
        <w:tcBorders>
          <w:top w:val="double" w:color="9CC2E5" w:themeColor="accent1" w:themeTint="99"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paragraph" w:customStyle="1" w:styleId="164">
    <w:name w:val="Revision1"/>
    <w:hidden/>
    <w:semiHidden/>
    <w:uiPriority w:val="99"/>
    <w:pPr>
      <w:spacing w:before="120"/>
    </w:pPr>
    <w:rPr>
      <w:rFonts w:asciiTheme="minorHAnsi" w:hAnsiTheme="minorHAnsi" w:eastAsiaTheme="minorHAnsi" w:cstheme="minorBidi"/>
      <w:kern w:val="2"/>
      <w:sz w:val="22"/>
      <w:szCs w:val="22"/>
      <w:lang w:val="en-US" w:eastAsia="en-US" w:bidi="ar-SA"/>
      <w14:ligatures w14:val="standardContextual"/>
    </w:rPr>
  </w:style>
  <w:style w:type="character" w:styleId="165">
    <w:name w:val="Placeholder Text"/>
    <w:basedOn w:val="11"/>
    <w:semiHidden/>
    <w:uiPriority w:val="99"/>
    <w:rPr>
      <w:color w:val="808080"/>
    </w:rPr>
  </w:style>
  <w:style w:type="table" w:customStyle="1" w:styleId="166">
    <w:name w:val="Grid Table 6 Colorful1"/>
    <w:basedOn w:val="12"/>
    <w:uiPriority w:val="51"/>
    <w:pPr>
      <w:spacing w:before="120"/>
    </w:pPr>
    <w:rPr>
      <w:color w:val="000000" w:themeColor="text1"/>
      <w:kern w:val="2"/>
      <w14:textFill>
        <w14:solidFill>
          <w14:schemeClr w14:val="tx1"/>
        </w14:solidFill>
      </w14:textFill>
      <w14:ligatures w14:val="standardContextual"/>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table" w:customStyle="1" w:styleId="167">
    <w:name w:val="Grid Table 41"/>
    <w:basedOn w:val="12"/>
    <w:uiPriority w:val="49"/>
    <w:pPr>
      <w:spacing w:before="120"/>
    </w:pPr>
    <w:rPr>
      <w:kern w:val="2"/>
      <w14:ligatures w14:val="standardContextual"/>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14:textFill>
          <w14:solidFill>
            <w14:schemeClr w14:val="bg1"/>
          </w14:solidFill>
        </w14:textFill>
      </w: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table" w:customStyle="1" w:styleId="168">
    <w:name w:val="Grid Table 1 Light - Accent 51"/>
    <w:basedOn w:val="12"/>
    <w:uiPriority w:val="46"/>
    <w:pPr>
      <w:spacing w:before="120"/>
    </w:pPr>
    <w:rPr>
      <w:kern w:val="2"/>
      <w14:ligatures w14:val="standardContextual"/>
    </w:rPr>
    <w:tblPr>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Row">
      <w:rPr>
        <w:b/>
        <w:bCs/>
      </w:rPr>
      <w:tcPr>
        <w:tcBorders>
          <w:bottom w:val="single" w:color="8EAADB" w:themeColor="accent5" w:themeTint="99" w:sz="12" w:space="0"/>
        </w:tcBorders>
      </w:tcPr>
    </w:tblStylePr>
    <w:tblStylePr w:type="lastRow">
      <w:rPr>
        <w:b/>
        <w:bCs/>
      </w:rPr>
      <w:tcPr>
        <w:tcBorders>
          <w:top w:val="double" w:color="8EAADB" w:themeColor="accent5" w:themeTint="99" w:sz="2" w:space="0"/>
        </w:tcBorders>
      </w:tcPr>
    </w:tblStylePr>
    <w:tblStylePr w:type="firstCol">
      <w:rPr>
        <w:b/>
        <w:bCs/>
      </w:rPr>
    </w:tblStylePr>
    <w:tblStylePr w:type="lastCol">
      <w:rPr>
        <w:b/>
        <w:bCs/>
      </w:rPr>
    </w:tblStylePr>
  </w:style>
  <w:style w:type="table" w:customStyle="1" w:styleId="169">
    <w:name w:val="Table Grid Light1"/>
    <w:basedOn w:val="12"/>
    <w:uiPriority w:val="40"/>
    <w:pPr>
      <w:spacing w:before="120"/>
    </w:pPr>
    <w:rPr>
      <w:kern w:val="2"/>
      <w14:ligatures w14:val="standardContextual"/>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paragraph" w:customStyle="1" w:styleId="170">
    <w:name w:val="Body - Bullets"/>
    <w:basedOn w:val="1"/>
    <w:link w:val="171"/>
    <w:qFormat/>
    <w:uiPriority w:val="0"/>
    <w:pPr>
      <w:numPr>
        <w:ilvl w:val="0"/>
        <w:numId w:val="12"/>
      </w:numPr>
      <w:spacing w:before="60" w:after="120" w:line="240" w:lineRule="auto"/>
      <w:jc w:val="both"/>
    </w:pPr>
    <w:rPr>
      <w:rFonts w:ascii="Calibri" w:hAnsi="Calibri" w:eastAsia="Myriad Pro Condensed" w:cs="MyriadPro-SemiboldCond"/>
      <w:color w:val="000000"/>
      <w:sz w:val="24"/>
      <w:szCs w:val="24"/>
      <w:lang w:val="en-GB"/>
    </w:rPr>
  </w:style>
  <w:style w:type="character" w:customStyle="1" w:styleId="171">
    <w:name w:val="Body - Bullets Char"/>
    <w:link w:val="170"/>
    <w:uiPriority w:val="0"/>
    <w:rPr>
      <w:rFonts w:ascii="Calibri" w:hAnsi="Calibri" w:eastAsia="Myriad Pro Condensed" w:cs="MyriadPro-SemiboldCond"/>
      <w:color w:val="000000"/>
      <w:sz w:val="24"/>
      <w:szCs w:val="24"/>
      <w:lang w:val="en-GB"/>
    </w:rPr>
  </w:style>
  <w:style w:type="paragraph" w:customStyle="1" w:styleId="172">
    <w:name w:val="Boxes - Body"/>
    <w:basedOn w:val="1"/>
    <w:link w:val="173"/>
    <w:qFormat/>
    <w:uiPriority w:val="0"/>
    <w:pPr>
      <w:spacing w:before="120" w:after="120" w:line="240" w:lineRule="auto"/>
      <w:ind w:left="288" w:right="288"/>
      <w:jc w:val="both"/>
    </w:pPr>
    <w:rPr>
      <w:rFonts w:ascii="Calibri" w:hAnsi="Calibri" w:eastAsia="Myriad Pro Condensed" w:cs="Calibri"/>
      <w:sz w:val="20"/>
      <w:szCs w:val="20"/>
      <w:lang w:val="en-GB"/>
    </w:rPr>
  </w:style>
  <w:style w:type="character" w:customStyle="1" w:styleId="173">
    <w:name w:val="Boxes - Body Char"/>
    <w:link w:val="172"/>
    <w:uiPriority w:val="0"/>
    <w:rPr>
      <w:rFonts w:ascii="Calibri" w:hAnsi="Calibri" w:eastAsia="Myriad Pro Condensed" w:cs="Calibri"/>
      <w:sz w:val="20"/>
      <w:szCs w:val="20"/>
      <w:lang w:val="en-GB"/>
    </w:rPr>
  </w:style>
  <w:style w:type="paragraph" w:customStyle="1" w:styleId="174">
    <w:name w:val="Source-Graphic"/>
    <w:basedOn w:val="1"/>
    <w:link w:val="175"/>
    <w:qFormat/>
    <w:uiPriority w:val="0"/>
    <w:pPr>
      <w:spacing w:before="40" w:after="120" w:line="240" w:lineRule="auto"/>
      <w:jc w:val="center"/>
    </w:pPr>
    <w:rPr>
      <w:rFonts w:ascii="Calibri" w:hAnsi="Calibri" w:eastAsia="Myriad Pro Condensed" w:cs="Times New Roman"/>
      <w:color w:val="808080"/>
      <w:sz w:val="16"/>
      <w:szCs w:val="16"/>
      <w:lang w:val="en-CA"/>
    </w:rPr>
  </w:style>
  <w:style w:type="character" w:customStyle="1" w:styleId="175">
    <w:name w:val="Source-Graphic Char"/>
    <w:link w:val="174"/>
    <w:uiPriority w:val="0"/>
    <w:rPr>
      <w:rFonts w:ascii="Calibri" w:hAnsi="Calibri" w:eastAsia="Myriad Pro Condensed" w:cs="Times New Roman"/>
      <w:color w:val="808080"/>
      <w:sz w:val="16"/>
      <w:szCs w:val="16"/>
      <w:lang w:val="en-CA"/>
    </w:rPr>
  </w:style>
  <w:style w:type="paragraph" w:customStyle="1" w:styleId="176">
    <w:name w:val="Chap 1"/>
    <w:basedOn w:val="3"/>
    <w:link w:val="177"/>
    <w:qFormat/>
    <w:uiPriority w:val="0"/>
    <w:pPr>
      <w:tabs>
        <w:tab w:val="left" w:pos="90"/>
        <w:tab w:val="left" w:pos="450"/>
        <w:tab w:val="left" w:pos="1080"/>
      </w:tabs>
      <w:spacing w:before="0" w:after="240" w:line="259" w:lineRule="auto"/>
      <w:ind w:right="8"/>
    </w:pPr>
    <w:rPr>
      <w:rFonts w:ascii="Times New Roman" w:hAnsi="Times New Roman" w:eastAsiaTheme="majorEastAsia"/>
      <w:color w:val="2E75B6" w:themeColor="accent1" w:themeShade="BF"/>
      <w:kern w:val="2"/>
      <w:szCs w:val="24"/>
      <w:u w:color="000000"/>
      <w:lang w:val="en-GB" w:bidi="en-US"/>
      <w14:ligatures w14:val="standardContextual"/>
    </w:rPr>
  </w:style>
  <w:style w:type="character" w:customStyle="1" w:styleId="177">
    <w:name w:val="Chap 1 Char"/>
    <w:basedOn w:val="103"/>
    <w:link w:val="176"/>
    <w:uiPriority w:val="0"/>
    <w:rPr>
      <w:rFonts w:ascii="Times New Roman" w:hAnsi="Times New Roman" w:cs="Times New Roman" w:eastAsiaTheme="majorEastAsia"/>
      <w:color w:val="2E75B6" w:themeColor="accent1" w:themeShade="BF"/>
      <w:kern w:val="2"/>
      <w:sz w:val="24"/>
      <w:szCs w:val="24"/>
      <w:u w:color="000000"/>
      <w:lang w:val="en-GB" w:bidi="en-US"/>
      <w14:ligatures w14:val="standardContextual"/>
    </w:rPr>
  </w:style>
  <w:style w:type="paragraph" w:customStyle="1" w:styleId="178">
    <w:name w:val="hh2"/>
    <w:basedOn w:val="3"/>
    <w:link w:val="179"/>
    <w:autoRedefine/>
    <w:qFormat/>
    <w:uiPriority w:val="0"/>
    <w:pPr>
      <w:numPr>
        <w:ilvl w:val="1"/>
        <w:numId w:val="13"/>
      </w:numPr>
      <w:tabs>
        <w:tab w:val="left" w:pos="90"/>
        <w:tab w:val="left" w:pos="450"/>
        <w:tab w:val="left" w:pos="1080"/>
      </w:tabs>
      <w:spacing w:before="0" w:after="240" w:line="259" w:lineRule="auto"/>
      <w:ind w:left="720" w:right="8"/>
    </w:pPr>
    <w:rPr>
      <w:rFonts w:ascii="Times New Roman" w:hAnsi="Times New Roman" w:eastAsiaTheme="majorEastAsia"/>
      <w:bCs/>
      <w:color w:val="2E75B6" w:themeColor="accent1" w:themeShade="BF"/>
      <w:kern w:val="2"/>
      <w:szCs w:val="24"/>
      <w:u w:color="000000"/>
      <w:lang w:val="en-GB" w:bidi="en-US"/>
      <w14:ligatures w14:val="standardContextual"/>
    </w:rPr>
  </w:style>
  <w:style w:type="character" w:customStyle="1" w:styleId="179">
    <w:name w:val="hh2 Char"/>
    <w:basedOn w:val="177"/>
    <w:link w:val="178"/>
    <w:uiPriority w:val="0"/>
    <w:rPr>
      <w:rFonts w:ascii="Times New Roman" w:hAnsi="Times New Roman" w:cs="Times New Roman" w:eastAsiaTheme="majorEastAsia"/>
      <w:bCs/>
      <w:color w:val="2E75B6" w:themeColor="accent1" w:themeShade="BF"/>
      <w:kern w:val="2"/>
      <w:sz w:val="24"/>
      <w:szCs w:val="24"/>
      <w:u w:color="000000"/>
      <w:lang w:val="en-GB" w:bidi="en-US"/>
      <w14:ligatures w14:val="standardContextual"/>
    </w:rPr>
  </w:style>
  <w:style w:type="character" w:customStyle="1" w:styleId="180">
    <w:name w:val="Footnote Text Char"/>
    <w:basedOn w:val="11"/>
    <w:link w:val="40"/>
    <w:qFormat/>
    <w:uiPriority w:val="99"/>
    <w:rPr>
      <w:rFonts w:ascii="Univers" w:hAnsi="Univers" w:eastAsia="Times New Roman" w:cs="Times New Roman"/>
      <w:snapToGrid w:val="0"/>
      <w:sz w:val="24"/>
      <w:szCs w:val="20"/>
    </w:rPr>
  </w:style>
  <w:style w:type="paragraph" w:customStyle="1" w:styleId="181">
    <w:name w:val="font0"/>
    <w:basedOn w:val="1"/>
    <w:uiPriority w:val="99"/>
    <w:pPr>
      <w:spacing w:before="100" w:beforeAutospacing="1" w:after="100" w:afterAutospacing="1" w:line="240" w:lineRule="auto"/>
      <w:jc w:val="both"/>
    </w:pPr>
    <w:rPr>
      <w:rFonts w:ascii="Calibri" w:hAnsi="Calibri" w:eastAsia="Times New Roman" w:cs="Calibri"/>
      <w:color w:val="000000"/>
      <w:szCs w:val="24"/>
    </w:rPr>
  </w:style>
  <w:style w:type="paragraph" w:customStyle="1" w:styleId="182">
    <w:name w:val="font5"/>
    <w:basedOn w:val="1"/>
    <w:uiPriority w:val="99"/>
    <w:pPr>
      <w:spacing w:before="100" w:beforeAutospacing="1" w:after="100" w:afterAutospacing="1" w:line="240" w:lineRule="auto"/>
      <w:jc w:val="both"/>
    </w:pPr>
    <w:rPr>
      <w:rFonts w:ascii="Arial" w:hAnsi="Arial" w:eastAsia="Times New Roman" w:cs="Arial"/>
      <w:sz w:val="16"/>
      <w:szCs w:val="16"/>
    </w:rPr>
  </w:style>
  <w:style w:type="paragraph" w:customStyle="1" w:styleId="183">
    <w:name w:val="font6"/>
    <w:basedOn w:val="1"/>
    <w:uiPriority w:val="99"/>
    <w:pPr>
      <w:spacing w:before="100" w:beforeAutospacing="1" w:after="100" w:afterAutospacing="1" w:line="240" w:lineRule="auto"/>
      <w:jc w:val="both"/>
    </w:pPr>
    <w:rPr>
      <w:rFonts w:ascii="Arial" w:hAnsi="Arial" w:eastAsia="Times New Roman" w:cs="Arial"/>
      <w:szCs w:val="24"/>
    </w:rPr>
  </w:style>
  <w:style w:type="paragraph" w:customStyle="1" w:styleId="184">
    <w:name w:val="font7"/>
    <w:basedOn w:val="1"/>
    <w:uiPriority w:val="99"/>
    <w:pPr>
      <w:spacing w:before="100" w:beforeAutospacing="1" w:after="100" w:afterAutospacing="1" w:line="240" w:lineRule="auto"/>
      <w:jc w:val="both"/>
    </w:pPr>
    <w:rPr>
      <w:rFonts w:ascii="Symbol" w:hAnsi="Symbol" w:eastAsia="Times New Roman" w:cs="Times New Roman"/>
      <w:sz w:val="20"/>
      <w:szCs w:val="20"/>
    </w:rPr>
  </w:style>
  <w:style w:type="paragraph" w:customStyle="1" w:styleId="185">
    <w:name w:val="font8"/>
    <w:basedOn w:val="1"/>
    <w:uiPriority w:val="99"/>
    <w:pPr>
      <w:spacing w:before="100" w:beforeAutospacing="1" w:after="100" w:afterAutospacing="1" w:line="240" w:lineRule="auto"/>
      <w:jc w:val="both"/>
    </w:pPr>
    <w:rPr>
      <w:rFonts w:ascii="Arial" w:hAnsi="Arial" w:eastAsia="Times New Roman" w:cs="Arial"/>
      <w:sz w:val="18"/>
      <w:szCs w:val="18"/>
    </w:rPr>
  </w:style>
  <w:style w:type="paragraph" w:customStyle="1" w:styleId="186">
    <w:name w:val="font9"/>
    <w:basedOn w:val="1"/>
    <w:uiPriority w:val="99"/>
    <w:pPr>
      <w:spacing w:before="100" w:beforeAutospacing="1" w:after="100" w:afterAutospacing="1" w:line="240" w:lineRule="auto"/>
      <w:jc w:val="both"/>
    </w:pPr>
    <w:rPr>
      <w:rFonts w:ascii="Arial" w:hAnsi="Arial" w:eastAsia="Times New Roman" w:cs="Arial"/>
      <w:sz w:val="16"/>
      <w:szCs w:val="16"/>
    </w:rPr>
  </w:style>
  <w:style w:type="paragraph" w:customStyle="1" w:styleId="187">
    <w:name w:val="font10"/>
    <w:basedOn w:val="1"/>
    <w:uiPriority w:val="99"/>
    <w:pPr>
      <w:spacing w:before="100" w:beforeAutospacing="1" w:after="100" w:afterAutospacing="1" w:line="240" w:lineRule="auto"/>
      <w:jc w:val="both"/>
    </w:pPr>
    <w:rPr>
      <w:rFonts w:ascii="Arial" w:hAnsi="Arial" w:eastAsia="Times New Roman" w:cs="Arial"/>
      <w:sz w:val="20"/>
      <w:szCs w:val="20"/>
    </w:rPr>
  </w:style>
  <w:style w:type="paragraph" w:customStyle="1" w:styleId="188">
    <w:name w:val="font11"/>
    <w:basedOn w:val="1"/>
    <w:uiPriority w:val="99"/>
    <w:pPr>
      <w:spacing w:before="100" w:beforeAutospacing="1" w:after="100" w:afterAutospacing="1" w:line="240" w:lineRule="auto"/>
      <w:jc w:val="both"/>
    </w:pPr>
    <w:rPr>
      <w:rFonts w:ascii="Calibri" w:hAnsi="Calibri" w:eastAsia="Times New Roman" w:cs="Calibri"/>
      <w:color w:val="000000"/>
      <w:szCs w:val="24"/>
    </w:rPr>
  </w:style>
  <w:style w:type="paragraph" w:customStyle="1" w:styleId="189">
    <w:name w:val="xl63"/>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190">
    <w:name w:val="xl64"/>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Times New Roman" w:hAnsi="Times New Roman" w:eastAsia="Times New Roman" w:cs="Times New Roman"/>
      <w:sz w:val="24"/>
      <w:szCs w:val="24"/>
    </w:rPr>
  </w:style>
  <w:style w:type="paragraph" w:customStyle="1" w:styleId="191">
    <w:name w:val="xl70"/>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192">
    <w:name w:val="xl71"/>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Times New Roman" w:hAnsi="Times New Roman" w:eastAsia="Times New Roman" w:cs="Times New Roman"/>
      <w:sz w:val="24"/>
      <w:szCs w:val="24"/>
    </w:rPr>
  </w:style>
  <w:style w:type="paragraph" w:customStyle="1" w:styleId="193">
    <w:name w:val="xl72"/>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194">
    <w:name w:val="xl73"/>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195">
    <w:name w:val="xl74"/>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Arial" w:hAnsi="Arial" w:eastAsia="Times New Roman" w:cs="Arial"/>
      <w:sz w:val="16"/>
      <w:szCs w:val="16"/>
    </w:rPr>
  </w:style>
  <w:style w:type="paragraph" w:customStyle="1" w:styleId="196">
    <w:name w:val="xl75"/>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Arial" w:hAnsi="Arial" w:eastAsia="Times New Roman" w:cs="Arial"/>
      <w:sz w:val="16"/>
      <w:szCs w:val="16"/>
    </w:rPr>
  </w:style>
  <w:style w:type="paragraph" w:customStyle="1" w:styleId="197">
    <w:name w:val="xl76"/>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color w:val="000000"/>
      <w:sz w:val="24"/>
      <w:szCs w:val="24"/>
    </w:rPr>
  </w:style>
  <w:style w:type="paragraph" w:customStyle="1" w:styleId="198">
    <w:name w:val="xl77"/>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Times New Roman" w:hAnsi="Times New Roman" w:eastAsia="Times New Roman" w:cs="Times New Roman"/>
      <w:sz w:val="24"/>
      <w:szCs w:val="24"/>
    </w:rPr>
  </w:style>
  <w:style w:type="paragraph" w:customStyle="1" w:styleId="199">
    <w:name w:val="xl78"/>
    <w:basedOn w:val="1"/>
    <w:uiPriority w:val="99"/>
    <w:pP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00">
    <w:name w:val="xl79"/>
    <w:basedOn w:val="1"/>
    <w:uiPriority w:val="99"/>
    <w:pP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01">
    <w:name w:val="xl80"/>
    <w:basedOn w:val="1"/>
    <w:uiPriority w:val="99"/>
    <w:pP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02">
    <w:name w:val="xl81"/>
    <w:basedOn w:val="1"/>
    <w:qFormat/>
    <w:uiPriority w:val="99"/>
    <w:pP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03">
    <w:name w:val="xl83"/>
    <w:basedOn w:val="1"/>
    <w:uiPriority w:val="99"/>
    <w:pPr>
      <w:spacing w:before="100" w:beforeAutospacing="1" w:after="100" w:afterAutospacing="1" w:line="240" w:lineRule="auto"/>
      <w:jc w:val="both"/>
    </w:pPr>
    <w:rPr>
      <w:rFonts w:ascii="Times New Roman" w:hAnsi="Times New Roman" w:eastAsia="Times New Roman" w:cs="Times New Roman"/>
      <w:sz w:val="24"/>
      <w:szCs w:val="24"/>
    </w:rPr>
  </w:style>
  <w:style w:type="paragraph" w:customStyle="1" w:styleId="204">
    <w:name w:val="xl84"/>
    <w:basedOn w:val="1"/>
    <w:uiPriority w:val="99"/>
    <w:pP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05">
    <w:name w:val="xl85"/>
    <w:basedOn w:val="1"/>
    <w:uiPriority w:val="99"/>
    <w:pP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06">
    <w:name w:val="xl86"/>
    <w:basedOn w:val="1"/>
    <w:uiPriority w:val="99"/>
    <w:pPr>
      <w:spacing w:before="100" w:beforeAutospacing="1" w:after="100" w:afterAutospacing="1" w:line="240" w:lineRule="auto"/>
      <w:jc w:val="center"/>
    </w:pPr>
    <w:rPr>
      <w:rFonts w:ascii="Times New Roman" w:hAnsi="Times New Roman" w:eastAsia="Times New Roman" w:cs="Times New Roman"/>
      <w:color w:val="000000"/>
      <w:sz w:val="24"/>
      <w:szCs w:val="24"/>
    </w:rPr>
  </w:style>
  <w:style w:type="paragraph" w:customStyle="1" w:styleId="207">
    <w:name w:val="xl87"/>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Arial" w:hAnsi="Arial" w:eastAsia="Times New Roman" w:cs="Arial"/>
      <w:sz w:val="16"/>
      <w:szCs w:val="16"/>
    </w:rPr>
  </w:style>
  <w:style w:type="paragraph" w:customStyle="1" w:styleId="208">
    <w:name w:val="xl88"/>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textAlignment w:val="center"/>
    </w:pPr>
    <w:rPr>
      <w:rFonts w:ascii="Times New Roman" w:hAnsi="Times New Roman" w:eastAsia="Times New Roman" w:cs="Times New Roman"/>
      <w:sz w:val="24"/>
      <w:szCs w:val="24"/>
    </w:rPr>
  </w:style>
  <w:style w:type="paragraph" w:customStyle="1" w:styleId="209">
    <w:name w:val="xl89"/>
    <w:basedOn w:val="1"/>
    <w:uiPriority w:val="99"/>
    <w:pP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10">
    <w:name w:val="xl90"/>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Arial" w:hAnsi="Arial" w:eastAsia="Times New Roman" w:cs="Arial"/>
      <w:sz w:val="18"/>
      <w:szCs w:val="18"/>
    </w:rPr>
  </w:style>
  <w:style w:type="paragraph" w:customStyle="1" w:styleId="211">
    <w:name w:val="xl91"/>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Arial" w:hAnsi="Arial" w:eastAsia="Times New Roman" w:cs="Arial"/>
      <w:sz w:val="16"/>
      <w:szCs w:val="16"/>
    </w:rPr>
  </w:style>
  <w:style w:type="paragraph" w:customStyle="1" w:styleId="212">
    <w:name w:val="xl92"/>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Arial" w:hAnsi="Arial" w:eastAsia="Times New Roman" w:cs="Arial"/>
      <w:sz w:val="18"/>
      <w:szCs w:val="18"/>
    </w:rPr>
  </w:style>
  <w:style w:type="paragraph" w:customStyle="1" w:styleId="213">
    <w:name w:val="xl93"/>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Arial" w:hAnsi="Arial" w:eastAsia="Times New Roman" w:cs="Arial"/>
      <w:sz w:val="20"/>
      <w:szCs w:val="20"/>
    </w:rPr>
  </w:style>
  <w:style w:type="paragraph" w:customStyle="1" w:styleId="214">
    <w:name w:val="xl94"/>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Arial" w:hAnsi="Arial" w:eastAsia="Times New Roman" w:cs="Arial"/>
      <w:sz w:val="18"/>
      <w:szCs w:val="18"/>
    </w:rPr>
  </w:style>
  <w:style w:type="paragraph" w:customStyle="1" w:styleId="215">
    <w:name w:val="xl95"/>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Arial" w:hAnsi="Arial" w:eastAsia="Times New Roman" w:cs="Arial"/>
      <w:sz w:val="16"/>
      <w:szCs w:val="16"/>
    </w:rPr>
  </w:style>
  <w:style w:type="paragraph" w:customStyle="1" w:styleId="216">
    <w:name w:val="xl96"/>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Arial" w:hAnsi="Arial" w:eastAsia="Times New Roman" w:cs="Arial"/>
      <w:sz w:val="20"/>
      <w:szCs w:val="20"/>
    </w:rPr>
  </w:style>
  <w:style w:type="paragraph" w:customStyle="1" w:styleId="217">
    <w:name w:val="xl97"/>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Arial" w:hAnsi="Arial" w:eastAsia="Times New Roman" w:cs="Arial"/>
      <w:sz w:val="20"/>
      <w:szCs w:val="20"/>
    </w:rPr>
  </w:style>
  <w:style w:type="paragraph" w:customStyle="1" w:styleId="218">
    <w:name w:val="xl98"/>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both"/>
    </w:pPr>
    <w:rPr>
      <w:rFonts w:ascii="Times New Roman" w:hAnsi="Times New Roman" w:eastAsia="Times New Roman" w:cs="Times New Roman"/>
      <w:sz w:val="24"/>
      <w:szCs w:val="24"/>
    </w:rPr>
  </w:style>
  <w:style w:type="paragraph" w:customStyle="1" w:styleId="219">
    <w:name w:val="xl99"/>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20">
    <w:name w:val="xl100"/>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21">
    <w:name w:val="xl101"/>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22">
    <w:name w:val="xl102"/>
    <w:basedOn w:val="1"/>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Times New Roman" w:hAnsi="Times New Roman" w:eastAsia="Times New Roman" w:cs="Times New Roman"/>
      <w:color w:val="000000"/>
      <w:sz w:val="24"/>
      <w:szCs w:val="24"/>
    </w:rPr>
  </w:style>
  <w:style w:type="paragraph" w:customStyle="1" w:styleId="223">
    <w:name w:val="xl103"/>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24">
    <w:name w:val="xl104"/>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25">
    <w:name w:val="xl105"/>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both"/>
    </w:pPr>
    <w:rPr>
      <w:rFonts w:ascii="Times New Roman" w:hAnsi="Times New Roman" w:eastAsia="Times New Roman" w:cs="Times New Roman"/>
      <w:sz w:val="24"/>
      <w:szCs w:val="24"/>
    </w:rPr>
  </w:style>
  <w:style w:type="paragraph" w:customStyle="1" w:styleId="226">
    <w:name w:val="xl106"/>
    <w:basedOn w:val="1"/>
    <w:qFormat/>
    <w:uiPriority w:val="99"/>
    <w:pPr>
      <w:pBdr>
        <w:top w:val="single" w:color="auto" w:sz="4" w:space="0"/>
        <w:left w:val="single" w:color="auto" w:sz="4" w:space="0"/>
        <w:bottom w:val="single" w:color="auto" w:sz="4" w:space="0"/>
        <w:right w:val="single" w:color="auto" w:sz="4" w:space="0"/>
      </w:pBdr>
      <w:shd w:val="clear" w:color="000000" w:fill="FFFFFF"/>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27">
    <w:name w:val="xl107"/>
    <w:basedOn w:val="1"/>
    <w:qFormat/>
    <w:uiPriority w:val="99"/>
    <w:pPr>
      <w:shd w:val="clear" w:color="000000" w:fill="FFFFFF"/>
      <w:spacing w:before="100" w:beforeAutospacing="1" w:after="100" w:afterAutospacing="1" w:line="240" w:lineRule="auto"/>
      <w:jc w:val="both"/>
    </w:pPr>
    <w:rPr>
      <w:rFonts w:ascii="Times New Roman" w:hAnsi="Times New Roman" w:eastAsia="Times New Roman" w:cs="Times New Roman"/>
      <w:sz w:val="24"/>
      <w:szCs w:val="24"/>
    </w:rPr>
  </w:style>
  <w:style w:type="paragraph" w:customStyle="1" w:styleId="228">
    <w:name w:val="xl108"/>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color w:val="FF0000"/>
      <w:sz w:val="24"/>
      <w:szCs w:val="24"/>
    </w:rPr>
  </w:style>
  <w:style w:type="paragraph" w:customStyle="1" w:styleId="229">
    <w:name w:val="xl10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color w:val="FF0000"/>
      <w:sz w:val="24"/>
      <w:szCs w:val="24"/>
    </w:rPr>
  </w:style>
  <w:style w:type="paragraph" w:customStyle="1" w:styleId="230">
    <w:name w:val="xl110"/>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Times New Roman" w:hAnsi="Times New Roman" w:eastAsia="Times New Roman" w:cs="Times New Roman"/>
      <w:color w:val="FF0000"/>
      <w:sz w:val="24"/>
      <w:szCs w:val="24"/>
    </w:rPr>
  </w:style>
  <w:style w:type="paragraph" w:customStyle="1" w:styleId="231">
    <w:name w:val="xl111"/>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color w:val="FF0000"/>
      <w:sz w:val="24"/>
      <w:szCs w:val="24"/>
    </w:rPr>
  </w:style>
  <w:style w:type="paragraph" w:customStyle="1" w:styleId="232">
    <w:name w:val="xl112"/>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color w:val="FF0000"/>
      <w:sz w:val="24"/>
      <w:szCs w:val="24"/>
    </w:rPr>
  </w:style>
  <w:style w:type="paragraph" w:customStyle="1" w:styleId="233">
    <w:name w:val="xl113"/>
    <w:basedOn w:val="1"/>
    <w:qFormat/>
    <w:uiPriority w:val="99"/>
    <w:pPr>
      <w:pBdr>
        <w:top w:val="single" w:color="auto" w:sz="4" w:space="0"/>
        <w:left w:val="single" w:color="auto" w:sz="4" w:space="0"/>
        <w:bottom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34">
    <w:name w:val="xl114"/>
    <w:basedOn w:val="1"/>
    <w:qFormat/>
    <w:uiPriority w:val="99"/>
    <w:pPr>
      <w:pBdr>
        <w:top w:val="single" w:color="auto" w:sz="4" w:space="0"/>
        <w:bottom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35">
    <w:name w:val="xl115"/>
    <w:basedOn w:val="1"/>
    <w:qFormat/>
    <w:uiPriority w:val="99"/>
    <w:pPr>
      <w:pBdr>
        <w:top w:val="single" w:color="auto" w:sz="4" w:space="0"/>
        <w:bottom w:val="single" w:color="auto" w:sz="4" w:space="0"/>
        <w:right w:val="single" w:color="auto" w:sz="4" w:space="0"/>
      </w:pBdr>
      <w:spacing w:before="100" w:beforeAutospacing="1" w:after="100" w:afterAutospacing="1" w:line="240" w:lineRule="auto"/>
      <w:jc w:val="center"/>
    </w:pPr>
    <w:rPr>
      <w:rFonts w:ascii="Times New Roman" w:hAnsi="Times New Roman" w:eastAsia="Times New Roman" w:cs="Times New Roman"/>
      <w:sz w:val="24"/>
      <w:szCs w:val="24"/>
    </w:rPr>
  </w:style>
  <w:style w:type="paragraph" w:customStyle="1" w:styleId="236">
    <w:name w:val="xl116"/>
    <w:basedOn w:val="1"/>
    <w:qFormat/>
    <w:uiPriority w:val="99"/>
    <w:pPr>
      <w:pBdr>
        <w:top w:val="single" w:color="auto" w:sz="4" w:space="0"/>
        <w:left w:val="single" w:color="auto" w:sz="4" w:space="0"/>
        <w:bottom w:val="single" w:color="auto" w:sz="4" w:space="0"/>
      </w:pBdr>
      <w:spacing w:before="100" w:beforeAutospacing="1" w:after="100" w:afterAutospacing="1" w:line="240" w:lineRule="auto"/>
      <w:jc w:val="center"/>
    </w:pPr>
    <w:rPr>
      <w:rFonts w:ascii="Arial" w:hAnsi="Arial" w:eastAsia="Times New Roman" w:cs="Arial"/>
      <w:sz w:val="20"/>
      <w:szCs w:val="20"/>
      <w:u w:val="single"/>
    </w:rPr>
  </w:style>
  <w:style w:type="paragraph" w:customStyle="1" w:styleId="237">
    <w:name w:val="xl117"/>
    <w:basedOn w:val="1"/>
    <w:qFormat/>
    <w:uiPriority w:val="99"/>
    <w:pPr>
      <w:pBdr>
        <w:top w:val="single" w:color="auto" w:sz="4" w:space="0"/>
        <w:bottom w:val="single" w:color="auto" w:sz="4" w:space="0"/>
      </w:pBdr>
      <w:spacing w:before="100" w:beforeAutospacing="1" w:after="100" w:afterAutospacing="1" w:line="240" w:lineRule="auto"/>
      <w:jc w:val="center"/>
    </w:pPr>
    <w:rPr>
      <w:rFonts w:ascii="Arial" w:hAnsi="Arial" w:eastAsia="Times New Roman" w:cs="Arial"/>
      <w:sz w:val="20"/>
      <w:szCs w:val="20"/>
      <w:u w:val="single"/>
    </w:rPr>
  </w:style>
  <w:style w:type="paragraph" w:customStyle="1" w:styleId="238">
    <w:name w:val="xl118"/>
    <w:basedOn w:val="1"/>
    <w:qFormat/>
    <w:uiPriority w:val="99"/>
    <w:pPr>
      <w:pBdr>
        <w:top w:val="single" w:color="auto" w:sz="4" w:space="0"/>
        <w:bottom w:val="single" w:color="auto" w:sz="4" w:space="0"/>
        <w:right w:val="single" w:color="auto" w:sz="4" w:space="0"/>
      </w:pBdr>
      <w:spacing w:before="100" w:beforeAutospacing="1" w:after="100" w:afterAutospacing="1" w:line="240" w:lineRule="auto"/>
      <w:jc w:val="center"/>
    </w:pPr>
    <w:rPr>
      <w:rFonts w:ascii="Arial" w:hAnsi="Arial" w:eastAsia="Times New Roman" w:cs="Arial"/>
      <w:sz w:val="20"/>
      <w:szCs w:val="20"/>
      <w:u w:val="single"/>
    </w:rPr>
  </w:style>
  <w:style w:type="paragraph" w:customStyle="1" w:styleId="239">
    <w:name w:val="xl119"/>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Arial" w:hAnsi="Arial" w:eastAsia="Times New Roman" w:cs="Arial"/>
      <w:sz w:val="18"/>
      <w:szCs w:val="18"/>
    </w:rPr>
  </w:style>
  <w:style w:type="character" w:customStyle="1" w:styleId="240">
    <w:name w:val="Endnote Text Char"/>
    <w:basedOn w:val="11"/>
    <w:link w:val="33"/>
    <w:uiPriority w:val="99"/>
    <w:rPr>
      <w:rFonts w:ascii="Calibri" w:hAnsi="Calibri" w:eastAsia="Times New Roman" w:cs="Times New Roman"/>
      <w:sz w:val="20"/>
      <w:szCs w:val="20"/>
    </w:rPr>
  </w:style>
  <w:style w:type="character" w:customStyle="1" w:styleId="241">
    <w:name w:val="Unresolved Mention12"/>
    <w:basedOn w:val="11"/>
    <w:semiHidden/>
    <w:unhideWhenUsed/>
    <w:uiPriority w:val="99"/>
    <w:rPr>
      <w:color w:val="605E5C"/>
      <w:shd w:val="clear" w:color="auto" w:fill="E1DFDD"/>
    </w:rPr>
  </w:style>
  <w:style w:type="character" w:customStyle="1" w:styleId="242">
    <w:name w:val="Subtitle Char"/>
    <w:basedOn w:val="11"/>
    <w:link w:val="85"/>
    <w:qFormat/>
    <w:uiPriority w:val="11"/>
    <w:rPr>
      <w:rFonts w:ascii="Book Antiqua" w:hAnsi="Book Antiqua" w:eastAsiaTheme="minorEastAsia"/>
      <w:color w:val="595959" w:themeColor="text1" w:themeTint="A6"/>
      <w:spacing w:val="15"/>
      <w14:textFill>
        <w14:solidFill>
          <w14:schemeClr w14:val="tx1">
            <w14:lumMod w14:val="65000"/>
            <w14:lumOff w14:val="35000"/>
          </w14:schemeClr>
        </w14:solidFill>
      </w14:textFill>
    </w:rPr>
  </w:style>
  <w:style w:type="character" w:customStyle="1" w:styleId="243">
    <w:name w:val="Unresolved Mention2"/>
    <w:basedOn w:val="11"/>
    <w:semiHidden/>
    <w:unhideWhenUsed/>
    <w:qFormat/>
    <w:uiPriority w:val="99"/>
    <w:rPr>
      <w:color w:val="605E5C"/>
      <w:shd w:val="clear" w:color="auto" w:fill="E1DFDD"/>
    </w:rPr>
  </w:style>
  <w:style w:type="character" w:customStyle="1" w:styleId="244">
    <w:name w:val="fontstyle21"/>
    <w:basedOn w:val="11"/>
    <w:qFormat/>
    <w:uiPriority w:val="0"/>
    <w:rPr>
      <w:rFonts w:hint="default" w:ascii="Times New Roman" w:hAnsi="Times New Roman" w:cs="Times New Roman"/>
      <w:color w:val="000000"/>
      <w:sz w:val="24"/>
      <w:szCs w:val="24"/>
    </w:rPr>
  </w:style>
  <w:style w:type="character" w:customStyle="1" w:styleId="245">
    <w:name w:val="Unresolved Mention3"/>
    <w:basedOn w:val="11"/>
    <w:semiHidden/>
    <w:unhideWhenUsed/>
    <w:uiPriority w:val="99"/>
    <w:rPr>
      <w:color w:val="605E5C"/>
      <w:shd w:val="clear" w:color="auto" w:fill="E1DFDD"/>
    </w:rPr>
  </w:style>
  <w:style w:type="character" w:customStyle="1" w:styleId="246">
    <w:name w:val="Book Title1"/>
    <w:basedOn w:val="11"/>
    <w:qFormat/>
    <w:uiPriority w:val="33"/>
    <w:rPr>
      <w:b/>
      <w:bCs/>
      <w:i/>
      <w:iCs/>
      <w:spacing w:val="5"/>
    </w:rPr>
  </w:style>
  <w:style w:type="character" w:customStyle="1" w:styleId="247">
    <w:name w:val="Unresolved Mention4"/>
    <w:basedOn w:val="11"/>
    <w:semiHidden/>
    <w:unhideWhenUsed/>
    <w:uiPriority w:val="99"/>
    <w:rPr>
      <w:color w:val="605E5C"/>
      <w:shd w:val="clear" w:color="auto" w:fill="E1DFDD"/>
    </w:rPr>
  </w:style>
  <w:style w:type="paragraph" w:customStyle="1" w:styleId="248">
    <w:name w:val="pf1"/>
    <w:basedOn w:val="1"/>
    <w:uiPriority w:val="99"/>
    <w:pPr>
      <w:spacing w:before="100" w:beforeAutospacing="1" w:after="100" w:afterAutospacing="1" w:line="240" w:lineRule="auto"/>
    </w:pPr>
    <w:rPr>
      <w:rFonts w:ascii="Times New Roman" w:hAnsi="Times New Roman" w:eastAsia="Times New Roman" w:cs="Times New Roman"/>
      <w:sz w:val="24"/>
      <w:szCs w:val="24"/>
    </w:rPr>
  </w:style>
  <w:style w:type="character" w:customStyle="1" w:styleId="249">
    <w:name w:val="Heading 3 Char1"/>
    <w:basedOn w:val="11"/>
    <w:semiHidden/>
    <w:qFormat/>
    <w:uiPriority w:val="9"/>
    <w:rPr>
      <w:rFonts w:asciiTheme="majorHAnsi" w:hAnsiTheme="majorHAnsi" w:eastAsiaTheme="majorEastAsia" w:cstheme="majorBidi"/>
      <w:color w:val="1F4E79" w:themeColor="accent1" w:themeShade="80"/>
      <w:sz w:val="24"/>
      <w:szCs w:val="24"/>
    </w:rPr>
  </w:style>
  <w:style w:type="character" w:customStyle="1" w:styleId="250">
    <w:name w:val="Heading 7 Char1"/>
    <w:basedOn w:val="11"/>
    <w:semiHidden/>
    <w:uiPriority w:val="9"/>
    <w:rPr>
      <w:rFonts w:asciiTheme="majorHAnsi" w:hAnsiTheme="majorHAnsi" w:eastAsiaTheme="majorEastAsia" w:cstheme="majorBidi"/>
      <w:i/>
      <w:iCs/>
      <w:color w:val="1F4E79" w:themeColor="accent1" w:themeShade="80"/>
      <w:sz w:val="22"/>
      <w:szCs w:val="22"/>
    </w:rPr>
  </w:style>
  <w:style w:type="character" w:customStyle="1" w:styleId="251">
    <w:name w:val="Heading 8 Char1"/>
    <w:basedOn w:val="11"/>
    <w:semiHidden/>
    <w:qFormat/>
    <w:uiPriority w:val="9"/>
    <w:rPr>
      <w:rFonts w:asciiTheme="majorHAnsi" w:hAnsiTheme="majorHAnsi" w:eastAsiaTheme="majorEastAsia" w:cstheme="majorBidi"/>
      <w:color w:val="262626" w:themeColor="text1" w:themeTint="D9"/>
      <w:sz w:val="21"/>
      <w:szCs w:val="21"/>
      <w14:textFill>
        <w14:solidFill>
          <w14:schemeClr w14:val="tx1">
            <w14:lumMod w14:val="85000"/>
            <w14:lumOff w14:val="15000"/>
          </w14:schemeClr>
        </w14:solidFill>
      </w14:textFill>
    </w:rPr>
  </w:style>
  <w:style w:type="character" w:customStyle="1" w:styleId="252">
    <w:name w:val="Footnote Text Char2"/>
    <w:basedOn w:val="11"/>
    <w:uiPriority w:val="99"/>
  </w:style>
  <w:style w:type="character" w:customStyle="1" w:styleId="253">
    <w:name w:val="Body Text Char1"/>
    <w:basedOn w:val="11"/>
    <w:semiHidden/>
    <w:uiPriority w:val="1"/>
  </w:style>
  <w:style w:type="character" w:customStyle="1" w:styleId="254">
    <w:name w:val="Chap 2 _ Char"/>
    <w:basedOn w:val="177"/>
    <w:link w:val="255"/>
    <w:qFormat/>
    <w:locked/>
    <w:uiPriority w:val="0"/>
    <w:rPr>
      <w:rFonts w:ascii="Times New Roman" w:hAnsi="Times New Roman" w:eastAsia="Times New Roman" w:cs="Times New Roman"/>
      <w:b w:val="0"/>
      <w:color w:val="2E75B6" w:themeColor="accent1" w:themeShade="BF"/>
      <w:kern w:val="2"/>
      <w:sz w:val="24"/>
      <w:szCs w:val="24"/>
      <w:u w:color="000000"/>
      <w:lang w:val="en-GB" w:bidi="en-US"/>
      <w14:ligatures w14:val="standardContextual"/>
    </w:rPr>
  </w:style>
  <w:style w:type="paragraph" w:customStyle="1" w:styleId="255">
    <w:name w:val="Chap 2 _"/>
    <w:basedOn w:val="3"/>
    <w:link w:val="254"/>
    <w:autoRedefine/>
    <w:qFormat/>
    <w:uiPriority w:val="0"/>
    <w:pPr>
      <w:tabs>
        <w:tab w:val="left" w:pos="90"/>
        <w:tab w:val="left" w:pos="450"/>
        <w:tab w:val="left" w:pos="1080"/>
      </w:tabs>
      <w:spacing w:before="0" w:after="240"/>
      <w:ind w:left="360" w:right="8"/>
    </w:pPr>
    <w:rPr>
      <w:rFonts w:ascii="Times New Roman" w:hAnsi="Times New Roman"/>
      <w:b w:val="0"/>
      <w:color w:val="2E75B6" w:themeColor="accent1" w:themeShade="BF"/>
      <w:kern w:val="2"/>
      <w:szCs w:val="24"/>
      <w:u w:color="000000"/>
      <w:lang w:val="en-GB" w:bidi="en-US"/>
      <w14:ligatures w14:val="standardContextual"/>
    </w:rPr>
  </w:style>
  <w:style w:type="character" w:customStyle="1" w:styleId="256">
    <w:name w:val="Unresolved Mention5"/>
    <w:basedOn w:val="11"/>
    <w:semiHidden/>
    <w:unhideWhenUsed/>
    <w:uiPriority w:val="99"/>
    <w:rPr>
      <w:color w:val="605E5C"/>
      <w:shd w:val="clear" w:color="auto" w:fill="E1DFDD"/>
    </w:rPr>
  </w:style>
  <w:style w:type="character" w:customStyle="1" w:styleId="257">
    <w:name w:val="white-space-pre"/>
    <w:basedOn w:val="11"/>
    <w:qFormat/>
    <w:uiPriority w:val="0"/>
  </w:style>
  <w:style w:type="table" w:customStyle="1" w:styleId="258">
    <w:name w:val="TableGrid1"/>
    <w:uiPriority w:val="0"/>
    <w:rPr>
      <w:rFonts w:eastAsiaTheme="minorEastAsia"/>
    </w:rPr>
    <w:tblPr>
      <w:tblCellMar>
        <w:top w:w="0" w:type="dxa"/>
        <w:left w:w="0" w:type="dxa"/>
        <w:bottom w:w="0" w:type="dxa"/>
        <w:right w:w="0" w:type="dxa"/>
      </w:tblCellMar>
    </w:tblPr>
  </w:style>
  <w:style w:type="paragraph" w:customStyle="1" w:styleId="259">
    <w:name w:val="1 Char Char Char1 Char Char Char Char Char Char Char Char Char Char Char Char Char Char Char Char"/>
    <w:basedOn w:val="1"/>
    <w:uiPriority w:val="99"/>
    <w:pPr>
      <w:spacing w:before="120" w:after="240" w:line="240" w:lineRule="auto"/>
      <w:ind w:right="53"/>
      <w:jc w:val="both"/>
    </w:pPr>
    <w:rPr>
      <w:rFonts w:ascii="Arial" w:hAnsi="Arial" w:eastAsia="SimSun" w:cstheme="minorHAnsi"/>
      <w:sz w:val="20"/>
      <w:szCs w:val="20"/>
      <w:lang w:val="en-GB" w:eastAsia="zh-CN"/>
    </w:rPr>
  </w:style>
  <w:style w:type="paragraph" w:customStyle="1" w:styleId="260">
    <w:name w:val="1st bullet-mod."/>
    <w:basedOn w:val="1"/>
    <w:uiPriority w:val="99"/>
    <w:pPr>
      <w:widowControl w:val="0"/>
      <w:numPr>
        <w:ilvl w:val="0"/>
        <w:numId w:val="14"/>
      </w:numPr>
      <w:tabs>
        <w:tab w:val="left" w:pos="792"/>
        <w:tab w:val="left" w:pos="1224"/>
      </w:tabs>
      <w:spacing w:before="120" w:after="0" w:line="240" w:lineRule="auto"/>
      <w:jc w:val="both"/>
    </w:pPr>
    <w:rPr>
      <w:rFonts w:ascii="Arial" w:hAnsi="Arial" w:eastAsia="Times New Roman" w:cstheme="minorHAnsi"/>
      <w:snapToGrid w:val="0"/>
      <w:szCs w:val="20"/>
      <w:lang w:val="en-GB" w:eastAsia="en-GB"/>
    </w:rPr>
  </w:style>
  <w:style w:type="paragraph" w:customStyle="1" w:styleId="261">
    <w:name w:val="41"/>
    <w:basedOn w:val="1"/>
    <w:next w:val="78"/>
    <w:link w:val="262"/>
    <w:unhideWhenUsed/>
    <w:qFormat/>
    <w:uiPriority w:val="0"/>
    <w:pPr>
      <w:spacing w:before="120" w:after="0" w:line="360" w:lineRule="auto"/>
      <w:ind w:left="720"/>
      <w:jc w:val="both"/>
    </w:pPr>
    <w:rPr>
      <w:rFonts w:ascii="Calibri" w:hAnsi="Calibri" w:eastAsia="Calibri" w:cstheme="minorHAnsi"/>
      <w:sz w:val="20"/>
      <w:szCs w:val="20"/>
      <w:lang w:val="en-GB" w:eastAsia="en-GB"/>
    </w:rPr>
  </w:style>
  <w:style w:type="character" w:customStyle="1" w:styleId="262">
    <w:name w:val="Normal Indent Char"/>
    <w:basedOn w:val="11"/>
    <w:link w:val="261"/>
    <w:uiPriority w:val="0"/>
    <w:rPr>
      <w:rFonts w:ascii="Calibri" w:hAnsi="Calibri" w:eastAsia="Calibri" w:cstheme="minorHAnsi"/>
      <w:sz w:val="20"/>
      <w:szCs w:val="20"/>
      <w:lang w:val="en-GB" w:eastAsia="en-GB"/>
    </w:rPr>
  </w:style>
  <w:style w:type="table" w:customStyle="1" w:styleId="263">
    <w:name w:val="44"/>
    <w:basedOn w:val="12"/>
    <w:uiPriority w:val="0"/>
    <w:pPr>
      <w:spacing w:before="120" w:line="360" w:lineRule="auto"/>
      <w:ind w:left="576"/>
      <w:jc w:val="both"/>
    </w:pPr>
    <w:rPr>
      <w:rFonts w:ascii="Arial" w:hAnsi="Arial" w:eastAsia="Arial" w:cs="Arial"/>
      <w:sz w:val="21"/>
      <w:szCs w:val="21"/>
      <w:lang w:val="en-GB" w:eastAsia="en-GB"/>
    </w:rPr>
    <w:tblPr>
      <w:tblCellMar>
        <w:left w:w="0" w:type="dxa"/>
        <w:right w:w="0" w:type="dxa"/>
      </w:tblCellMar>
    </w:tblPr>
  </w:style>
  <w:style w:type="table" w:customStyle="1" w:styleId="264">
    <w:name w:val="441"/>
    <w:basedOn w:val="12"/>
    <w:uiPriority w:val="0"/>
    <w:pPr>
      <w:spacing w:before="120" w:line="360" w:lineRule="auto"/>
      <w:ind w:left="576"/>
      <w:jc w:val="both"/>
    </w:pPr>
    <w:rPr>
      <w:rFonts w:ascii="Arial" w:hAnsi="Arial" w:eastAsia="Arial" w:cs="Arial"/>
      <w:sz w:val="21"/>
      <w:szCs w:val="21"/>
      <w:lang w:val="en-GB" w:eastAsia="en-GB"/>
    </w:rPr>
    <w:tblPr>
      <w:tblCellMar>
        <w:left w:w="0" w:type="dxa"/>
        <w:right w:w="0" w:type="dxa"/>
      </w:tblCellMar>
    </w:tblPr>
  </w:style>
  <w:style w:type="table" w:customStyle="1" w:styleId="265">
    <w:name w:val="4411"/>
    <w:basedOn w:val="12"/>
    <w:qFormat/>
    <w:uiPriority w:val="0"/>
    <w:pPr>
      <w:spacing w:before="120" w:line="360" w:lineRule="auto"/>
      <w:ind w:left="576"/>
      <w:jc w:val="both"/>
    </w:pPr>
    <w:rPr>
      <w:rFonts w:ascii="Arial" w:hAnsi="Arial" w:eastAsia="Arial" w:cs="Arial"/>
      <w:sz w:val="21"/>
      <w:szCs w:val="21"/>
      <w:lang w:val="en-GB" w:eastAsia="en-GB"/>
    </w:rPr>
    <w:tblPr>
      <w:tblCellMar>
        <w:left w:w="0" w:type="dxa"/>
        <w:right w:w="0" w:type="dxa"/>
      </w:tblCellMar>
    </w:tblPr>
  </w:style>
  <w:style w:type="table" w:customStyle="1" w:styleId="266">
    <w:name w:val="442"/>
    <w:basedOn w:val="12"/>
    <w:uiPriority w:val="0"/>
    <w:pPr>
      <w:spacing w:before="120" w:line="360" w:lineRule="auto"/>
      <w:ind w:left="576"/>
      <w:jc w:val="both"/>
    </w:pPr>
    <w:rPr>
      <w:rFonts w:ascii="Arial" w:hAnsi="Arial" w:eastAsia="Arial" w:cs="Arial"/>
      <w:sz w:val="21"/>
      <w:szCs w:val="21"/>
      <w:lang w:val="en-GB" w:eastAsia="en-GB"/>
    </w:rPr>
    <w:tblPr>
      <w:tblCellMar>
        <w:left w:w="0" w:type="dxa"/>
        <w:right w:w="0" w:type="dxa"/>
      </w:tblCellMar>
    </w:tblPr>
  </w:style>
  <w:style w:type="paragraph" w:customStyle="1" w:styleId="267">
    <w:name w:val="6th bullet para"/>
    <w:basedOn w:val="1"/>
    <w:qFormat/>
    <w:uiPriority w:val="99"/>
    <w:pPr>
      <w:numPr>
        <w:ilvl w:val="0"/>
        <w:numId w:val="15"/>
      </w:numPr>
      <w:tabs>
        <w:tab w:val="left" w:pos="3888"/>
      </w:tabs>
      <w:spacing w:before="240" w:after="0" w:line="260" w:lineRule="exact"/>
      <w:jc w:val="both"/>
    </w:pPr>
    <w:rPr>
      <w:rFonts w:ascii="Arial" w:hAnsi="Arial" w:eastAsia="Times New Roman" w:cstheme="minorHAnsi"/>
      <w:szCs w:val="20"/>
      <w:lang w:val="en-GB" w:eastAsia="en-GB"/>
    </w:rPr>
  </w:style>
  <w:style w:type="paragraph" w:customStyle="1" w:styleId="268">
    <w:name w:val="6th dash para"/>
    <w:basedOn w:val="1"/>
    <w:qFormat/>
    <w:uiPriority w:val="99"/>
    <w:pPr>
      <w:numPr>
        <w:ilvl w:val="0"/>
        <w:numId w:val="16"/>
      </w:numPr>
      <w:tabs>
        <w:tab w:val="left" w:pos="3888"/>
      </w:tabs>
      <w:spacing w:before="240" w:after="0" w:line="260" w:lineRule="exact"/>
      <w:jc w:val="both"/>
    </w:pPr>
    <w:rPr>
      <w:rFonts w:ascii="Arial" w:hAnsi="Arial" w:eastAsia="Times New Roman" w:cstheme="minorHAnsi"/>
      <w:szCs w:val="20"/>
      <w:lang w:val="en-GB" w:eastAsia="en-GB"/>
    </w:rPr>
  </w:style>
  <w:style w:type="character" w:customStyle="1" w:styleId="269">
    <w:name w:val="A4"/>
    <w:qFormat/>
    <w:uiPriority w:val="99"/>
    <w:rPr>
      <w:rFonts w:cs="Garamond"/>
      <w:color w:val="211D1E"/>
    </w:rPr>
  </w:style>
  <w:style w:type="paragraph" w:customStyle="1" w:styleId="270">
    <w:name w:val="abc list 1.5sp"/>
    <w:basedOn w:val="1"/>
    <w:qFormat/>
    <w:uiPriority w:val="99"/>
    <w:pPr>
      <w:spacing w:before="120" w:after="0" w:line="360" w:lineRule="auto"/>
      <w:ind w:left="1418" w:hanging="709"/>
      <w:jc w:val="both"/>
    </w:pPr>
    <w:rPr>
      <w:rFonts w:ascii="Arial" w:hAnsi="Arial" w:eastAsia="Times New Roman" w:cstheme="minorHAnsi"/>
      <w:sz w:val="20"/>
      <w:szCs w:val="20"/>
      <w:lang w:val="en-GB" w:eastAsia="en-GB"/>
    </w:rPr>
  </w:style>
  <w:style w:type="paragraph" w:customStyle="1" w:styleId="271">
    <w:name w:val="abc list"/>
    <w:basedOn w:val="270"/>
    <w:qFormat/>
    <w:uiPriority w:val="99"/>
    <w:pPr>
      <w:spacing w:line="240" w:lineRule="auto"/>
    </w:pPr>
  </w:style>
  <w:style w:type="paragraph" w:customStyle="1" w:styleId="272">
    <w:name w:val="Appendix"/>
    <w:basedOn w:val="1"/>
    <w:next w:val="1"/>
    <w:qFormat/>
    <w:uiPriority w:val="99"/>
    <w:pPr>
      <w:tabs>
        <w:tab w:val="left" w:pos="1701"/>
      </w:tabs>
      <w:spacing w:before="120" w:after="480" w:line="255" w:lineRule="exact"/>
      <w:ind w:left="1701" w:hanging="1701"/>
      <w:jc w:val="both"/>
    </w:pPr>
    <w:rPr>
      <w:rFonts w:ascii="Arial" w:hAnsi="Arial" w:eastAsia="Times New Roman" w:cstheme="minorHAnsi"/>
      <w:b/>
      <w:szCs w:val="20"/>
      <w:lang w:eastAsia="en-GB"/>
    </w:rPr>
  </w:style>
  <w:style w:type="character" w:customStyle="1" w:styleId="273">
    <w:name w:val="apple-converted-space"/>
    <w:basedOn w:val="11"/>
    <w:qFormat/>
    <w:uiPriority w:val="0"/>
  </w:style>
  <w:style w:type="paragraph" w:customStyle="1" w:styleId="274">
    <w:name w:val="BankNormal"/>
    <w:basedOn w:val="1"/>
    <w:qFormat/>
    <w:uiPriority w:val="99"/>
    <w:pPr>
      <w:spacing w:before="120" w:after="240" w:line="240" w:lineRule="auto"/>
      <w:jc w:val="both"/>
    </w:pPr>
    <w:rPr>
      <w:rFonts w:ascii="Book Antiqua" w:hAnsi="Book Antiqua" w:eastAsia="Times New Roman" w:cstheme="minorHAnsi"/>
      <w:szCs w:val="20"/>
      <w:lang w:eastAsia="en-GB"/>
    </w:rPr>
  </w:style>
  <w:style w:type="paragraph" w:customStyle="1" w:styleId="275">
    <w:name w:val="Bibliography1"/>
    <w:basedOn w:val="1"/>
    <w:next w:val="1"/>
    <w:semiHidden/>
    <w:unhideWhenUsed/>
    <w:qFormat/>
    <w:uiPriority w:val="37"/>
    <w:pPr>
      <w:spacing w:before="120" w:after="0" w:line="255" w:lineRule="exact"/>
      <w:jc w:val="both"/>
    </w:pPr>
    <w:rPr>
      <w:rFonts w:ascii="Arial" w:hAnsi="Arial" w:eastAsia="Times New Roman" w:cstheme="minorHAnsi"/>
      <w:sz w:val="18"/>
      <w:szCs w:val="20"/>
      <w:lang w:eastAsia="en-GB"/>
    </w:rPr>
  </w:style>
  <w:style w:type="character" w:customStyle="1" w:styleId="276">
    <w:name w:val="Body Text 2 Char"/>
    <w:basedOn w:val="11"/>
    <w:link w:val="16"/>
    <w:qFormat/>
    <w:uiPriority w:val="99"/>
    <w:rPr>
      <w:rFonts w:ascii="Calibri" w:hAnsi="Calibri" w:eastAsia="Calibri" w:cs="Cordia New"/>
      <w:szCs w:val="28"/>
      <w:lang w:eastAsia="en-GB" w:bidi="th-TH"/>
    </w:rPr>
  </w:style>
  <w:style w:type="character" w:customStyle="1" w:styleId="277">
    <w:name w:val="Body Text 3 Char"/>
    <w:basedOn w:val="11"/>
    <w:link w:val="17"/>
    <w:qFormat/>
    <w:uiPriority w:val="99"/>
    <w:rPr>
      <w:rFonts w:ascii="Book Antiqua" w:hAnsi="Book Antiqua" w:eastAsia="Times New Roman" w:cstheme="minorHAnsi"/>
      <w:b/>
      <w:bCs/>
      <w:szCs w:val="24"/>
      <w:lang w:eastAsia="en-GB"/>
    </w:rPr>
  </w:style>
  <w:style w:type="character" w:customStyle="1" w:styleId="278">
    <w:name w:val="Body Text First Indent Char"/>
    <w:basedOn w:val="123"/>
    <w:link w:val="18"/>
    <w:qFormat/>
    <w:uiPriority w:val="99"/>
    <w:rPr>
      <w:rFonts w:ascii="Arial" w:hAnsi="Arial" w:eastAsia="Times New Roman" w:cstheme="minorHAnsi"/>
      <w:sz w:val="18"/>
      <w:szCs w:val="20"/>
      <w:lang w:eastAsia="en-GB"/>
    </w:rPr>
  </w:style>
  <w:style w:type="character" w:customStyle="1" w:styleId="279">
    <w:name w:val="Body Text First Indent 2 Char"/>
    <w:basedOn w:val="111"/>
    <w:link w:val="20"/>
    <w:qFormat/>
    <w:uiPriority w:val="99"/>
    <w:rPr>
      <w:rFonts w:ascii="Arial" w:hAnsi="Arial" w:eastAsia="Times New Roman" w:cstheme="minorHAnsi"/>
      <w:sz w:val="18"/>
      <w:szCs w:val="20"/>
      <w:lang w:val="en-GB" w:eastAsia="en-GB"/>
    </w:rPr>
  </w:style>
  <w:style w:type="character" w:customStyle="1" w:styleId="280">
    <w:name w:val="Body Text Indent 2 Char"/>
    <w:basedOn w:val="11"/>
    <w:link w:val="21"/>
    <w:qFormat/>
    <w:uiPriority w:val="99"/>
    <w:rPr>
      <w:rFonts w:ascii="Calibri" w:hAnsi="Calibri" w:eastAsia="Times New Roman" w:cstheme="minorHAnsi"/>
      <w:sz w:val="26"/>
      <w:szCs w:val="26"/>
      <w:lang w:val="fr-FR" w:eastAsia="fr-FR"/>
    </w:rPr>
  </w:style>
  <w:style w:type="character" w:customStyle="1" w:styleId="281">
    <w:name w:val="Body Text Indent 3 Char"/>
    <w:basedOn w:val="11"/>
    <w:link w:val="22"/>
    <w:qFormat/>
    <w:uiPriority w:val="99"/>
    <w:rPr>
      <w:rFonts w:ascii="Arial" w:hAnsi="Arial" w:eastAsia="Times New Roman" w:cstheme="minorHAnsi"/>
      <w:sz w:val="16"/>
      <w:szCs w:val="16"/>
      <w:lang w:eastAsia="en-GB"/>
    </w:rPr>
  </w:style>
  <w:style w:type="character" w:customStyle="1" w:styleId="282">
    <w:name w:val="Body Text Indent Char1"/>
    <w:semiHidden/>
    <w:qFormat/>
    <w:uiPriority w:val="0"/>
    <w:rPr>
      <w:sz w:val="22"/>
      <w:szCs w:val="22"/>
    </w:rPr>
  </w:style>
  <w:style w:type="paragraph" w:customStyle="1" w:styleId="283">
    <w:name w:val="bodytext"/>
    <w:basedOn w:val="1"/>
    <w:link w:val="284"/>
    <w:autoRedefine/>
    <w:qFormat/>
    <w:uiPriority w:val="0"/>
    <w:pPr>
      <w:autoSpaceDE w:val="0"/>
      <w:autoSpaceDN w:val="0"/>
      <w:adjustRightInd w:val="0"/>
      <w:spacing w:before="120" w:after="0" w:line="240" w:lineRule="auto"/>
      <w:jc w:val="both"/>
    </w:pPr>
    <w:rPr>
      <w:rFonts w:eastAsia="Calibri" w:cstheme="minorHAnsi"/>
      <w:szCs w:val="24"/>
      <w:lang w:val="en-GB" w:eastAsia="en-GB"/>
    </w:rPr>
  </w:style>
  <w:style w:type="character" w:customStyle="1" w:styleId="284">
    <w:name w:val="bodytext Char"/>
    <w:link w:val="283"/>
    <w:qFormat/>
    <w:uiPriority w:val="0"/>
    <w:rPr>
      <w:rFonts w:ascii="Arial Narrow" w:hAnsi="Arial Narrow" w:eastAsia="Calibri" w:cstheme="minorHAnsi"/>
      <w:szCs w:val="24"/>
      <w:lang w:val="en-GB" w:eastAsia="en-GB"/>
    </w:rPr>
  </w:style>
  <w:style w:type="table" w:customStyle="1" w:styleId="285">
    <w:name w:val="Book Title1111"/>
    <w:basedOn w:val="12"/>
    <w:qFormat/>
    <w:uiPriority w:val="69"/>
    <w:pPr>
      <w:spacing w:before="120" w:line="360" w:lineRule="auto"/>
      <w:jc w:val="both"/>
    </w:pPr>
    <w:rPr>
      <w:rFonts w:ascii="Book Antiqua" w:hAnsi="Book Antiqua" w:eastAsia="Calibri" w:cs="Arial"/>
      <w:szCs w:val="24"/>
      <w:lang w:val="en-GB" w:eastAsia="en-GB"/>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DE4D0"/>
    </w:tcPr>
    <w:tblStylePr w:type="firstRow">
      <w:rPr>
        <w:b/>
        <w:bCs/>
        <w:i w:val="0"/>
        <w:iCs w:val="0"/>
        <w:color w:val="FFFFFF"/>
      </w:r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F79646"/>
      </w:tcPr>
    </w:tblStylePr>
    <w:tblStylePr w:type="lastRow">
      <w:rPr>
        <w:b/>
        <w:bCs/>
        <w:i w:val="0"/>
        <w:iCs w:val="0"/>
        <w:color w:val="FFFFFF"/>
      </w:r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F79646"/>
      </w:tcPr>
    </w:tblStylePr>
    <w:tblStylePr w:type="firstCol">
      <w:rPr>
        <w:b/>
        <w:bCs/>
        <w:i w:val="0"/>
        <w:iCs w:val="0"/>
        <w:color w:val="FFFFFF"/>
      </w:rPr>
      <w:tcPr>
        <w:tcBorders>
          <w:left w:val="single" w:color="FFFFFF" w:sz="8" w:space="0"/>
          <w:right w:val="single" w:color="FFFFFF" w:sz="24" w:space="0"/>
          <w:insideH w:val="nil"/>
          <w:insideV w:val="nil"/>
        </w:tcBorders>
        <w:shd w:val="clear" w:color="auto" w:fill="F79646"/>
      </w:tcPr>
    </w:tblStylePr>
    <w:tblStylePr w:type="lastCol">
      <w:rPr>
        <w:b/>
        <w:bCs/>
        <w:i w:val="0"/>
        <w:iCs w:val="0"/>
        <w:color w:val="FFFFFF"/>
      </w:rPr>
      <w:tcPr>
        <w:tcBorders>
          <w:top w:val="nil"/>
          <w:left w:val="single" w:color="FFFFFF" w:sz="24" w:space="0"/>
          <w:bottom w:val="nil"/>
          <w:right w:val="nil"/>
          <w:insideH w:val="nil"/>
          <w:insideV w:val="nil"/>
        </w:tcBorders>
        <w:shd w:val="clear" w:color="auto" w:fill="F79646"/>
      </w:tcPr>
    </w:tblStylePr>
    <w:tblStylePr w:type="band1Vert">
      <w:tcPr>
        <w:tcBorders>
          <w:top w:val="single" w:color="FFFFFF" w:sz="8" w:space="0"/>
          <w:left w:val="single" w:color="FFFFFF" w:sz="8" w:space="0"/>
          <w:bottom w:val="single" w:color="FFFFFF" w:sz="8" w:space="0"/>
          <w:right w:val="single" w:color="FFFFFF" w:sz="8" w:space="0"/>
          <w:insideH w:val="nil"/>
          <w:insideV w:val="nil"/>
        </w:tcBorders>
        <w:shd w:val="clear" w:color="auto" w:fill="FBCAA2"/>
      </w:tcPr>
    </w:tblStylePr>
    <w:tblStylePr w:type="band1Horz">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FBCAA2"/>
      </w:tcPr>
    </w:tblStylePr>
  </w:style>
  <w:style w:type="table" w:customStyle="1" w:styleId="286">
    <w:name w:val="Book Title11"/>
    <w:basedOn w:val="12"/>
    <w:qFormat/>
    <w:uiPriority w:val="69"/>
    <w:pPr>
      <w:spacing w:before="120" w:line="360" w:lineRule="auto"/>
      <w:jc w:val="both"/>
    </w:pPr>
    <w:rPr>
      <w:rFonts w:ascii="Book Antiqua" w:hAnsi="Book Antiqua" w:eastAsia="Calibri" w:cs="Arial"/>
      <w:szCs w:val="24"/>
      <w:lang w:val="en-GB" w:eastAsia="en-GB"/>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DE4D0"/>
    </w:tcPr>
    <w:tblStylePr w:type="firstRow">
      <w:rPr>
        <w:b/>
        <w:bCs/>
        <w:i w:val="0"/>
        <w:iCs w:val="0"/>
        <w:color w:val="FFFFFF"/>
      </w:r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F79646"/>
      </w:tcPr>
    </w:tblStylePr>
    <w:tblStylePr w:type="lastRow">
      <w:rPr>
        <w:b/>
        <w:bCs/>
        <w:i w:val="0"/>
        <w:iCs w:val="0"/>
        <w:color w:val="FFFFFF"/>
      </w:r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F79646"/>
      </w:tcPr>
    </w:tblStylePr>
    <w:tblStylePr w:type="firstCol">
      <w:rPr>
        <w:b/>
        <w:bCs/>
        <w:i w:val="0"/>
        <w:iCs w:val="0"/>
        <w:color w:val="FFFFFF"/>
      </w:rPr>
      <w:tcPr>
        <w:tcBorders>
          <w:left w:val="single" w:color="FFFFFF" w:sz="8" w:space="0"/>
          <w:right w:val="single" w:color="FFFFFF" w:sz="24" w:space="0"/>
          <w:insideH w:val="nil"/>
          <w:insideV w:val="nil"/>
        </w:tcBorders>
        <w:shd w:val="clear" w:color="auto" w:fill="F79646"/>
      </w:tcPr>
    </w:tblStylePr>
    <w:tblStylePr w:type="lastCol">
      <w:rPr>
        <w:b/>
        <w:bCs/>
        <w:i w:val="0"/>
        <w:iCs w:val="0"/>
        <w:color w:val="FFFFFF"/>
      </w:rPr>
      <w:tcPr>
        <w:tcBorders>
          <w:top w:val="nil"/>
          <w:left w:val="single" w:color="FFFFFF" w:sz="24" w:space="0"/>
          <w:bottom w:val="nil"/>
          <w:right w:val="nil"/>
          <w:insideH w:val="nil"/>
          <w:insideV w:val="nil"/>
        </w:tcBorders>
        <w:shd w:val="clear" w:color="auto" w:fill="F79646"/>
      </w:tcPr>
    </w:tblStylePr>
    <w:tblStylePr w:type="band1Vert">
      <w:tcPr>
        <w:tcBorders>
          <w:top w:val="single" w:color="FFFFFF" w:sz="8" w:space="0"/>
          <w:left w:val="single" w:color="FFFFFF" w:sz="8" w:space="0"/>
          <w:bottom w:val="single" w:color="FFFFFF" w:sz="8" w:space="0"/>
          <w:right w:val="single" w:color="FFFFFF" w:sz="8" w:space="0"/>
          <w:insideH w:val="nil"/>
          <w:insideV w:val="nil"/>
        </w:tcBorders>
        <w:shd w:val="clear" w:color="auto" w:fill="FBCAA2"/>
      </w:tcPr>
    </w:tblStylePr>
    <w:tblStylePr w:type="band1Horz">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FBCAA2"/>
      </w:tcPr>
    </w:tblStylePr>
  </w:style>
  <w:style w:type="table" w:customStyle="1" w:styleId="287">
    <w:name w:val="Book Title111"/>
    <w:basedOn w:val="12"/>
    <w:qFormat/>
    <w:uiPriority w:val="69"/>
    <w:pPr>
      <w:spacing w:before="120" w:line="360" w:lineRule="auto"/>
      <w:jc w:val="both"/>
    </w:pPr>
    <w:rPr>
      <w:rFonts w:ascii="Book Antiqua" w:hAnsi="Book Antiqua" w:eastAsia="Calibri" w:cs="Arial"/>
      <w:szCs w:val="24"/>
      <w:lang w:val="en-GB" w:eastAsia="en-GB"/>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DE4D0"/>
    </w:tcPr>
    <w:tblStylePr w:type="firstRow">
      <w:rPr>
        <w:b/>
        <w:bCs/>
        <w:i w:val="0"/>
        <w:iCs w:val="0"/>
        <w:color w:val="FFFFFF"/>
      </w:r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F79646"/>
      </w:tcPr>
    </w:tblStylePr>
    <w:tblStylePr w:type="lastRow">
      <w:rPr>
        <w:b/>
        <w:bCs/>
        <w:i w:val="0"/>
        <w:iCs w:val="0"/>
        <w:color w:val="FFFFFF"/>
      </w:r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F79646"/>
      </w:tcPr>
    </w:tblStylePr>
    <w:tblStylePr w:type="firstCol">
      <w:rPr>
        <w:b/>
        <w:bCs/>
        <w:i w:val="0"/>
        <w:iCs w:val="0"/>
        <w:color w:val="FFFFFF"/>
      </w:rPr>
      <w:tcPr>
        <w:tcBorders>
          <w:left w:val="single" w:color="FFFFFF" w:sz="8" w:space="0"/>
          <w:right w:val="single" w:color="FFFFFF" w:sz="24" w:space="0"/>
          <w:insideH w:val="nil"/>
          <w:insideV w:val="nil"/>
        </w:tcBorders>
        <w:shd w:val="clear" w:color="auto" w:fill="F79646"/>
      </w:tcPr>
    </w:tblStylePr>
    <w:tblStylePr w:type="lastCol">
      <w:rPr>
        <w:b/>
        <w:bCs/>
        <w:i w:val="0"/>
        <w:iCs w:val="0"/>
        <w:color w:val="FFFFFF"/>
      </w:rPr>
      <w:tcPr>
        <w:tcBorders>
          <w:top w:val="nil"/>
          <w:left w:val="single" w:color="FFFFFF" w:sz="24" w:space="0"/>
          <w:bottom w:val="nil"/>
          <w:right w:val="nil"/>
          <w:insideH w:val="nil"/>
          <w:insideV w:val="nil"/>
        </w:tcBorders>
        <w:shd w:val="clear" w:color="auto" w:fill="F79646"/>
      </w:tcPr>
    </w:tblStylePr>
    <w:tblStylePr w:type="band1Vert">
      <w:tcPr>
        <w:tcBorders>
          <w:top w:val="single" w:color="FFFFFF" w:sz="8" w:space="0"/>
          <w:left w:val="single" w:color="FFFFFF" w:sz="8" w:space="0"/>
          <w:bottom w:val="single" w:color="FFFFFF" w:sz="8" w:space="0"/>
          <w:right w:val="single" w:color="FFFFFF" w:sz="8" w:space="0"/>
          <w:insideH w:val="nil"/>
          <w:insideV w:val="nil"/>
        </w:tcBorders>
        <w:shd w:val="clear" w:color="auto" w:fill="FBCAA2"/>
      </w:tcPr>
    </w:tblStylePr>
    <w:tblStylePr w:type="band1Horz">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FBCAA2"/>
      </w:tcPr>
    </w:tblStylePr>
  </w:style>
  <w:style w:type="table" w:customStyle="1" w:styleId="288">
    <w:name w:val="Book Title12"/>
    <w:basedOn w:val="12"/>
    <w:qFormat/>
    <w:uiPriority w:val="69"/>
    <w:pPr>
      <w:spacing w:before="120" w:line="360" w:lineRule="auto"/>
      <w:jc w:val="both"/>
    </w:pPr>
    <w:rPr>
      <w:rFonts w:ascii="Book Antiqua" w:hAnsi="Book Antiqua" w:eastAsia="Calibri" w:cs="Arial"/>
      <w:szCs w:val="24"/>
      <w:lang w:val="en-GB" w:eastAsia="en-GB"/>
    </w:rPr>
    <w:tblPr>
      <w:tblBorders>
        <w:top w:val="single" w:color="FFFFFF" w:sz="8" w:space="0"/>
        <w:left w:val="single" w:color="FFFFFF" w:sz="8" w:space="0"/>
        <w:bottom w:val="single" w:color="FFFFFF" w:sz="8" w:space="0"/>
        <w:right w:val="single" w:color="FFFFFF" w:sz="8" w:space="0"/>
        <w:insideH w:val="single" w:color="FFFFFF" w:sz="6" w:space="0"/>
        <w:insideV w:val="single" w:color="FFFFFF" w:sz="6" w:space="0"/>
      </w:tblBorders>
    </w:tblPr>
    <w:tcPr>
      <w:shd w:val="clear" w:color="auto" w:fill="FDE4D0"/>
    </w:tcPr>
    <w:tblStylePr w:type="firstRow">
      <w:rPr>
        <w:b/>
        <w:bCs/>
        <w:i w:val="0"/>
        <w:iCs w:val="0"/>
        <w:color w:val="FFFFFF"/>
      </w:rPr>
      <w:tcPr>
        <w:tcBorders>
          <w:top w:val="single" w:color="FFFFFF" w:sz="8" w:space="0"/>
          <w:left w:val="single" w:color="FFFFFF" w:sz="8" w:space="0"/>
          <w:bottom w:val="single" w:color="FFFFFF" w:sz="24" w:space="0"/>
          <w:right w:val="single" w:color="FFFFFF" w:sz="8" w:space="0"/>
          <w:insideH w:val="nil"/>
          <w:insideV w:val="single" w:sz="8" w:space="0"/>
        </w:tcBorders>
        <w:shd w:val="clear" w:color="auto" w:fill="F79646"/>
      </w:tcPr>
    </w:tblStylePr>
    <w:tblStylePr w:type="lastRow">
      <w:rPr>
        <w:b/>
        <w:bCs/>
        <w:i w:val="0"/>
        <w:iCs w:val="0"/>
        <w:color w:val="FFFFFF"/>
      </w:rPr>
      <w:tcPr>
        <w:tcBorders>
          <w:top w:val="single" w:color="FFFFFF" w:sz="24" w:space="0"/>
          <w:left w:val="single" w:color="FFFFFF" w:sz="8" w:space="0"/>
          <w:bottom w:val="single" w:color="FFFFFF" w:sz="8" w:space="0"/>
          <w:right w:val="single" w:color="FFFFFF" w:sz="8" w:space="0"/>
          <w:insideH w:val="nil"/>
          <w:insideV w:val="single" w:sz="8" w:space="0"/>
        </w:tcBorders>
        <w:shd w:val="clear" w:color="auto" w:fill="F79646"/>
      </w:tcPr>
    </w:tblStylePr>
    <w:tblStylePr w:type="firstCol">
      <w:rPr>
        <w:b/>
        <w:bCs/>
        <w:i w:val="0"/>
        <w:iCs w:val="0"/>
        <w:color w:val="FFFFFF"/>
      </w:rPr>
      <w:tcPr>
        <w:tcBorders>
          <w:left w:val="single" w:color="FFFFFF" w:sz="8" w:space="0"/>
          <w:right w:val="single" w:color="FFFFFF" w:sz="24" w:space="0"/>
          <w:insideH w:val="nil"/>
          <w:insideV w:val="nil"/>
        </w:tcBorders>
        <w:shd w:val="clear" w:color="auto" w:fill="F79646"/>
      </w:tcPr>
    </w:tblStylePr>
    <w:tblStylePr w:type="lastCol">
      <w:rPr>
        <w:b/>
        <w:bCs/>
        <w:i w:val="0"/>
        <w:iCs w:val="0"/>
        <w:color w:val="FFFFFF"/>
      </w:rPr>
      <w:tcPr>
        <w:tcBorders>
          <w:top w:val="nil"/>
          <w:left w:val="single" w:color="FFFFFF" w:sz="24" w:space="0"/>
          <w:bottom w:val="nil"/>
          <w:right w:val="nil"/>
          <w:insideH w:val="nil"/>
          <w:insideV w:val="nil"/>
        </w:tcBorders>
        <w:shd w:val="clear" w:color="auto" w:fill="F79646"/>
      </w:tcPr>
    </w:tblStylePr>
    <w:tblStylePr w:type="band1Vert">
      <w:tcPr>
        <w:tcBorders>
          <w:top w:val="single" w:color="FFFFFF" w:sz="8" w:space="0"/>
          <w:left w:val="single" w:color="FFFFFF" w:sz="8" w:space="0"/>
          <w:bottom w:val="single" w:color="FFFFFF" w:sz="8" w:space="0"/>
          <w:right w:val="single" w:color="FFFFFF" w:sz="8" w:space="0"/>
          <w:insideH w:val="nil"/>
          <w:insideV w:val="nil"/>
        </w:tcBorders>
        <w:shd w:val="clear" w:color="auto" w:fill="FBCAA2"/>
      </w:tcPr>
    </w:tblStylePr>
    <w:tblStylePr w:type="band1Horz">
      <w:tcPr>
        <w:tcBorders>
          <w:top w:val="single" w:color="FFFFFF" w:sz="8" w:space="0"/>
          <w:left w:val="single" w:color="FFFFFF" w:sz="8" w:space="0"/>
          <w:bottom w:val="single" w:color="FFFFFF" w:sz="8" w:space="0"/>
          <w:right w:val="single" w:color="FFFFFF" w:sz="8" w:space="0"/>
          <w:insideH w:val="single" w:sz="8" w:space="0"/>
          <w:insideV w:val="single" w:sz="8" w:space="0"/>
        </w:tcBorders>
        <w:shd w:val="clear" w:color="auto" w:fill="FBCAA2"/>
      </w:tcPr>
    </w:tblStylePr>
  </w:style>
  <w:style w:type="paragraph" w:customStyle="1" w:styleId="289">
    <w:name w:val="Bullet"/>
    <w:basedOn w:val="1"/>
    <w:link w:val="290"/>
    <w:qFormat/>
    <w:uiPriority w:val="0"/>
    <w:pPr>
      <w:spacing w:before="120" w:after="0" w:line="240" w:lineRule="auto"/>
      <w:ind w:left="1418" w:hanging="709"/>
      <w:jc w:val="both"/>
    </w:pPr>
    <w:rPr>
      <w:rFonts w:ascii="Book Antiqua" w:hAnsi="Book Antiqua" w:eastAsia="Times New Roman" w:cstheme="minorHAnsi"/>
      <w:szCs w:val="20"/>
      <w:lang w:val="en-GB" w:eastAsia="en-GB"/>
    </w:rPr>
  </w:style>
  <w:style w:type="character" w:customStyle="1" w:styleId="290">
    <w:name w:val="Bullet Car"/>
    <w:link w:val="289"/>
    <w:qFormat/>
    <w:uiPriority w:val="0"/>
    <w:rPr>
      <w:rFonts w:ascii="Book Antiqua" w:hAnsi="Book Antiqua" w:eastAsia="Times New Roman" w:cstheme="minorHAnsi"/>
      <w:szCs w:val="20"/>
      <w:lang w:val="en-GB" w:eastAsia="en-GB"/>
    </w:rPr>
  </w:style>
  <w:style w:type="paragraph" w:customStyle="1" w:styleId="291">
    <w:name w:val="bullet"/>
    <w:basedOn w:val="1"/>
    <w:qFormat/>
    <w:uiPriority w:val="99"/>
    <w:pPr>
      <w:numPr>
        <w:ilvl w:val="0"/>
        <w:numId w:val="17"/>
      </w:numPr>
      <w:snapToGrid w:val="0"/>
      <w:spacing w:before="120" w:after="0" w:line="240" w:lineRule="auto"/>
      <w:jc w:val="both"/>
    </w:pPr>
    <w:rPr>
      <w:rFonts w:ascii="Arial" w:hAnsi="Arial" w:eastAsia="Times New Roman" w:cs="Arial"/>
      <w:sz w:val="20"/>
      <w:szCs w:val="20"/>
      <w:lang w:eastAsia="en-GB"/>
    </w:rPr>
  </w:style>
  <w:style w:type="paragraph" w:customStyle="1" w:styleId="292">
    <w:name w:val="Bullet 1"/>
    <w:basedOn w:val="1"/>
    <w:qFormat/>
    <w:uiPriority w:val="99"/>
    <w:pPr>
      <w:spacing w:before="120" w:after="0" w:line="255" w:lineRule="exact"/>
      <w:jc w:val="both"/>
    </w:pPr>
    <w:rPr>
      <w:rFonts w:ascii="Arial" w:hAnsi="Arial" w:eastAsia="Times New Roman" w:cstheme="minorHAnsi"/>
      <w:sz w:val="18"/>
      <w:szCs w:val="20"/>
      <w:lang w:eastAsia="en-GB"/>
    </w:rPr>
  </w:style>
  <w:style w:type="character" w:customStyle="1" w:styleId="293">
    <w:name w:val="Normal Indent Char1"/>
    <w:link w:val="78"/>
    <w:qFormat/>
    <w:uiPriority w:val="0"/>
    <w:rPr>
      <w:rFonts w:ascii="Book Antiqua" w:hAnsi="Book Antiqua" w:eastAsia="Calibri" w:cstheme="minorHAnsi"/>
      <w:szCs w:val="24"/>
      <w:lang w:val="en-GB" w:eastAsia="en-GB"/>
    </w:rPr>
  </w:style>
  <w:style w:type="paragraph" w:customStyle="1" w:styleId="294">
    <w:name w:val="Normal Ind 1.5space"/>
    <w:basedOn w:val="78"/>
    <w:qFormat/>
    <w:uiPriority w:val="99"/>
    <w:pPr>
      <w:ind w:left="709"/>
    </w:pPr>
    <w:rPr>
      <w:rFonts w:ascii="Arial" w:hAnsi="Arial" w:eastAsia="Times New Roman"/>
      <w:sz w:val="20"/>
      <w:szCs w:val="20"/>
    </w:rPr>
  </w:style>
  <w:style w:type="paragraph" w:customStyle="1" w:styleId="295">
    <w:name w:val="Bullet 1.5sp"/>
    <w:basedOn w:val="294"/>
    <w:uiPriority w:val="99"/>
    <w:pPr>
      <w:ind w:left="1418" w:hanging="709"/>
    </w:pPr>
  </w:style>
  <w:style w:type="paragraph" w:customStyle="1" w:styleId="296">
    <w:name w:val="Bullet 2"/>
    <w:basedOn w:val="1"/>
    <w:qFormat/>
    <w:uiPriority w:val="99"/>
    <w:pPr>
      <w:numPr>
        <w:ilvl w:val="0"/>
        <w:numId w:val="18"/>
      </w:numPr>
      <w:tabs>
        <w:tab w:val="left" w:pos="360"/>
        <w:tab w:val="clear" w:pos="1134"/>
      </w:tabs>
      <w:spacing w:before="120" w:after="0" w:line="255" w:lineRule="exact"/>
      <w:jc w:val="both"/>
    </w:pPr>
    <w:rPr>
      <w:rFonts w:ascii="Arial" w:hAnsi="Arial" w:eastAsia="Times New Roman" w:cstheme="minorHAnsi"/>
      <w:sz w:val="18"/>
      <w:szCs w:val="20"/>
      <w:lang w:eastAsia="en-GB"/>
    </w:rPr>
  </w:style>
  <w:style w:type="paragraph" w:customStyle="1" w:styleId="297">
    <w:name w:val="Bullet 3"/>
    <w:basedOn w:val="1"/>
    <w:qFormat/>
    <w:uiPriority w:val="99"/>
    <w:pPr>
      <w:numPr>
        <w:ilvl w:val="0"/>
        <w:numId w:val="19"/>
      </w:numPr>
      <w:spacing w:before="120" w:after="0" w:line="255" w:lineRule="exact"/>
      <w:jc w:val="both"/>
    </w:pPr>
    <w:rPr>
      <w:rFonts w:ascii="Arial" w:hAnsi="Arial" w:eastAsia="Times New Roman" w:cstheme="minorHAnsi"/>
      <w:sz w:val="18"/>
      <w:szCs w:val="20"/>
      <w:lang w:eastAsia="en-GB"/>
    </w:rPr>
  </w:style>
  <w:style w:type="character" w:customStyle="1" w:styleId="298">
    <w:name w:val="Bullet Char"/>
    <w:locked/>
    <w:uiPriority w:val="0"/>
    <w:rPr>
      <w:rFonts w:ascii="Arial" w:hAnsi="Arial" w:eastAsia="Times New Roman" w:cs="Angsana New"/>
      <w:snapToGrid w:val="0"/>
      <w:sz w:val="20"/>
      <w:szCs w:val="20"/>
      <w:lang w:val="en-GB" w:bidi="th-TH"/>
    </w:rPr>
  </w:style>
  <w:style w:type="paragraph" w:customStyle="1" w:styleId="299">
    <w:name w:val="Bullet Indent"/>
    <w:basedOn w:val="1"/>
    <w:link w:val="300"/>
    <w:uiPriority w:val="99"/>
    <w:pPr>
      <w:spacing w:before="120" w:after="0" w:line="240" w:lineRule="auto"/>
      <w:ind w:left="2127" w:hanging="709"/>
      <w:jc w:val="both"/>
    </w:pPr>
    <w:rPr>
      <w:rFonts w:ascii="Arial" w:hAnsi="Arial" w:eastAsia="Times New Roman" w:cstheme="minorHAnsi"/>
      <w:sz w:val="20"/>
      <w:szCs w:val="20"/>
      <w:lang w:val="en-GB" w:eastAsia="en-GB"/>
    </w:rPr>
  </w:style>
  <w:style w:type="character" w:customStyle="1" w:styleId="300">
    <w:name w:val="Bullet Indent Char"/>
    <w:link w:val="299"/>
    <w:qFormat/>
    <w:uiPriority w:val="99"/>
    <w:rPr>
      <w:rFonts w:ascii="Arial" w:hAnsi="Arial" w:eastAsia="Times New Roman" w:cstheme="minorHAnsi"/>
      <w:sz w:val="20"/>
      <w:szCs w:val="20"/>
      <w:lang w:val="en-GB" w:eastAsia="en-GB"/>
    </w:rPr>
  </w:style>
  <w:style w:type="paragraph" w:customStyle="1" w:styleId="301">
    <w:name w:val="Bullet1"/>
    <w:basedOn w:val="1"/>
    <w:qFormat/>
    <w:uiPriority w:val="99"/>
    <w:pPr>
      <w:numPr>
        <w:ilvl w:val="0"/>
        <w:numId w:val="20"/>
      </w:numPr>
      <w:spacing w:before="120" w:after="0" w:line="240" w:lineRule="auto"/>
      <w:jc w:val="both"/>
    </w:pPr>
    <w:rPr>
      <w:rFonts w:ascii="Book Antiqua" w:hAnsi="Book Antiqua" w:eastAsia="Times New Roman" w:cstheme="minorHAnsi"/>
      <w:szCs w:val="24"/>
      <w:lang w:eastAsia="en-GB"/>
    </w:rPr>
  </w:style>
  <w:style w:type="paragraph" w:customStyle="1" w:styleId="302">
    <w:name w:val="cap"/>
    <w:basedOn w:val="23"/>
    <w:link w:val="303"/>
    <w:qFormat/>
    <w:uiPriority w:val="0"/>
    <w:pPr>
      <w:spacing w:before="120" w:after="0"/>
    </w:pPr>
    <w:rPr>
      <w:rFonts w:ascii="Arial" w:hAnsi="Arial" w:eastAsia="Times New Roman" w:cs="Arial"/>
      <w:b w:val="0"/>
      <w:i/>
      <w:iCs w:val="0"/>
      <w:szCs w:val="20"/>
      <w:lang w:eastAsia="en-GB"/>
    </w:rPr>
  </w:style>
  <w:style w:type="character" w:customStyle="1" w:styleId="303">
    <w:name w:val="cap Char"/>
    <w:link w:val="302"/>
    <w:qFormat/>
    <w:uiPriority w:val="0"/>
    <w:rPr>
      <w:rFonts w:ascii="Arial" w:hAnsi="Arial" w:eastAsia="Times New Roman" w:cs="Arial"/>
      <w:i/>
      <w:szCs w:val="20"/>
      <w:lang w:eastAsia="en-GB"/>
    </w:rPr>
  </w:style>
  <w:style w:type="paragraph" w:customStyle="1" w:styleId="304">
    <w:name w:val="Carattere Carattere Char Char Char Char Char Char Zchn"/>
    <w:basedOn w:val="1"/>
    <w:next w:val="1"/>
    <w:uiPriority w:val="99"/>
    <w:pPr>
      <w:spacing w:before="120" w:after="0" w:line="240" w:lineRule="exact"/>
      <w:jc w:val="both"/>
    </w:pPr>
    <w:rPr>
      <w:rFonts w:ascii="Calibri" w:hAnsi="Calibri" w:eastAsia="Calibri" w:cstheme="minorHAnsi"/>
      <w:sz w:val="20"/>
      <w:szCs w:val="20"/>
      <w:vertAlign w:val="superscript"/>
      <w:lang w:val="fr-FR" w:eastAsia="fr-FR"/>
    </w:rPr>
  </w:style>
  <w:style w:type="paragraph" w:customStyle="1" w:styleId="305">
    <w:name w:val="Char Car Char"/>
    <w:basedOn w:val="1"/>
    <w:qFormat/>
    <w:uiPriority w:val="99"/>
    <w:pPr>
      <w:spacing w:before="120" w:after="0" w:line="240" w:lineRule="exact"/>
      <w:jc w:val="both"/>
    </w:pPr>
    <w:rPr>
      <w:rFonts w:ascii="Arial" w:hAnsi="Arial" w:eastAsia="Times New Roman" w:cstheme="minorHAnsi"/>
      <w:szCs w:val="24"/>
      <w:lang w:val="en-ZA" w:eastAsia="en-GB"/>
    </w:rPr>
  </w:style>
  <w:style w:type="character" w:customStyle="1" w:styleId="306">
    <w:name w:val="Char Char"/>
    <w:qFormat/>
    <w:uiPriority w:val="0"/>
    <w:rPr>
      <w:rFonts w:ascii="Arial" w:hAnsi="Arial"/>
      <w:b/>
      <w:sz w:val="18"/>
      <w:lang w:val="en-US" w:eastAsia="en-US" w:bidi="ar-SA"/>
    </w:rPr>
  </w:style>
  <w:style w:type="paragraph" w:customStyle="1" w:styleId="307">
    <w:name w:val="Char Char Char Char"/>
    <w:basedOn w:val="1"/>
    <w:qFormat/>
    <w:uiPriority w:val="0"/>
    <w:pPr>
      <w:spacing w:before="120" w:after="0" w:line="240" w:lineRule="exact"/>
      <w:jc w:val="both"/>
    </w:pPr>
    <w:rPr>
      <w:rFonts w:ascii="Verdana" w:hAnsi="Verdana" w:eastAsia="Times New Roman" w:cstheme="minorHAnsi"/>
      <w:sz w:val="20"/>
      <w:szCs w:val="20"/>
      <w:lang w:val="en-GB" w:eastAsia="en-GB"/>
    </w:rPr>
  </w:style>
  <w:style w:type="paragraph" w:customStyle="1" w:styleId="308">
    <w:name w:val="Char Char Char Char Char Char"/>
    <w:basedOn w:val="1"/>
    <w:qFormat/>
    <w:uiPriority w:val="0"/>
    <w:pPr>
      <w:spacing w:before="120" w:after="0" w:line="240" w:lineRule="exact"/>
      <w:jc w:val="both"/>
    </w:pPr>
    <w:rPr>
      <w:rFonts w:ascii="Arial" w:hAnsi="Arial" w:eastAsia="Times New Roman" w:cstheme="minorHAnsi"/>
      <w:sz w:val="20"/>
      <w:szCs w:val="20"/>
      <w:lang w:eastAsia="en-GB"/>
    </w:rPr>
  </w:style>
  <w:style w:type="paragraph" w:customStyle="1" w:styleId="309">
    <w:name w:val="Char Char1 Char Char Char Char Char Char Char Char Char Char Char Char Char Char"/>
    <w:basedOn w:val="1"/>
    <w:autoRedefine/>
    <w:qFormat/>
    <w:uiPriority w:val="99"/>
    <w:pPr>
      <w:tabs>
        <w:tab w:val="left" w:pos="274"/>
      </w:tabs>
      <w:spacing w:before="120" w:after="0" w:line="240" w:lineRule="exact"/>
      <w:ind w:left="590" w:hanging="590"/>
      <w:jc w:val="both"/>
    </w:pPr>
    <w:rPr>
      <w:rFonts w:ascii="Verdana" w:hAnsi="Verdana" w:eastAsia="Times New Roman" w:cstheme="minorHAnsi"/>
      <w:sz w:val="20"/>
      <w:szCs w:val="20"/>
      <w:lang w:eastAsia="en-GB"/>
    </w:rPr>
  </w:style>
  <w:style w:type="character" w:customStyle="1" w:styleId="310">
    <w:name w:val="Closing Char"/>
    <w:basedOn w:val="11"/>
    <w:link w:val="24"/>
    <w:qFormat/>
    <w:uiPriority w:val="99"/>
    <w:rPr>
      <w:rFonts w:ascii="Arial" w:hAnsi="Arial" w:eastAsia="Times New Roman" w:cstheme="minorHAnsi"/>
      <w:sz w:val="18"/>
      <w:szCs w:val="20"/>
      <w:lang w:val="en-GB" w:eastAsia="en-GB"/>
    </w:rPr>
  </w:style>
  <w:style w:type="character" w:customStyle="1" w:styleId="311">
    <w:name w:val="Default Car"/>
    <w:link w:val="128"/>
    <w:qFormat/>
    <w:uiPriority w:val="99"/>
    <w:rPr>
      <w:rFonts w:ascii="Garamond" w:hAnsi="Garamond" w:cs="Garamond"/>
      <w:color w:val="000000"/>
      <w:sz w:val="24"/>
      <w:szCs w:val="24"/>
      <w:lang w:val="en-GB"/>
    </w:rPr>
  </w:style>
  <w:style w:type="paragraph" w:customStyle="1" w:styleId="312">
    <w:name w:val="CM27"/>
    <w:basedOn w:val="128"/>
    <w:next w:val="128"/>
    <w:qFormat/>
    <w:uiPriority w:val="99"/>
    <w:pPr>
      <w:widowControl w:val="0"/>
      <w:spacing w:before="120" w:line="360" w:lineRule="auto"/>
      <w:jc w:val="both"/>
    </w:pPr>
    <w:rPr>
      <w:rFonts w:ascii="Cambria" w:hAnsi="Cambria" w:eastAsia="Times New Roman" w:cs="Arial"/>
      <w:color w:val="auto"/>
      <w:lang w:val="en-US"/>
    </w:rPr>
  </w:style>
  <w:style w:type="paragraph" w:customStyle="1" w:styleId="313">
    <w:name w:val="Code"/>
    <w:basedOn w:val="92"/>
    <w:qFormat/>
    <w:uiPriority w:val="99"/>
    <w:pPr>
      <w:widowControl/>
      <w:tabs>
        <w:tab w:val="left" w:pos="480"/>
        <w:tab w:val="left" w:pos="660"/>
        <w:tab w:val="right" w:leader="dot" w:pos="9017"/>
        <w:tab w:val="center" w:leader="dot" w:pos="9432"/>
        <w:tab w:val="right" w:leader="dot" w:pos="9628"/>
      </w:tabs>
      <w:autoSpaceDE/>
      <w:autoSpaceDN/>
      <w:spacing w:before="120" w:after="120"/>
      <w:ind w:left="0" w:firstLine="0"/>
    </w:pPr>
    <w:rPr>
      <w:rFonts w:ascii="Lucida Console" w:hAnsi="Lucida Console" w:eastAsia="Times New Roman" w:cstheme="minorHAnsi"/>
      <w:bCs w:val="0"/>
      <w:caps/>
      <w:kern w:val="32"/>
      <w:sz w:val="22"/>
      <w:lang w:val="en-GB" w:eastAsia="en-GB"/>
    </w:rPr>
  </w:style>
  <w:style w:type="paragraph" w:customStyle="1" w:styleId="314">
    <w:name w:val="CompattoNorm"/>
    <w:basedOn w:val="1"/>
    <w:uiPriority w:val="99"/>
    <w:pPr>
      <w:numPr>
        <w:ilvl w:val="0"/>
        <w:numId w:val="21"/>
      </w:numPr>
      <w:spacing w:before="120" w:after="0" w:line="240" w:lineRule="auto"/>
      <w:jc w:val="both"/>
    </w:pPr>
    <w:rPr>
      <w:rFonts w:ascii="Book Antiqua" w:hAnsi="Book Antiqua" w:eastAsia="Times New Roman" w:cstheme="minorHAnsi"/>
      <w:szCs w:val="20"/>
      <w:lang w:val="en-GB" w:eastAsia="en-GB"/>
    </w:rPr>
  </w:style>
  <w:style w:type="paragraph" w:customStyle="1" w:styleId="315">
    <w:name w:val="dash 1 para variant"/>
    <w:basedOn w:val="19"/>
    <w:qFormat/>
    <w:uiPriority w:val="99"/>
    <w:pPr>
      <w:tabs>
        <w:tab w:val="left" w:pos="792"/>
      </w:tabs>
      <w:spacing w:before="240" w:beforeAutospacing="0" w:after="0" w:afterAutospacing="0" w:line="260" w:lineRule="exact"/>
      <w:ind w:left="1440" w:hanging="432"/>
      <w:jc w:val="both"/>
    </w:pPr>
    <w:rPr>
      <w:rFonts w:ascii="Univers" w:hAnsi="Univers" w:cstheme="minorHAnsi"/>
      <w:sz w:val="22"/>
      <w:lang w:val="en-US" w:eastAsia="en-GB"/>
    </w:rPr>
  </w:style>
  <w:style w:type="character" w:customStyle="1" w:styleId="316">
    <w:name w:val="Date Char"/>
    <w:basedOn w:val="11"/>
    <w:link w:val="28"/>
    <w:qFormat/>
    <w:uiPriority w:val="99"/>
    <w:rPr>
      <w:rFonts w:ascii="Arial" w:hAnsi="Arial" w:eastAsia="Times New Roman" w:cstheme="minorHAnsi"/>
      <w:sz w:val="18"/>
      <w:szCs w:val="20"/>
      <w:lang w:val="en-GB" w:eastAsia="en-GB"/>
    </w:rPr>
  </w:style>
  <w:style w:type="paragraph" w:customStyle="1" w:styleId="317">
    <w:name w:val="DHVadresregel"/>
    <w:basedOn w:val="1"/>
    <w:next w:val="1"/>
    <w:qFormat/>
    <w:uiPriority w:val="99"/>
    <w:pPr>
      <w:spacing w:before="120" w:after="0" w:line="255" w:lineRule="exact"/>
      <w:jc w:val="both"/>
    </w:pPr>
    <w:rPr>
      <w:rFonts w:ascii="Arial" w:hAnsi="Arial" w:eastAsia="Times New Roman" w:cstheme="minorHAnsi"/>
      <w:sz w:val="18"/>
      <w:szCs w:val="20"/>
      <w:lang w:eastAsia="en-GB"/>
    </w:rPr>
  </w:style>
  <w:style w:type="character" w:customStyle="1" w:styleId="318">
    <w:name w:val="dhv-punt"/>
    <w:qFormat/>
    <w:uiPriority w:val="0"/>
    <w:rPr>
      <w:rFonts w:ascii="CG Times" w:hAnsi="CG Times"/>
      <w:sz w:val="22"/>
      <w:lang w:val="en-US"/>
    </w:rPr>
  </w:style>
  <w:style w:type="character" w:customStyle="1" w:styleId="319">
    <w:name w:val="dhv-rap"/>
    <w:qFormat/>
    <w:uiPriority w:val="0"/>
    <w:rPr>
      <w:rFonts w:ascii="CG Times" w:hAnsi="CG Times"/>
      <w:sz w:val="22"/>
      <w:lang w:val="en-US"/>
    </w:rPr>
  </w:style>
  <w:style w:type="paragraph" w:customStyle="1" w:styleId="320">
    <w:name w:val="dhv-stndrd"/>
    <w:uiPriority w:val="99"/>
    <w:pPr>
      <w:widowControl w:val="0"/>
      <w:tabs>
        <w:tab w:val="left" w:pos="-851"/>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62"/>
      </w:tabs>
      <w:suppressAutoHyphens/>
      <w:spacing w:before="120" w:line="360" w:lineRule="auto"/>
      <w:jc w:val="both"/>
    </w:pPr>
    <w:rPr>
      <w:rFonts w:ascii="CG Times" w:hAnsi="CG Times" w:eastAsia="Times New Roman" w:cstheme="minorHAnsi"/>
      <w:spacing w:val="-2"/>
      <w:sz w:val="22"/>
      <w:szCs w:val="24"/>
      <w:lang w:val="en-US" w:eastAsia="en-US" w:bidi="ar-SA"/>
    </w:rPr>
  </w:style>
  <w:style w:type="paragraph" w:customStyle="1" w:styleId="321">
    <w:name w:val="DHVWerkmij"/>
    <w:basedOn w:val="1"/>
    <w:next w:val="1"/>
    <w:qFormat/>
    <w:uiPriority w:val="99"/>
    <w:pPr>
      <w:spacing w:before="120" w:after="0" w:line="240" w:lineRule="auto"/>
      <w:jc w:val="both"/>
    </w:pPr>
    <w:rPr>
      <w:rFonts w:ascii="Arial" w:hAnsi="Arial" w:eastAsia="Times New Roman" w:cstheme="minorHAnsi"/>
      <w:spacing w:val="30"/>
      <w:sz w:val="28"/>
      <w:szCs w:val="20"/>
      <w:lang w:eastAsia="en-GB"/>
    </w:rPr>
  </w:style>
  <w:style w:type="character" w:customStyle="1" w:styleId="322">
    <w:name w:val="Document Map Char"/>
    <w:basedOn w:val="11"/>
    <w:link w:val="29"/>
    <w:uiPriority w:val="99"/>
    <w:rPr>
      <w:rFonts w:ascii="Tahoma" w:hAnsi="Tahoma" w:eastAsia="Times New Roman" w:cs="Tahoma"/>
      <w:sz w:val="16"/>
      <w:szCs w:val="16"/>
      <w:lang w:val="en-GB" w:eastAsia="en-GB"/>
    </w:rPr>
  </w:style>
  <w:style w:type="paragraph" w:customStyle="1" w:styleId="323">
    <w:name w:val="DW Bullets"/>
    <w:basedOn w:val="1"/>
    <w:autoRedefine/>
    <w:qFormat/>
    <w:uiPriority w:val="99"/>
    <w:pPr>
      <w:numPr>
        <w:ilvl w:val="0"/>
        <w:numId w:val="22"/>
      </w:numPr>
      <w:spacing w:before="120" w:after="0" w:line="360" w:lineRule="atLeast"/>
      <w:jc w:val="both"/>
    </w:pPr>
    <w:rPr>
      <w:rFonts w:ascii="Book Antiqua" w:hAnsi="Book Antiqua" w:eastAsia="Times New Roman" w:cstheme="minorHAnsi"/>
      <w:sz w:val="23"/>
      <w:szCs w:val="24"/>
      <w:lang w:eastAsia="en-GB"/>
    </w:rPr>
  </w:style>
  <w:style w:type="paragraph" w:customStyle="1" w:styleId="324">
    <w:name w:val="DW HD2"/>
    <w:basedOn w:val="3"/>
    <w:autoRedefine/>
    <w:qFormat/>
    <w:uiPriority w:val="99"/>
    <w:pPr>
      <w:tabs>
        <w:tab w:val="left" w:pos="0"/>
        <w:tab w:val="left" w:pos="1440"/>
      </w:tabs>
      <w:spacing w:before="240"/>
      <w:ind w:left="216" w:hanging="216"/>
    </w:pPr>
    <w:rPr>
      <w:rFonts w:ascii="Book Antiqua" w:hAnsi="Book Antiqua" w:cstheme="minorHAnsi"/>
      <w:iCs/>
      <w:kern w:val="0"/>
      <w:szCs w:val="24"/>
      <w:lang w:eastAsia="en-GB"/>
    </w:rPr>
  </w:style>
  <w:style w:type="paragraph" w:customStyle="1" w:styleId="325">
    <w:name w:val="DWHD1"/>
    <w:basedOn w:val="2"/>
    <w:autoRedefine/>
    <w:qFormat/>
    <w:uiPriority w:val="99"/>
    <w:pPr>
      <w:keepLines w:val="0"/>
      <w:pageBreakBefore/>
      <w:tabs>
        <w:tab w:val="left" w:pos="0"/>
        <w:tab w:val="left" w:pos="644"/>
      </w:tabs>
      <w:spacing w:before="0"/>
      <w:ind w:left="284"/>
    </w:pPr>
    <w:rPr>
      <w:rFonts w:ascii="Times New Roman" w:hAnsi="Times New Roman" w:eastAsia="Times New Roman" w:cstheme="minorHAnsi"/>
      <w:bCs/>
      <w:caps/>
      <w:w w:val="110"/>
      <w:szCs w:val="24"/>
      <w:lang w:val="en-GB" w:eastAsia="en-GB"/>
    </w:rPr>
  </w:style>
  <w:style w:type="paragraph" w:customStyle="1" w:styleId="326">
    <w:name w:val="E_Summary 1"/>
    <w:basedOn w:val="1"/>
    <w:link w:val="327"/>
    <w:qFormat/>
    <w:uiPriority w:val="0"/>
    <w:pPr>
      <w:keepNext/>
      <w:keepLines/>
      <w:pBdr>
        <w:bottom w:val="thinThickMediumGap" w:color="auto" w:sz="24" w:space="1"/>
      </w:pBdr>
      <w:shd w:val="clear" w:color="auto" w:fill="00B0F0"/>
      <w:spacing w:before="240" w:after="240" w:line="312" w:lineRule="auto"/>
      <w:jc w:val="both"/>
      <w:outlineLvl w:val="0"/>
    </w:pPr>
    <w:rPr>
      <w:rFonts w:ascii="Times New Roman Bold" w:hAnsi="Times New Roman Bold" w:eastAsia="Times New Roman Bold" w:cstheme="minorHAnsi"/>
      <w:b/>
      <w:caps/>
      <w:sz w:val="28"/>
      <w:szCs w:val="28"/>
      <w:lang w:eastAsia="en-GB"/>
    </w:rPr>
  </w:style>
  <w:style w:type="character" w:customStyle="1" w:styleId="327">
    <w:name w:val="E_Summary 1 Char"/>
    <w:link w:val="326"/>
    <w:uiPriority w:val="0"/>
    <w:rPr>
      <w:rFonts w:ascii="Times New Roman Bold" w:hAnsi="Times New Roman Bold" w:eastAsia="Times New Roman Bold" w:cstheme="minorHAnsi"/>
      <w:b/>
      <w:caps/>
      <w:sz w:val="28"/>
      <w:szCs w:val="28"/>
      <w:shd w:val="clear" w:color="auto" w:fill="00B0F0"/>
      <w:lang w:eastAsia="en-GB"/>
    </w:rPr>
  </w:style>
  <w:style w:type="paragraph" w:customStyle="1" w:styleId="328">
    <w:name w:val="ecxmsonormal"/>
    <w:basedOn w:val="1"/>
    <w:qFormat/>
    <w:uiPriority w:val="99"/>
    <w:pPr>
      <w:spacing w:before="100" w:beforeAutospacing="1" w:after="100" w:afterAutospacing="1" w:line="240" w:lineRule="auto"/>
      <w:jc w:val="both"/>
    </w:pPr>
    <w:rPr>
      <w:rFonts w:ascii="Times" w:hAnsi="Times" w:eastAsia="MS Mincho" w:cstheme="minorHAnsi"/>
      <w:sz w:val="20"/>
      <w:szCs w:val="20"/>
      <w:lang w:eastAsia="en-GB"/>
    </w:rPr>
  </w:style>
  <w:style w:type="character" w:customStyle="1" w:styleId="329">
    <w:name w:val="E-mail Signature Char"/>
    <w:basedOn w:val="11"/>
    <w:link w:val="30"/>
    <w:qFormat/>
    <w:uiPriority w:val="99"/>
    <w:rPr>
      <w:rFonts w:ascii="Arial" w:hAnsi="Arial" w:eastAsia="Times New Roman" w:cstheme="minorHAnsi"/>
      <w:sz w:val="18"/>
      <w:szCs w:val="20"/>
      <w:lang w:val="en-GB" w:eastAsia="en-GB"/>
    </w:rPr>
  </w:style>
  <w:style w:type="paragraph" w:customStyle="1" w:styleId="330">
    <w:name w:val="E-SUmmary 2"/>
    <w:basedOn w:val="1"/>
    <w:link w:val="331"/>
    <w:qFormat/>
    <w:uiPriority w:val="0"/>
    <w:pPr>
      <w:keepNext/>
      <w:keepLines/>
      <w:pBdr>
        <w:bottom w:val="thickThinMediumGap" w:color="00B0F0" w:sz="24" w:space="1"/>
      </w:pBdr>
      <w:spacing w:before="480" w:after="0" w:line="360" w:lineRule="auto"/>
      <w:ind w:left="576" w:hanging="576"/>
      <w:jc w:val="both"/>
      <w:outlineLvl w:val="1"/>
    </w:pPr>
    <w:rPr>
      <w:rFonts w:ascii="Times New Roman Bold" w:hAnsi="Times New Roman Bold" w:eastAsia="Times New Roman Bold" w:cstheme="minorHAnsi"/>
      <w:b/>
      <w:smallCaps/>
      <w:sz w:val="28"/>
      <w:szCs w:val="28"/>
      <w:lang w:val="en-GB" w:eastAsia="ja-JP"/>
    </w:rPr>
  </w:style>
  <w:style w:type="character" w:customStyle="1" w:styleId="331">
    <w:name w:val="E-SUmmary 2 Char"/>
    <w:link w:val="330"/>
    <w:qFormat/>
    <w:uiPriority w:val="0"/>
    <w:rPr>
      <w:rFonts w:ascii="Times New Roman Bold" w:hAnsi="Times New Roman Bold" w:eastAsia="Times New Roman Bold" w:cstheme="minorHAnsi"/>
      <w:b/>
      <w:smallCaps/>
      <w:sz w:val="28"/>
      <w:szCs w:val="28"/>
      <w:lang w:val="en-GB" w:eastAsia="ja-JP"/>
    </w:rPr>
  </w:style>
  <w:style w:type="paragraph" w:customStyle="1" w:styleId="332">
    <w:name w:val="E-Summary 3"/>
    <w:basedOn w:val="1"/>
    <w:link w:val="333"/>
    <w:qFormat/>
    <w:uiPriority w:val="0"/>
    <w:pPr>
      <w:keepNext/>
      <w:keepLines/>
      <w:pBdr>
        <w:bottom w:val="thinThickMediumGap" w:color="00B0F0" w:sz="24" w:space="1"/>
      </w:pBdr>
      <w:spacing w:before="60" w:after="0" w:line="240" w:lineRule="auto"/>
      <w:jc w:val="both"/>
      <w:outlineLvl w:val="2"/>
    </w:pPr>
    <w:rPr>
      <w:rFonts w:ascii="Book Antiqua" w:hAnsi="Book Antiqua" w:eastAsia="Times New Roman Bold" w:cstheme="minorHAnsi"/>
      <w:b/>
      <w:smallCaps/>
      <w:szCs w:val="24"/>
      <w:lang w:eastAsia="en-GB"/>
    </w:rPr>
  </w:style>
  <w:style w:type="character" w:customStyle="1" w:styleId="333">
    <w:name w:val="E-Summary 3 Char"/>
    <w:link w:val="332"/>
    <w:qFormat/>
    <w:uiPriority w:val="0"/>
    <w:rPr>
      <w:rFonts w:ascii="Book Antiqua" w:hAnsi="Book Antiqua" w:eastAsia="Times New Roman Bold" w:cstheme="minorHAnsi"/>
      <w:b/>
      <w:smallCaps/>
      <w:szCs w:val="24"/>
      <w:lang w:eastAsia="en-GB"/>
    </w:rPr>
  </w:style>
  <w:style w:type="paragraph" w:customStyle="1" w:styleId="334">
    <w:name w:val="E-SUmmary 4"/>
    <w:basedOn w:val="1"/>
    <w:link w:val="335"/>
    <w:qFormat/>
    <w:uiPriority w:val="99"/>
    <w:pPr>
      <w:keepNext/>
      <w:keepLines/>
      <w:numPr>
        <w:ilvl w:val="3"/>
        <w:numId w:val="23"/>
      </w:numPr>
      <w:pBdr>
        <w:bottom w:val="thinThickLargeGap" w:color="00B0F0" w:sz="24" w:space="1"/>
      </w:pBdr>
      <w:spacing w:before="40" w:after="0" w:line="240" w:lineRule="auto"/>
      <w:jc w:val="both"/>
      <w:outlineLvl w:val="3"/>
    </w:pPr>
    <w:rPr>
      <w:rFonts w:ascii="Book Antiqua" w:hAnsi="Book Antiqua" w:eastAsia="Times New Roman" w:cstheme="minorHAnsi"/>
      <w:i/>
      <w:iCs/>
      <w:szCs w:val="24"/>
      <w:lang w:val="en-GB" w:eastAsia="en-GB"/>
    </w:rPr>
  </w:style>
  <w:style w:type="character" w:customStyle="1" w:styleId="335">
    <w:name w:val="E-SUmmary 4 Char"/>
    <w:link w:val="334"/>
    <w:qFormat/>
    <w:uiPriority w:val="99"/>
    <w:rPr>
      <w:rFonts w:ascii="Book Antiqua" w:hAnsi="Book Antiqua" w:eastAsia="Times New Roman" w:cstheme="minorHAnsi"/>
      <w:i/>
      <w:iCs/>
      <w:sz w:val="22"/>
      <w:szCs w:val="24"/>
      <w:lang w:val="en-GB" w:eastAsia="en-GB"/>
    </w:rPr>
  </w:style>
  <w:style w:type="character" w:customStyle="1" w:styleId="336">
    <w:name w:val="fontstyle31"/>
    <w:qFormat/>
    <w:uiPriority w:val="0"/>
    <w:rPr>
      <w:rFonts w:hint="default" w:ascii="SymbolMT" w:hAnsi="SymbolMT"/>
      <w:color w:val="000000"/>
      <w:sz w:val="20"/>
      <w:szCs w:val="20"/>
    </w:rPr>
  </w:style>
  <w:style w:type="table" w:customStyle="1" w:styleId="337">
    <w:name w:val="GFA Table Grid1"/>
    <w:basedOn w:val="12"/>
    <w:qFormat/>
    <w:uiPriority w:val="0"/>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8">
    <w:name w:val="GFA Table Grid11"/>
    <w:basedOn w:val="12"/>
    <w:qFormat/>
    <w:uiPriority w:val="0"/>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39">
    <w:name w:val="GFA Table Grid111"/>
    <w:basedOn w:val="12"/>
    <w:qFormat/>
    <w:uiPriority w:val="0"/>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0">
    <w:name w:val="GFA Table Grid12"/>
    <w:basedOn w:val="12"/>
    <w:qFormat/>
    <w:uiPriority w:val="0"/>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1">
    <w:name w:val="GFA Table Grid2"/>
    <w:basedOn w:val="12"/>
    <w:qFormat/>
    <w:uiPriority w:val="0"/>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342">
    <w:name w:val="GFA Table Grid21"/>
    <w:basedOn w:val="12"/>
    <w:uiPriority w:val="0"/>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343">
    <w:name w:val="Heading 0"/>
    <w:basedOn w:val="2"/>
    <w:next w:val="1"/>
    <w:uiPriority w:val="99"/>
    <w:pPr>
      <w:keepLines w:val="0"/>
      <w:tabs>
        <w:tab w:val="left" w:pos="0"/>
      </w:tabs>
      <w:spacing w:before="0" w:after="480" w:line="255" w:lineRule="exact"/>
      <w:outlineLvl w:val="9"/>
    </w:pPr>
    <w:rPr>
      <w:rFonts w:ascii="Arial" w:hAnsi="Arial" w:eastAsia="Times New Roman" w:cstheme="minorHAnsi"/>
      <w:caps/>
      <w:w w:val="110"/>
      <w:kern w:val="28"/>
      <w:szCs w:val="20"/>
      <w:lang w:val="en-GB" w:eastAsia="en-GB"/>
    </w:rPr>
  </w:style>
  <w:style w:type="character" w:customStyle="1" w:styleId="344">
    <w:name w:val="Normal 2 Char"/>
    <w:uiPriority w:val="0"/>
    <w:rPr>
      <w:rFonts w:ascii="Times New Roman" w:hAnsi="Times New Roman" w:eastAsia="Times New Roman"/>
      <w:b/>
      <w:sz w:val="24"/>
      <w:szCs w:val="22"/>
      <w:lang w:val="en-US" w:eastAsia="en-US"/>
    </w:rPr>
  </w:style>
  <w:style w:type="paragraph" w:customStyle="1" w:styleId="345">
    <w:name w:val="Heading 0+"/>
    <w:basedOn w:val="115"/>
    <w:link w:val="346"/>
    <w:qFormat/>
    <w:uiPriority w:val="0"/>
    <w:pPr>
      <w:spacing w:before="120" w:line="360" w:lineRule="auto"/>
      <w:ind w:left="0"/>
      <w:contextualSpacing w:val="0"/>
      <w:jc w:val="center"/>
    </w:pPr>
    <w:rPr>
      <w:rFonts w:eastAsia="Times New Roman"/>
      <w:b/>
      <w:sz w:val="28"/>
      <w:szCs w:val="24"/>
      <w:lang w:eastAsia="en-GB"/>
    </w:rPr>
  </w:style>
  <w:style w:type="character" w:customStyle="1" w:styleId="346">
    <w:name w:val="Heading 0+ Char"/>
    <w:link w:val="345"/>
    <w:qFormat/>
    <w:uiPriority w:val="0"/>
    <w:rPr>
      <w:rFonts w:ascii="Arial Narrow" w:hAnsi="Arial Narrow" w:eastAsia="Times New Roman" w:cstheme="minorHAnsi"/>
      <w:b/>
      <w:sz w:val="28"/>
      <w:szCs w:val="24"/>
      <w:lang w:eastAsia="en-GB"/>
    </w:rPr>
  </w:style>
  <w:style w:type="character" w:customStyle="1" w:styleId="347">
    <w:name w:val="Heading 1 Char1"/>
    <w:qFormat/>
    <w:uiPriority w:val="9"/>
    <w:rPr>
      <w:rFonts w:ascii="Cambria" w:hAnsi="Cambria" w:eastAsia="Times New Roman" w:cs="Times New Roman"/>
      <w:b/>
      <w:bCs/>
      <w:color w:val="365F91"/>
      <w:sz w:val="28"/>
      <w:szCs w:val="28"/>
    </w:rPr>
  </w:style>
  <w:style w:type="paragraph" w:customStyle="1" w:styleId="348">
    <w:name w:val="Heading 3.1 Char Char Char Char Char Char"/>
    <w:basedOn w:val="1"/>
    <w:next w:val="4"/>
    <w:link w:val="349"/>
    <w:qFormat/>
    <w:uiPriority w:val="0"/>
    <w:pPr>
      <w:spacing w:before="120" w:after="0" w:line="240" w:lineRule="exact"/>
      <w:jc w:val="both"/>
    </w:pPr>
    <w:rPr>
      <w:rFonts w:ascii="Arial" w:hAnsi="Arial" w:eastAsia="Times New Roman" w:cstheme="minorHAnsi"/>
      <w:kern w:val="16"/>
      <w:szCs w:val="20"/>
      <w:lang w:eastAsia="en-GB"/>
    </w:rPr>
  </w:style>
  <w:style w:type="character" w:customStyle="1" w:styleId="349">
    <w:name w:val="Heading 3.1 Char Char Char Char Char Char Char"/>
    <w:link w:val="348"/>
    <w:qFormat/>
    <w:uiPriority w:val="0"/>
    <w:rPr>
      <w:rFonts w:ascii="Arial" w:hAnsi="Arial" w:eastAsia="Times New Roman" w:cstheme="minorHAnsi"/>
      <w:kern w:val="16"/>
      <w:szCs w:val="20"/>
      <w:lang w:eastAsia="en-GB"/>
    </w:rPr>
  </w:style>
  <w:style w:type="character" w:customStyle="1" w:styleId="350">
    <w:name w:val="Heading 4 Char1"/>
    <w:qFormat/>
    <w:locked/>
    <w:uiPriority w:val="9"/>
    <w:rPr>
      <w:rFonts w:ascii="Arial" w:hAnsi="Arial"/>
      <w:b/>
      <w:lang w:val="en-GB"/>
    </w:rPr>
  </w:style>
  <w:style w:type="character" w:customStyle="1" w:styleId="351">
    <w:name w:val="Heading 5 Char1"/>
    <w:semiHidden/>
    <w:qFormat/>
    <w:uiPriority w:val="9"/>
    <w:rPr>
      <w:rFonts w:ascii="Cambria" w:hAnsi="Cambria" w:eastAsia="Times New Roman" w:cs="Times New Roman"/>
      <w:color w:val="243F60"/>
      <w:sz w:val="22"/>
      <w:szCs w:val="22"/>
    </w:rPr>
  </w:style>
  <w:style w:type="character" w:customStyle="1" w:styleId="352">
    <w:name w:val="Heading 6 Char1"/>
    <w:semiHidden/>
    <w:qFormat/>
    <w:uiPriority w:val="9"/>
    <w:rPr>
      <w:rFonts w:ascii="Cambria" w:hAnsi="Cambria" w:eastAsia="Times New Roman" w:cs="Times New Roman"/>
      <w:i/>
      <w:iCs/>
      <w:color w:val="243F60"/>
      <w:sz w:val="22"/>
      <w:szCs w:val="22"/>
    </w:rPr>
  </w:style>
  <w:style w:type="character" w:customStyle="1" w:styleId="353">
    <w:name w:val="Heading 9 Char1"/>
    <w:semiHidden/>
    <w:uiPriority w:val="9"/>
    <w:rPr>
      <w:rFonts w:ascii="Cambria" w:hAnsi="Cambria" w:eastAsia="Times New Roman" w:cs="Times New Roman"/>
      <w:i/>
      <w:iCs/>
      <w:color w:val="404040"/>
    </w:rPr>
  </w:style>
  <w:style w:type="paragraph" w:customStyle="1" w:styleId="354">
    <w:name w:val="Heading Address"/>
    <w:basedOn w:val="1"/>
    <w:uiPriority w:val="99"/>
    <w:pPr>
      <w:spacing w:before="120" w:after="0" w:line="240" w:lineRule="auto"/>
      <w:jc w:val="both"/>
    </w:pPr>
    <w:rPr>
      <w:rFonts w:ascii="Book Antiqua" w:hAnsi="Book Antiqua" w:eastAsia="Times New Roman" w:cstheme="minorHAnsi"/>
      <w:spacing w:val="20"/>
      <w:szCs w:val="20"/>
      <w:lang w:val="fi-FI" w:eastAsia="en-GB"/>
    </w:rPr>
  </w:style>
  <w:style w:type="paragraph" w:customStyle="1" w:styleId="355">
    <w:name w:val="Heading No Number"/>
    <w:basedOn w:val="1"/>
    <w:next w:val="78"/>
    <w:qFormat/>
    <w:uiPriority w:val="99"/>
    <w:pPr>
      <w:pBdr>
        <w:top w:val="single" w:color="auto" w:sz="6" w:space="12"/>
        <w:bottom w:val="single" w:color="auto" w:sz="6" w:space="12"/>
      </w:pBdr>
      <w:spacing w:before="120" w:after="0" w:line="240" w:lineRule="auto"/>
      <w:ind w:left="709"/>
      <w:jc w:val="both"/>
    </w:pPr>
    <w:rPr>
      <w:rFonts w:ascii="Arial" w:hAnsi="Arial" w:eastAsia="Times New Roman" w:cstheme="minorHAnsi"/>
      <w:b/>
      <w:szCs w:val="20"/>
      <w:lang w:val="en-GB" w:eastAsia="en-GB"/>
    </w:rPr>
  </w:style>
  <w:style w:type="paragraph" w:customStyle="1" w:styleId="356">
    <w:name w:val="Heading X"/>
    <w:basedOn w:val="1"/>
    <w:next w:val="1"/>
    <w:qFormat/>
    <w:uiPriority w:val="99"/>
    <w:pPr>
      <w:spacing w:before="120" w:after="60" w:line="255" w:lineRule="exact"/>
      <w:jc w:val="both"/>
    </w:pPr>
    <w:rPr>
      <w:rFonts w:ascii="Arial" w:hAnsi="Arial" w:eastAsia="Times New Roman" w:cstheme="minorHAnsi"/>
      <w:b/>
      <w:sz w:val="18"/>
      <w:szCs w:val="20"/>
      <w:lang w:eastAsia="en-GB"/>
    </w:rPr>
  </w:style>
  <w:style w:type="paragraph" w:customStyle="1" w:styleId="357">
    <w:name w:val="Heading XSingle"/>
    <w:basedOn w:val="356"/>
    <w:next w:val="1"/>
    <w:qFormat/>
    <w:uiPriority w:val="99"/>
  </w:style>
  <w:style w:type="paragraph" w:customStyle="1" w:styleId="358">
    <w:name w:val="heading2"/>
    <w:basedOn w:val="1"/>
    <w:qFormat/>
    <w:uiPriority w:val="99"/>
    <w:pPr>
      <w:spacing w:before="100" w:beforeAutospacing="1" w:after="100" w:afterAutospacing="1" w:line="240" w:lineRule="auto"/>
      <w:jc w:val="both"/>
    </w:pPr>
    <w:rPr>
      <w:rFonts w:ascii="Book Antiqua" w:hAnsi="Book Antiqua" w:eastAsia="Times New Roman" w:cstheme="minorHAnsi"/>
      <w:szCs w:val="24"/>
      <w:lang w:eastAsia="en-GB"/>
    </w:rPr>
  </w:style>
  <w:style w:type="paragraph" w:customStyle="1" w:styleId="359">
    <w:name w:val="Horiz line"/>
    <w:basedOn w:val="78"/>
    <w:next w:val="78"/>
    <w:qFormat/>
    <w:uiPriority w:val="99"/>
    <w:pPr>
      <w:pBdr>
        <w:top w:val="single" w:color="auto" w:sz="6" w:space="1"/>
      </w:pBdr>
      <w:spacing w:before="240" w:line="240" w:lineRule="auto"/>
      <w:ind w:left="709"/>
    </w:pPr>
    <w:rPr>
      <w:rFonts w:ascii="Arial" w:hAnsi="Arial" w:eastAsia="Times New Roman"/>
      <w:sz w:val="20"/>
      <w:szCs w:val="20"/>
    </w:rPr>
  </w:style>
  <w:style w:type="character" w:customStyle="1" w:styleId="360">
    <w:name w:val="Horiz line 1 Char"/>
    <w:link w:val="114"/>
    <w:qFormat/>
    <w:uiPriority w:val="0"/>
    <w:rPr>
      <w:rFonts w:ascii="Arial" w:hAnsi="Arial" w:eastAsia="Times New Roman" w:cstheme="minorHAnsi"/>
      <w:sz w:val="20"/>
      <w:szCs w:val="20"/>
      <w:lang w:val="en-GB" w:eastAsia="en-GB"/>
    </w:rPr>
  </w:style>
  <w:style w:type="paragraph" w:customStyle="1" w:styleId="361">
    <w:name w:val="Revision11"/>
    <w:next w:val="164"/>
    <w:hidden/>
    <w:semiHidden/>
    <w:qFormat/>
    <w:uiPriority w:val="99"/>
    <w:pPr>
      <w:spacing w:before="120" w:line="360" w:lineRule="auto"/>
      <w:jc w:val="both"/>
    </w:pPr>
    <w:rPr>
      <w:rFonts w:ascii="Book Antiqua" w:hAnsi="Book Antiqua" w:eastAsia="Calibri" w:cstheme="minorHAnsi"/>
      <w:sz w:val="22"/>
      <w:szCs w:val="22"/>
      <w:lang w:val="en-US" w:eastAsia="en-US" w:bidi="ar-SA"/>
    </w:rPr>
  </w:style>
  <w:style w:type="paragraph" w:customStyle="1" w:styleId="362">
    <w:name w:val="hsg"/>
    <w:basedOn w:val="1"/>
    <w:uiPriority w:val="99"/>
    <w:pPr>
      <w:spacing w:before="100" w:beforeAutospacing="1" w:after="100" w:afterAutospacing="1" w:line="240" w:lineRule="auto"/>
      <w:jc w:val="both"/>
    </w:pPr>
    <w:rPr>
      <w:rFonts w:ascii="Book Antiqua" w:hAnsi="Book Antiqua" w:eastAsia="Times New Roman" w:cstheme="minorHAnsi"/>
      <w:szCs w:val="24"/>
      <w:lang w:eastAsia="en-GB"/>
    </w:rPr>
  </w:style>
  <w:style w:type="character" w:customStyle="1" w:styleId="363">
    <w:name w:val="HTML Address Char"/>
    <w:basedOn w:val="11"/>
    <w:link w:val="42"/>
    <w:qFormat/>
    <w:uiPriority w:val="0"/>
    <w:rPr>
      <w:rFonts w:ascii="Arial" w:hAnsi="Arial" w:eastAsia="Times New Roman" w:cstheme="minorHAnsi"/>
      <w:i/>
      <w:iCs/>
      <w:sz w:val="18"/>
      <w:szCs w:val="20"/>
      <w:lang w:val="en-GB" w:eastAsia="en-GB"/>
    </w:rPr>
  </w:style>
  <w:style w:type="character" w:customStyle="1" w:styleId="364">
    <w:name w:val="HTML Preformatted Char"/>
    <w:basedOn w:val="11"/>
    <w:link w:val="43"/>
    <w:uiPriority w:val="0"/>
    <w:rPr>
      <w:rFonts w:ascii="Courier New" w:hAnsi="Courier New" w:eastAsia="SimSun" w:cstheme="minorHAnsi"/>
      <w:sz w:val="20"/>
      <w:szCs w:val="20"/>
      <w:lang w:val="en-GB" w:eastAsia="zh-CN"/>
    </w:rPr>
  </w:style>
  <w:style w:type="character" w:customStyle="1" w:styleId="365">
    <w:name w:val="Hyperlink1"/>
    <w:unhideWhenUsed/>
    <w:qFormat/>
    <w:uiPriority w:val="99"/>
    <w:rPr>
      <w:color w:val="0000FF"/>
      <w:u w:val="single"/>
    </w:rPr>
  </w:style>
  <w:style w:type="paragraph" w:styleId="366">
    <w:name w:val="Intense Quote"/>
    <w:basedOn w:val="1"/>
    <w:next w:val="1"/>
    <w:link w:val="367"/>
    <w:qFormat/>
    <w:uiPriority w:val="30"/>
    <w:pPr>
      <w:pBdr>
        <w:bottom w:val="single" w:color="4F81BD" w:sz="4" w:space="4"/>
      </w:pBdr>
      <w:spacing w:before="200" w:after="280" w:line="255" w:lineRule="exact"/>
      <w:ind w:left="936" w:right="936"/>
      <w:jc w:val="both"/>
    </w:pPr>
    <w:rPr>
      <w:rFonts w:ascii="Arial" w:hAnsi="Arial" w:eastAsia="Times New Roman" w:cstheme="minorHAnsi"/>
      <w:b/>
      <w:bCs/>
      <w:i/>
      <w:iCs/>
      <w:color w:val="4F81BD"/>
      <w:sz w:val="18"/>
      <w:szCs w:val="20"/>
      <w:lang w:val="en-GB" w:eastAsia="en-GB"/>
    </w:rPr>
  </w:style>
  <w:style w:type="character" w:customStyle="1" w:styleId="367">
    <w:name w:val="Intense Quote Char"/>
    <w:basedOn w:val="11"/>
    <w:link w:val="366"/>
    <w:uiPriority w:val="30"/>
    <w:rPr>
      <w:rFonts w:ascii="Arial" w:hAnsi="Arial" w:eastAsia="Times New Roman" w:cstheme="minorHAnsi"/>
      <w:b/>
      <w:bCs/>
      <w:i/>
      <w:iCs/>
      <w:color w:val="4F81BD"/>
      <w:sz w:val="18"/>
      <w:szCs w:val="20"/>
      <w:lang w:val="en-GB" w:eastAsia="en-GB"/>
    </w:rPr>
  </w:style>
  <w:style w:type="paragraph" w:customStyle="1" w:styleId="368">
    <w:name w:val="jump_link"/>
    <w:basedOn w:val="1"/>
    <w:qFormat/>
    <w:uiPriority w:val="99"/>
    <w:pPr>
      <w:spacing w:before="100" w:beforeAutospacing="1" w:after="100" w:afterAutospacing="1" w:line="240" w:lineRule="auto"/>
      <w:jc w:val="both"/>
    </w:pPr>
    <w:rPr>
      <w:rFonts w:ascii="Arial" w:hAnsi="Arial" w:eastAsia="Times New Roman" w:cs="Arial"/>
      <w:b/>
      <w:bCs/>
      <w:color w:val="333399"/>
      <w:szCs w:val="24"/>
      <w:lang w:eastAsia="en-GB"/>
    </w:rPr>
  </w:style>
  <w:style w:type="character" w:customStyle="1" w:styleId="369">
    <w:name w:val="Legal 1"/>
    <w:basedOn w:val="11"/>
    <w:qFormat/>
    <w:uiPriority w:val="0"/>
  </w:style>
  <w:style w:type="table" w:customStyle="1" w:styleId="370">
    <w:name w:val="Light Shading - Accent 41"/>
    <w:basedOn w:val="12"/>
    <w:qFormat/>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71">
    <w:name w:val="Light Shading - Accent 411"/>
    <w:basedOn w:val="12"/>
    <w:qFormat/>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72">
    <w:name w:val="Light Shading - Accent 4111"/>
    <w:basedOn w:val="12"/>
    <w:qFormat/>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73">
    <w:name w:val="Light Shading - Accent 412"/>
    <w:basedOn w:val="12"/>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74">
    <w:name w:val="Light Shading - Accent 42"/>
    <w:basedOn w:val="12"/>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75">
    <w:name w:val="Light Shading - Accent 421"/>
    <w:basedOn w:val="12"/>
    <w:qFormat/>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76">
    <w:name w:val="Light Shading - Accent 4211"/>
    <w:basedOn w:val="12"/>
    <w:qFormat/>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77">
    <w:name w:val="Light Shading - Accent 422"/>
    <w:basedOn w:val="12"/>
    <w:qFormat/>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78">
    <w:name w:val="Light Shading - Accent 43"/>
    <w:basedOn w:val="12"/>
    <w:qFormat/>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79">
    <w:name w:val="Light Shading - Accent 431"/>
    <w:basedOn w:val="12"/>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table" w:customStyle="1" w:styleId="380">
    <w:name w:val="Light Shading - Accent 44"/>
    <w:basedOn w:val="12"/>
    <w:qFormat/>
    <w:uiPriority w:val="60"/>
    <w:pPr>
      <w:spacing w:before="120" w:line="360" w:lineRule="auto"/>
      <w:jc w:val="both"/>
    </w:pPr>
    <w:rPr>
      <w:rFonts w:ascii="Times New Roman" w:hAnsi="Times New Roman" w:eastAsia="Times New Roman" w:cstheme="minorHAnsi"/>
      <w:color w:val="5F497A"/>
      <w:szCs w:val="24"/>
      <w:lang w:val="en-GB" w:eastAsia="en-GB"/>
    </w:rPr>
    <w:tblPr>
      <w:tblBorders>
        <w:top w:val="single" w:color="8064A2" w:sz="8" w:space="0"/>
        <w:bottom w:val="single" w:color="8064A2" w:sz="8" w:space="0"/>
      </w:tblBorders>
    </w:tblPr>
    <w:tblStylePr w:type="fir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lastRow">
      <w:pPr>
        <w:spacing w:before="0" w:after="0" w:line="240" w:lineRule="auto"/>
      </w:pPr>
      <w:rPr>
        <w:b/>
        <w:bCs/>
      </w:rPr>
      <w:tcPr>
        <w:tcBorders>
          <w:top w:val="single" w:color="8064A2" w:sz="8" w:space="0"/>
          <w:left w:val="nil"/>
          <w:bottom w:val="single" w:color="8064A2" w:sz="8" w:space="0"/>
          <w:right w:val="nil"/>
          <w:insideH w:val="nil"/>
          <w:insideV w:val="nil"/>
        </w:tcBorders>
      </w:tcPr>
    </w:tblStylePr>
    <w:tblStylePr w:type="firstCol">
      <w:rPr>
        <w:b/>
        <w:bCs/>
      </w:rPr>
    </w:tblStylePr>
    <w:tblStylePr w:type="lastCol">
      <w:rPr>
        <w:b/>
        <w:bCs/>
      </w:rPr>
    </w:tblStylePr>
    <w:tblStylePr w:type="band1Vert">
      <w:tcPr>
        <w:tcBorders>
          <w:left w:val="nil"/>
          <w:right w:val="nil"/>
          <w:insideH w:val="nil"/>
          <w:insideV w:val="nil"/>
        </w:tcBorders>
        <w:shd w:val="clear" w:color="auto" w:fill="DFD8E8"/>
      </w:tcPr>
    </w:tblStylePr>
    <w:tblStylePr w:type="band1Horz">
      <w:tcPr>
        <w:tcBorders>
          <w:left w:val="nil"/>
          <w:right w:val="nil"/>
          <w:insideH w:val="nil"/>
          <w:insideV w:val="nil"/>
        </w:tcBorders>
        <w:shd w:val="clear" w:color="auto" w:fill="DFD8E8"/>
      </w:tcPr>
    </w:tblStylePr>
  </w:style>
  <w:style w:type="paragraph" w:customStyle="1" w:styleId="381">
    <w:name w:val="List Paragraph11"/>
    <w:basedOn w:val="1"/>
    <w:next w:val="115"/>
    <w:qFormat/>
    <w:uiPriority w:val="34"/>
    <w:pPr>
      <w:spacing w:before="120" w:after="200" w:line="276" w:lineRule="auto"/>
      <w:ind w:left="720"/>
      <w:contextualSpacing/>
      <w:jc w:val="both"/>
    </w:pPr>
    <w:rPr>
      <w:rFonts w:ascii="Calibri" w:hAnsi="Calibri" w:eastAsia="Calibri" w:cstheme="minorHAnsi"/>
      <w:szCs w:val="24"/>
      <w:lang w:eastAsia="en-GB"/>
    </w:rPr>
  </w:style>
  <w:style w:type="table" w:customStyle="1" w:styleId="382">
    <w:name w:val="List Table 1 Light - Accent 11"/>
    <w:basedOn w:val="12"/>
    <w:qFormat/>
    <w:uiPriority w:val="46"/>
    <w:pPr>
      <w:spacing w:before="120" w:line="360" w:lineRule="auto"/>
      <w:jc w:val="both"/>
    </w:pPr>
    <w:rPr>
      <w:rFonts w:ascii="Book Antiqua" w:hAnsi="Book Antiqua" w:eastAsia="Calibri" w:cstheme="minorHAnsi"/>
      <w:lang w:val="en-GB" w:eastAsia="en-GB"/>
    </w:rPr>
    <w:tblStylePr w:type="firstRow">
      <w:rPr>
        <w:b/>
        <w:bCs/>
      </w:rPr>
      <w:tcPr>
        <w:tcBorders>
          <w:bottom w:val="single" w:color="95B3D7" w:sz="4" w:space="0"/>
        </w:tcBorders>
      </w:tcPr>
    </w:tblStylePr>
    <w:tblStylePr w:type="lastRow">
      <w:rPr>
        <w:b/>
        <w:bCs/>
      </w:rPr>
      <w:tcPr>
        <w:tcBorders>
          <w:top w:val="sing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table" w:customStyle="1" w:styleId="383">
    <w:name w:val="List Table 1 Light - Accent 111"/>
    <w:basedOn w:val="12"/>
    <w:qFormat/>
    <w:uiPriority w:val="46"/>
    <w:pPr>
      <w:spacing w:before="120" w:line="360" w:lineRule="auto"/>
      <w:jc w:val="both"/>
    </w:pPr>
    <w:rPr>
      <w:rFonts w:ascii="Book Antiqua" w:hAnsi="Book Antiqua" w:eastAsia="Calibri" w:cstheme="minorHAnsi"/>
      <w:lang w:val="en-GB" w:eastAsia="en-GB"/>
    </w:rPr>
    <w:tblStylePr w:type="firstRow">
      <w:rPr>
        <w:b/>
        <w:bCs/>
      </w:rPr>
      <w:tcPr>
        <w:tcBorders>
          <w:bottom w:val="single" w:color="95B3D7" w:sz="4" w:space="0"/>
        </w:tcBorders>
      </w:tcPr>
    </w:tblStylePr>
    <w:tblStylePr w:type="lastRow">
      <w:rPr>
        <w:b/>
        <w:bCs/>
      </w:rPr>
      <w:tcPr>
        <w:tcBorders>
          <w:top w:val="sing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table" w:customStyle="1" w:styleId="384">
    <w:name w:val="List Table 1 Light - Accent 1111"/>
    <w:basedOn w:val="12"/>
    <w:qFormat/>
    <w:uiPriority w:val="46"/>
    <w:pPr>
      <w:spacing w:before="120" w:line="360" w:lineRule="auto"/>
      <w:jc w:val="both"/>
    </w:pPr>
    <w:rPr>
      <w:rFonts w:ascii="Book Antiqua" w:hAnsi="Book Antiqua" w:eastAsia="Calibri" w:cstheme="minorHAnsi"/>
      <w:lang w:val="en-GB" w:eastAsia="en-GB"/>
    </w:rPr>
    <w:tblStylePr w:type="firstRow">
      <w:rPr>
        <w:b/>
        <w:bCs/>
      </w:rPr>
      <w:tcPr>
        <w:tcBorders>
          <w:bottom w:val="single" w:color="95B3D7" w:sz="4" w:space="0"/>
        </w:tcBorders>
      </w:tcPr>
    </w:tblStylePr>
    <w:tblStylePr w:type="lastRow">
      <w:rPr>
        <w:b/>
        <w:bCs/>
      </w:rPr>
      <w:tcPr>
        <w:tcBorders>
          <w:top w:val="sing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table" w:customStyle="1" w:styleId="385">
    <w:name w:val="List Table 1 Light - Accent 11111"/>
    <w:basedOn w:val="12"/>
    <w:qFormat/>
    <w:uiPriority w:val="46"/>
    <w:pPr>
      <w:spacing w:before="120" w:line="360" w:lineRule="auto"/>
      <w:jc w:val="both"/>
    </w:pPr>
    <w:rPr>
      <w:rFonts w:ascii="Book Antiqua" w:hAnsi="Book Antiqua" w:eastAsia="Calibri" w:cstheme="minorHAnsi"/>
      <w:lang w:val="en-GB" w:eastAsia="en-GB"/>
    </w:rPr>
    <w:tblStylePr w:type="firstRow">
      <w:rPr>
        <w:b/>
        <w:bCs/>
      </w:rPr>
      <w:tcPr>
        <w:tcBorders>
          <w:bottom w:val="single" w:color="95B3D7" w:sz="4" w:space="0"/>
        </w:tcBorders>
      </w:tcPr>
    </w:tblStylePr>
    <w:tblStylePr w:type="lastRow">
      <w:rPr>
        <w:b/>
        <w:bCs/>
      </w:rPr>
      <w:tcPr>
        <w:tcBorders>
          <w:top w:val="sing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table" w:customStyle="1" w:styleId="386">
    <w:name w:val="List Table 1 Light - Accent 1112"/>
    <w:basedOn w:val="12"/>
    <w:uiPriority w:val="46"/>
    <w:pPr>
      <w:spacing w:before="120" w:line="360" w:lineRule="auto"/>
      <w:jc w:val="both"/>
    </w:pPr>
    <w:rPr>
      <w:rFonts w:ascii="Book Antiqua" w:hAnsi="Book Antiqua" w:eastAsia="Calibri" w:cstheme="minorHAnsi"/>
      <w:lang w:val="en-GB" w:eastAsia="en-GB"/>
    </w:rPr>
    <w:tblStylePr w:type="firstRow">
      <w:rPr>
        <w:b/>
        <w:bCs/>
      </w:rPr>
      <w:tcPr>
        <w:tcBorders>
          <w:bottom w:val="single" w:color="95B3D7" w:sz="4" w:space="0"/>
        </w:tcBorders>
      </w:tcPr>
    </w:tblStylePr>
    <w:tblStylePr w:type="lastRow">
      <w:rPr>
        <w:b/>
        <w:bCs/>
      </w:rPr>
      <w:tcPr>
        <w:tcBorders>
          <w:top w:val="sing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table" w:customStyle="1" w:styleId="387">
    <w:name w:val="List Table 1 Light - Accent 112"/>
    <w:basedOn w:val="12"/>
    <w:uiPriority w:val="46"/>
    <w:pPr>
      <w:spacing w:before="120" w:line="360" w:lineRule="auto"/>
      <w:jc w:val="both"/>
    </w:pPr>
    <w:rPr>
      <w:rFonts w:ascii="Book Antiqua" w:hAnsi="Book Antiqua" w:eastAsia="Calibri" w:cstheme="minorHAnsi"/>
      <w:lang w:val="en-GB" w:eastAsia="en-GB"/>
    </w:rPr>
    <w:tblStylePr w:type="firstRow">
      <w:rPr>
        <w:b/>
        <w:bCs/>
      </w:rPr>
      <w:tcPr>
        <w:tcBorders>
          <w:bottom w:val="single" w:color="95B3D7" w:sz="4" w:space="0"/>
        </w:tcBorders>
      </w:tcPr>
    </w:tblStylePr>
    <w:tblStylePr w:type="lastRow">
      <w:rPr>
        <w:b/>
        <w:bCs/>
      </w:rPr>
      <w:tcPr>
        <w:tcBorders>
          <w:top w:val="sing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table" w:customStyle="1" w:styleId="388">
    <w:name w:val="List Table 1 Light - Accent 1121"/>
    <w:basedOn w:val="12"/>
    <w:uiPriority w:val="46"/>
    <w:pPr>
      <w:spacing w:before="120" w:line="360" w:lineRule="auto"/>
      <w:jc w:val="both"/>
    </w:pPr>
    <w:rPr>
      <w:rFonts w:ascii="Book Antiqua" w:hAnsi="Book Antiqua" w:eastAsia="Calibri" w:cstheme="minorHAnsi"/>
      <w:lang w:val="en-GB" w:eastAsia="en-GB"/>
    </w:rPr>
    <w:tblStylePr w:type="firstRow">
      <w:rPr>
        <w:b/>
        <w:bCs/>
      </w:rPr>
      <w:tcPr>
        <w:tcBorders>
          <w:bottom w:val="single" w:color="95B3D7" w:sz="4" w:space="0"/>
        </w:tcBorders>
      </w:tcPr>
    </w:tblStylePr>
    <w:tblStylePr w:type="lastRow">
      <w:rPr>
        <w:b/>
        <w:bCs/>
      </w:rPr>
      <w:tcPr>
        <w:tcBorders>
          <w:top w:val="sing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table" w:customStyle="1" w:styleId="389">
    <w:name w:val="List Table 1 Light - Accent 113"/>
    <w:basedOn w:val="12"/>
    <w:qFormat/>
    <w:uiPriority w:val="46"/>
    <w:pPr>
      <w:spacing w:before="120" w:line="360" w:lineRule="auto"/>
      <w:jc w:val="both"/>
    </w:pPr>
    <w:rPr>
      <w:rFonts w:ascii="Book Antiqua" w:hAnsi="Book Antiqua" w:eastAsia="Calibri" w:cstheme="minorHAnsi"/>
      <w:lang w:val="en-GB" w:eastAsia="en-GB"/>
    </w:rPr>
    <w:tblStylePr w:type="firstRow">
      <w:rPr>
        <w:b/>
        <w:bCs/>
      </w:rPr>
      <w:tcPr>
        <w:tcBorders>
          <w:bottom w:val="single" w:color="95B3D7" w:sz="4" w:space="0"/>
        </w:tcBorders>
      </w:tcPr>
    </w:tblStylePr>
    <w:tblStylePr w:type="lastRow">
      <w:rPr>
        <w:b/>
        <w:bCs/>
      </w:rPr>
      <w:tcPr>
        <w:tcBorders>
          <w:top w:val="single" w:color="95B3D7" w:sz="4" w:space="0"/>
        </w:tcBorders>
      </w:tcPr>
    </w:tblStylePr>
    <w:tblStylePr w:type="firstCol">
      <w:rPr>
        <w:b/>
        <w:bCs/>
      </w:rPr>
    </w:tblStylePr>
    <w:tblStylePr w:type="lastCol">
      <w:rPr>
        <w:b/>
        <w:bCs/>
      </w:rPr>
    </w:tblStylePr>
    <w:tblStylePr w:type="band1Vert">
      <w:tcPr>
        <w:shd w:val="clear" w:color="auto" w:fill="DBE5F1"/>
      </w:tcPr>
    </w:tblStylePr>
    <w:tblStylePr w:type="band1Horz">
      <w:tcPr>
        <w:shd w:val="clear" w:color="auto" w:fill="DBE5F1"/>
      </w:tcPr>
    </w:tblStylePr>
  </w:style>
  <w:style w:type="paragraph" w:customStyle="1" w:styleId="390">
    <w:name w:val="m_-5653010623540569967gmail-m_-84728714497741251msoplaintext"/>
    <w:basedOn w:val="1"/>
    <w:uiPriority w:val="99"/>
    <w:pPr>
      <w:spacing w:before="100" w:beforeAutospacing="1" w:after="100" w:afterAutospacing="1" w:line="240" w:lineRule="auto"/>
      <w:jc w:val="both"/>
    </w:pPr>
    <w:rPr>
      <w:rFonts w:ascii="Book Antiqua" w:hAnsi="Book Antiqua" w:eastAsia="Times New Roman" w:cstheme="minorHAnsi"/>
      <w:szCs w:val="24"/>
      <w:lang w:eastAsia="en-GB"/>
    </w:rPr>
  </w:style>
  <w:style w:type="character" w:customStyle="1" w:styleId="391">
    <w:name w:val="Macro Text Char"/>
    <w:basedOn w:val="11"/>
    <w:link w:val="75"/>
    <w:qFormat/>
    <w:uiPriority w:val="99"/>
    <w:rPr>
      <w:rFonts w:ascii="Courier New" w:hAnsi="Courier New" w:eastAsia="Times New Roman" w:cstheme="minorHAnsi"/>
      <w:szCs w:val="24"/>
      <w:lang w:val="en-GB"/>
    </w:rPr>
  </w:style>
  <w:style w:type="paragraph" w:customStyle="1" w:styleId="392">
    <w:name w:val="Medium Grid 1 - Accent 21"/>
    <w:basedOn w:val="1"/>
    <w:qFormat/>
    <w:uiPriority w:val="34"/>
    <w:pPr>
      <w:spacing w:before="120" w:after="0" w:line="240" w:lineRule="auto"/>
      <w:ind w:left="720"/>
      <w:jc w:val="both"/>
    </w:pPr>
    <w:rPr>
      <w:rFonts w:ascii="Book Antiqua" w:hAnsi="Book Antiqua" w:eastAsia="Times New Roman" w:cstheme="minorHAnsi"/>
      <w:szCs w:val="24"/>
      <w:lang w:eastAsia="en-GB"/>
    </w:rPr>
  </w:style>
  <w:style w:type="table" w:customStyle="1" w:styleId="393">
    <w:name w:val="Medium Grid 21"/>
    <w:basedOn w:val="12"/>
    <w:semiHidden/>
    <w:unhideWhenUsed/>
    <w:qFormat/>
    <w:uiPriority w:val="1"/>
    <w:pPr>
      <w:spacing w:before="120" w:line="360" w:lineRule="auto"/>
      <w:jc w:val="both"/>
    </w:pPr>
    <w:rPr>
      <w:rFonts w:ascii="Times New Roman" w:hAnsi="Times New Roman" w:eastAsia="Times New Roman" w:cs="Times New Roman"/>
      <w:color w:val="000000"/>
      <w:spacing w:val="5"/>
      <w:szCs w:val="26"/>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character" w:customStyle="1" w:styleId="394">
    <w:name w:val="Medium Grid 2 Char"/>
    <w:semiHidden/>
    <w:qFormat/>
    <w:uiPriority w:val="1"/>
    <w:rPr>
      <w:rFonts w:ascii="Times New Roman" w:hAnsi="Times New Roman" w:eastAsia="Times New Roman" w:cs="Times New Roman"/>
      <w:color w:val="000000"/>
      <w:spacing w:val="5"/>
      <w:szCs w:val="26"/>
      <w:lang w:bidi="ar-SA"/>
    </w:rPr>
  </w:style>
  <w:style w:type="table" w:customStyle="1" w:styleId="395">
    <w:name w:val="Medium Grid 213"/>
    <w:basedOn w:val="12"/>
    <w:unhideWhenUsed/>
    <w:uiPriority w:val="1"/>
    <w:pPr>
      <w:spacing w:before="120" w:line="360" w:lineRule="auto"/>
      <w:jc w:val="both"/>
    </w:pPr>
    <w:rPr>
      <w:rFonts w:ascii="Times New Roman" w:hAnsi="Times New Roman" w:eastAsia="Times New Roman" w:cstheme="minorHAnsi"/>
      <w:color w:val="000000"/>
      <w:spacing w:val="5"/>
      <w:sz w:val="24"/>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396">
    <w:name w:val="Medium Grid 211"/>
    <w:basedOn w:val="12"/>
    <w:semiHidden/>
    <w:unhideWhenUsed/>
    <w:qFormat/>
    <w:uiPriority w:val="1"/>
    <w:pPr>
      <w:spacing w:before="120" w:line="360" w:lineRule="auto"/>
      <w:jc w:val="both"/>
    </w:pPr>
    <w:rPr>
      <w:rFonts w:ascii="Times New Roman" w:hAnsi="Times New Roman" w:eastAsia="Times New Roman" w:cstheme="minorHAnsi"/>
      <w:color w:val="000000"/>
      <w:spacing w:val="5"/>
      <w:sz w:val="24"/>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397">
    <w:name w:val="Medium Grid 2111"/>
    <w:basedOn w:val="12"/>
    <w:semiHidden/>
    <w:unhideWhenUsed/>
    <w:uiPriority w:val="1"/>
    <w:pPr>
      <w:spacing w:before="120" w:line="360" w:lineRule="auto"/>
      <w:jc w:val="both"/>
    </w:pPr>
    <w:rPr>
      <w:rFonts w:ascii="Times New Roman" w:hAnsi="Times New Roman" w:eastAsia="Times New Roman" w:cstheme="minorHAnsi"/>
      <w:color w:val="000000"/>
      <w:spacing w:val="5"/>
      <w:sz w:val="24"/>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398">
    <w:name w:val="Medium Grid 212"/>
    <w:basedOn w:val="12"/>
    <w:unhideWhenUsed/>
    <w:qFormat/>
    <w:uiPriority w:val="1"/>
    <w:pPr>
      <w:spacing w:before="120" w:line="360" w:lineRule="auto"/>
      <w:jc w:val="both"/>
    </w:pPr>
    <w:rPr>
      <w:rFonts w:ascii="Times New Roman" w:hAnsi="Times New Roman" w:eastAsia="Times New Roman" w:cstheme="minorHAnsi"/>
      <w:color w:val="000000"/>
      <w:spacing w:val="5"/>
      <w:sz w:val="24"/>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399">
    <w:name w:val="Medium Grid 22"/>
    <w:basedOn w:val="12"/>
    <w:semiHidden/>
    <w:unhideWhenUsed/>
    <w:uiPriority w:val="1"/>
    <w:pPr>
      <w:spacing w:before="120" w:line="360" w:lineRule="auto"/>
      <w:jc w:val="both"/>
    </w:pPr>
    <w:rPr>
      <w:rFonts w:ascii="Times New Roman" w:hAnsi="Times New Roman" w:eastAsia="Times New Roman" w:cstheme="minorHAnsi"/>
      <w:color w:val="000000"/>
      <w:spacing w:val="5"/>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400">
    <w:name w:val="Medium Grid 221"/>
    <w:basedOn w:val="12"/>
    <w:unhideWhenUsed/>
    <w:uiPriority w:val="1"/>
    <w:pPr>
      <w:spacing w:before="120" w:line="360" w:lineRule="auto"/>
      <w:jc w:val="both"/>
    </w:pPr>
    <w:rPr>
      <w:rFonts w:ascii="Times New Roman" w:hAnsi="Times New Roman" w:eastAsia="Times New Roman" w:cstheme="minorHAnsi"/>
      <w:color w:val="000000"/>
      <w:spacing w:val="5"/>
      <w:sz w:val="24"/>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401">
    <w:name w:val="Medium Grid 2211"/>
    <w:basedOn w:val="12"/>
    <w:unhideWhenUsed/>
    <w:qFormat/>
    <w:uiPriority w:val="1"/>
    <w:pPr>
      <w:spacing w:before="120" w:line="360" w:lineRule="auto"/>
      <w:jc w:val="both"/>
    </w:pPr>
    <w:rPr>
      <w:rFonts w:ascii="Times New Roman" w:hAnsi="Times New Roman" w:eastAsia="Times New Roman" w:cstheme="minorHAnsi"/>
      <w:color w:val="000000"/>
      <w:spacing w:val="5"/>
      <w:sz w:val="24"/>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402">
    <w:name w:val="Medium Grid 222"/>
    <w:basedOn w:val="12"/>
    <w:semiHidden/>
    <w:unhideWhenUsed/>
    <w:qFormat/>
    <w:uiPriority w:val="1"/>
    <w:pPr>
      <w:spacing w:before="120" w:line="360" w:lineRule="auto"/>
      <w:jc w:val="both"/>
    </w:pPr>
    <w:rPr>
      <w:rFonts w:ascii="Times New Roman" w:hAnsi="Times New Roman" w:eastAsia="Times New Roman" w:cstheme="minorHAnsi"/>
      <w:color w:val="000000"/>
      <w:spacing w:val="5"/>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403">
    <w:name w:val="Medium Grid 23"/>
    <w:basedOn w:val="12"/>
    <w:semiHidden/>
    <w:unhideWhenUsed/>
    <w:uiPriority w:val="1"/>
    <w:pPr>
      <w:spacing w:before="120" w:line="360" w:lineRule="auto"/>
      <w:jc w:val="both"/>
    </w:pPr>
    <w:rPr>
      <w:rFonts w:ascii="Times New Roman" w:hAnsi="Times New Roman" w:eastAsia="Times New Roman" w:cstheme="minorHAnsi"/>
      <w:color w:val="000000"/>
      <w:spacing w:val="5"/>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404">
    <w:name w:val="Medium Grid 231"/>
    <w:basedOn w:val="12"/>
    <w:semiHidden/>
    <w:unhideWhenUsed/>
    <w:qFormat/>
    <w:uiPriority w:val="1"/>
    <w:pPr>
      <w:spacing w:before="120" w:line="360" w:lineRule="auto"/>
      <w:jc w:val="both"/>
    </w:pPr>
    <w:rPr>
      <w:rFonts w:ascii="Times New Roman" w:hAnsi="Times New Roman" w:eastAsia="Times New Roman" w:cstheme="minorHAnsi"/>
      <w:color w:val="000000"/>
      <w:spacing w:val="5"/>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405">
    <w:name w:val="Medium Grid 24"/>
    <w:basedOn w:val="12"/>
    <w:unhideWhenUsed/>
    <w:uiPriority w:val="1"/>
    <w:pPr>
      <w:spacing w:before="120" w:line="360" w:lineRule="auto"/>
      <w:jc w:val="both"/>
    </w:pPr>
    <w:rPr>
      <w:rFonts w:ascii="Times New Roman" w:hAnsi="Times New Roman" w:eastAsia="Times New Roman" w:cstheme="minorHAnsi"/>
      <w:color w:val="000000"/>
      <w:spacing w:val="5"/>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406">
    <w:name w:val="Medium Grid 241"/>
    <w:basedOn w:val="12"/>
    <w:unhideWhenUsed/>
    <w:uiPriority w:val="1"/>
    <w:pPr>
      <w:spacing w:before="120" w:line="360" w:lineRule="auto"/>
      <w:jc w:val="both"/>
    </w:pPr>
    <w:rPr>
      <w:rFonts w:ascii="Times New Roman" w:hAnsi="Times New Roman" w:eastAsia="Times New Roman" w:cstheme="minorHAnsi"/>
      <w:color w:val="000000"/>
      <w:spacing w:val="5"/>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table" w:customStyle="1" w:styleId="407">
    <w:name w:val="Medium Grid 25"/>
    <w:basedOn w:val="12"/>
    <w:semiHidden/>
    <w:unhideWhenUsed/>
    <w:qFormat/>
    <w:uiPriority w:val="1"/>
    <w:pPr>
      <w:spacing w:before="120" w:line="360" w:lineRule="auto"/>
      <w:jc w:val="both"/>
    </w:pPr>
    <w:rPr>
      <w:rFonts w:ascii="Times New Roman" w:hAnsi="Times New Roman" w:eastAsia="Times New Roman" w:cstheme="minorHAnsi"/>
      <w:color w:val="000000"/>
      <w:spacing w:val="5"/>
      <w:szCs w:val="26"/>
      <w:lang w:val="en-GB" w:eastAsia="en-GB"/>
    </w:rPr>
    <w:tblPr>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Pr>
    <w:tcPr>
      <w:shd w:val="clear" w:color="auto" w:fill="C0C0C0"/>
    </w:tcPr>
    <w:tblStylePr w:type="firstRow">
      <w:tcPr>
        <w:shd w:val="clear" w:color="auto" w:fill="E6E6E6"/>
      </w:tcPr>
    </w:tblStylePr>
    <w:tblStylePr w:type="lastRow">
      <w:tcPr>
        <w:tcBorders>
          <w:top w:val="single" w:color="000000" w:sz="12" w:space="0"/>
          <w:left w:val="nil"/>
          <w:bottom w:val="nil"/>
          <w:right w:val="nil"/>
          <w:insideH w:val="nil"/>
          <w:insideV w:val="nil"/>
        </w:tcBorders>
        <w:shd w:val="clear" w:color="auto" w:fill="FFFFFF"/>
      </w:tcPr>
    </w:tblStylePr>
    <w:tblStylePr w:type="firstCol">
      <w:tcPr>
        <w:tcBorders>
          <w:top w:val="nil"/>
          <w:left w:val="nil"/>
          <w:bottom w:val="nil"/>
          <w:right w:val="nil"/>
          <w:insideH w:val="nil"/>
          <w:insideV w:val="nil"/>
        </w:tcBorders>
        <w:shd w:val="clear" w:color="auto" w:fill="FFFFFF"/>
      </w:tcPr>
    </w:tblStylePr>
    <w:tblStylePr w:type="lastCol">
      <w:tcPr>
        <w:tcBorders>
          <w:top w:val="nil"/>
          <w:left w:val="nil"/>
          <w:bottom w:val="nil"/>
          <w:right w:val="nil"/>
          <w:insideH w:val="nil"/>
          <w:insideV w:val="nil"/>
        </w:tcBorders>
        <w:shd w:val="clear" w:color="auto" w:fill="CCCCCC"/>
      </w:tcPr>
    </w:tblStylePr>
    <w:tblStylePr w:type="band1Vert">
      <w:tcPr>
        <w:shd w:val="clear" w:color="auto" w:fill="808080"/>
      </w:tcPr>
    </w:tblStylePr>
    <w:tblStylePr w:type="band1Horz">
      <w:tcPr>
        <w:tcBorders>
          <w:insideH w:val="single" w:sz="6" w:space="0"/>
          <w:insideV w:val="single" w:sz="6" w:space="0"/>
        </w:tcBorders>
        <w:shd w:val="clear" w:color="auto" w:fill="808080"/>
      </w:tcPr>
    </w:tblStylePr>
    <w:tblStylePr w:type="nwCell">
      <w:tcPr>
        <w:shd w:val="clear" w:color="auto" w:fill="FFFFFF"/>
      </w:tcPr>
    </w:tblStylePr>
  </w:style>
  <w:style w:type="paragraph" w:customStyle="1" w:styleId="408">
    <w:name w:val="Medium Shading 1 - Accent 11"/>
    <w:link w:val="409"/>
    <w:uiPriority w:val="1"/>
    <w:pPr>
      <w:spacing w:before="120" w:line="360" w:lineRule="auto"/>
      <w:ind w:left="567" w:hanging="567"/>
      <w:jc w:val="both"/>
    </w:pPr>
    <w:rPr>
      <w:rFonts w:ascii="Times New Roman" w:hAnsi="Times New Roman" w:eastAsia="Times New Roman" w:cstheme="minorHAnsi"/>
      <w:color w:val="000000"/>
      <w:spacing w:val="5"/>
      <w:sz w:val="22"/>
      <w:szCs w:val="26"/>
      <w:lang w:val="en-US" w:eastAsia="en-US" w:bidi="ar-SA"/>
    </w:rPr>
  </w:style>
  <w:style w:type="character" w:customStyle="1" w:styleId="409">
    <w:name w:val="Medium Shading 1 - Accent 1 Char"/>
    <w:link w:val="408"/>
    <w:qFormat/>
    <w:uiPriority w:val="1"/>
    <w:rPr>
      <w:rFonts w:ascii="Times New Roman" w:hAnsi="Times New Roman" w:eastAsia="Times New Roman" w:cstheme="minorHAnsi"/>
      <w:color w:val="000000"/>
      <w:spacing w:val="5"/>
      <w:szCs w:val="26"/>
    </w:rPr>
  </w:style>
  <w:style w:type="character" w:customStyle="1" w:styleId="410">
    <w:name w:val="Message Header Char"/>
    <w:basedOn w:val="11"/>
    <w:link w:val="76"/>
    <w:uiPriority w:val="99"/>
    <w:rPr>
      <w:rFonts w:ascii="Book Antiqua" w:hAnsi="Book Antiqua" w:eastAsia="Times New Roman" w:cstheme="minorHAnsi"/>
      <w:szCs w:val="24"/>
      <w:shd w:val="pct20" w:color="auto" w:fill="auto"/>
      <w:lang w:val="en-GB" w:eastAsia="en-GB"/>
    </w:rPr>
  </w:style>
  <w:style w:type="paragraph" w:customStyle="1" w:styleId="411">
    <w:name w:val="New Indent"/>
    <w:basedOn w:val="78"/>
    <w:qFormat/>
    <w:uiPriority w:val="99"/>
    <w:pPr>
      <w:widowControl w:val="0"/>
      <w:spacing w:line="300" w:lineRule="atLeast"/>
      <w:ind w:left="993"/>
    </w:pPr>
    <w:rPr>
      <w:rFonts w:ascii="Arial" w:hAnsi="Arial" w:eastAsia="Times New Roman"/>
    </w:rPr>
  </w:style>
  <w:style w:type="character" w:customStyle="1" w:styleId="412">
    <w:name w:val="nl_content"/>
    <w:basedOn w:val="11"/>
    <w:qFormat/>
    <w:uiPriority w:val="0"/>
  </w:style>
  <w:style w:type="paragraph" w:customStyle="1" w:styleId="413">
    <w:name w:val="No Spacing1"/>
    <w:next w:val="121"/>
    <w:qFormat/>
    <w:uiPriority w:val="1"/>
    <w:pPr>
      <w:spacing w:before="120" w:line="360" w:lineRule="auto"/>
      <w:jc w:val="both"/>
    </w:pPr>
    <w:rPr>
      <w:rFonts w:ascii="Book Antiqua" w:hAnsi="Book Antiqua" w:eastAsia="Times New Roman" w:cstheme="minorHAnsi"/>
      <w:sz w:val="22"/>
      <w:szCs w:val="22"/>
      <w:lang w:val="en-US" w:eastAsia="en-US" w:bidi="ar-SA"/>
    </w:rPr>
  </w:style>
  <w:style w:type="paragraph" w:customStyle="1" w:styleId="414">
    <w:name w:val="Normal Bulleted"/>
    <w:basedOn w:val="1"/>
    <w:uiPriority w:val="99"/>
    <w:pPr>
      <w:numPr>
        <w:ilvl w:val="0"/>
        <w:numId w:val="24"/>
      </w:numPr>
      <w:spacing w:before="120" w:after="0" w:line="264" w:lineRule="exact"/>
      <w:jc w:val="both"/>
    </w:pPr>
    <w:rPr>
      <w:rFonts w:ascii="Book Antiqua" w:hAnsi="Book Antiqua" w:eastAsia="Times New Roman" w:cstheme="minorHAnsi"/>
      <w:szCs w:val="20"/>
      <w:lang w:val="nl-NL" w:eastAsia="en-GB"/>
    </w:rPr>
  </w:style>
  <w:style w:type="paragraph" w:customStyle="1" w:styleId="415">
    <w:name w:val="Normal Dbl Indent"/>
    <w:basedOn w:val="78"/>
    <w:link w:val="416"/>
    <w:qFormat/>
    <w:uiPriority w:val="0"/>
    <w:pPr>
      <w:spacing w:line="240" w:lineRule="auto"/>
      <w:ind w:left="1418"/>
    </w:pPr>
    <w:rPr>
      <w:rFonts w:ascii="Arial" w:hAnsi="Arial" w:eastAsia="Times New Roman"/>
      <w:sz w:val="20"/>
      <w:szCs w:val="20"/>
    </w:rPr>
  </w:style>
  <w:style w:type="character" w:customStyle="1" w:styleId="416">
    <w:name w:val="Normal Dbl Indent Char"/>
    <w:link w:val="415"/>
    <w:uiPriority w:val="0"/>
    <w:rPr>
      <w:rFonts w:ascii="Arial" w:hAnsi="Arial" w:eastAsia="Times New Roman" w:cstheme="minorHAnsi"/>
      <w:sz w:val="20"/>
      <w:szCs w:val="20"/>
      <w:lang w:val="en-GB" w:eastAsia="en-GB"/>
    </w:rPr>
  </w:style>
  <w:style w:type="character" w:customStyle="1" w:styleId="417">
    <w:name w:val="Normal1"/>
    <w:qFormat/>
    <w:uiPriority w:val="0"/>
    <w:rPr>
      <w:sz w:val="24"/>
    </w:rPr>
  </w:style>
  <w:style w:type="paragraph" w:customStyle="1" w:styleId="418">
    <w:name w:val="NormalRow"/>
    <w:basedOn w:val="1"/>
    <w:qFormat/>
    <w:uiPriority w:val="99"/>
    <w:pPr>
      <w:overflowPunct w:val="0"/>
      <w:autoSpaceDE w:val="0"/>
      <w:autoSpaceDN w:val="0"/>
      <w:adjustRightInd w:val="0"/>
      <w:spacing w:before="120" w:after="0" w:line="264" w:lineRule="exact"/>
      <w:jc w:val="both"/>
      <w:textAlignment w:val="baseline"/>
    </w:pPr>
    <w:rPr>
      <w:rFonts w:ascii="Book Antiqua" w:hAnsi="Book Antiqua" w:eastAsia="Times New Roman" w:cstheme="minorHAnsi"/>
      <w:szCs w:val="20"/>
      <w:lang w:val="en-GB" w:eastAsia="en-GB"/>
    </w:rPr>
  </w:style>
  <w:style w:type="paragraph" w:customStyle="1" w:styleId="419">
    <w:name w:val="NormalSingle"/>
    <w:basedOn w:val="1"/>
    <w:next w:val="1"/>
    <w:qFormat/>
    <w:uiPriority w:val="99"/>
    <w:pPr>
      <w:spacing w:before="120" w:after="0" w:line="240" w:lineRule="auto"/>
      <w:jc w:val="both"/>
    </w:pPr>
    <w:rPr>
      <w:rFonts w:ascii="Arial" w:hAnsi="Arial" w:eastAsia="Times New Roman" w:cstheme="minorHAnsi"/>
      <w:sz w:val="18"/>
      <w:szCs w:val="20"/>
      <w:lang w:eastAsia="en-GB"/>
    </w:rPr>
  </w:style>
  <w:style w:type="character" w:customStyle="1" w:styleId="420">
    <w:name w:val="Note Heading Char"/>
    <w:basedOn w:val="11"/>
    <w:link w:val="79"/>
    <w:uiPriority w:val="99"/>
    <w:rPr>
      <w:rFonts w:ascii="Arial" w:hAnsi="Arial" w:eastAsia="Times New Roman" w:cstheme="minorHAnsi"/>
      <w:sz w:val="18"/>
      <w:szCs w:val="20"/>
      <w:lang w:val="en-GB" w:eastAsia="en-GB"/>
    </w:rPr>
  </w:style>
  <w:style w:type="paragraph" w:customStyle="1" w:styleId="421">
    <w:name w:val="Numbered paragraph"/>
    <w:basedOn w:val="1"/>
    <w:qFormat/>
    <w:uiPriority w:val="99"/>
    <w:pPr>
      <w:numPr>
        <w:ilvl w:val="0"/>
        <w:numId w:val="25"/>
      </w:numPr>
      <w:spacing w:before="120" w:after="0" w:line="240" w:lineRule="auto"/>
      <w:jc w:val="both"/>
    </w:pPr>
    <w:rPr>
      <w:rFonts w:ascii="Book Antiqua" w:hAnsi="Book Antiqua" w:eastAsia="Times New Roman" w:cstheme="minorHAnsi"/>
      <w:szCs w:val="24"/>
      <w:lang w:val="en-GB" w:eastAsia="en-GB"/>
    </w:rPr>
  </w:style>
  <w:style w:type="paragraph" w:customStyle="1" w:styleId="422">
    <w:name w:val="Opmaakprofiel"/>
    <w:qFormat/>
    <w:uiPriority w:val="99"/>
    <w:pPr>
      <w:widowControl w:val="0"/>
      <w:autoSpaceDE w:val="0"/>
      <w:autoSpaceDN w:val="0"/>
      <w:adjustRightInd w:val="0"/>
      <w:spacing w:before="120" w:line="360" w:lineRule="auto"/>
      <w:jc w:val="both"/>
    </w:pPr>
    <w:rPr>
      <w:rFonts w:ascii="Times New Roman" w:hAnsi="Times New Roman" w:eastAsia="Times New Roman" w:cstheme="minorHAnsi"/>
      <w:sz w:val="24"/>
      <w:szCs w:val="24"/>
      <w:lang w:val="nl-NL" w:eastAsia="nl-NL" w:bidi="ar-SA"/>
    </w:rPr>
  </w:style>
  <w:style w:type="character" w:customStyle="1" w:styleId="423">
    <w:name w:val="pagetext1"/>
    <w:qFormat/>
    <w:uiPriority w:val="0"/>
    <w:rPr>
      <w:rFonts w:hint="default" w:ascii="Verdana" w:hAnsi="Verdana"/>
      <w:color w:val="000000"/>
      <w:sz w:val="18"/>
      <w:szCs w:val="18"/>
      <w:u w:val="none"/>
    </w:rPr>
  </w:style>
  <w:style w:type="paragraph" w:customStyle="1" w:styleId="424">
    <w:name w:val="PDS Heading 1"/>
    <w:next w:val="1"/>
    <w:qFormat/>
    <w:uiPriority w:val="99"/>
    <w:pPr>
      <w:keepNext/>
      <w:numPr>
        <w:ilvl w:val="0"/>
        <w:numId w:val="26"/>
      </w:numPr>
      <w:spacing w:before="120" w:line="360" w:lineRule="auto"/>
      <w:jc w:val="both"/>
      <w:outlineLvl w:val="0"/>
    </w:pPr>
    <w:rPr>
      <w:rFonts w:ascii="Times New Roman" w:hAnsi="Times New Roman" w:eastAsia="Times New Roman" w:cstheme="minorHAnsi"/>
      <w:b/>
      <w:caps/>
      <w:sz w:val="24"/>
      <w:szCs w:val="24"/>
      <w:lang w:val="en-US" w:eastAsia="en-US" w:bidi="ar-SA"/>
    </w:rPr>
  </w:style>
  <w:style w:type="paragraph" w:customStyle="1" w:styleId="425">
    <w:name w:val="PDS Heading 2"/>
    <w:next w:val="1"/>
    <w:qFormat/>
    <w:uiPriority w:val="99"/>
    <w:pPr>
      <w:keepNext/>
      <w:numPr>
        <w:ilvl w:val="1"/>
        <w:numId w:val="26"/>
      </w:numPr>
      <w:spacing w:before="120" w:line="360" w:lineRule="auto"/>
      <w:jc w:val="both"/>
    </w:pPr>
    <w:rPr>
      <w:rFonts w:ascii="Times New Roman" w:hAnsi="Times New Roman" w:eastAsia="Times New Roman" w:cstheme="minorHAnsi"/>
      <w:b/>
      <w:sz w:val="24"/>
      <w:szCs w:val="24"/>
      <w:lang w:val="en-US" w:eastAsia="en-US" w:bidi="ar-SA"/>
    </w:rPr>
  </w:style>
  <w:style w:type="character" w:customStyle="1" w:styleId="426">
    <w:name w:val="Plain Text Char"/>
    <w:basedOn w:val="11"/>
    <w:link w:val="81"/>
    <w:qFormat/>
    <w:uiPriority w:val="99"/>
    <w:rPr>
      <w:rFonts w:ascii="Courier New" w:hAnsi="Courier New" w:eastAsia="Times New Roman" w:cstheme="minorHAnsi"/>
      <w:sz w:val="20"/>
      <w:szCs w:val="20"/>
      <w:lang w:eastAsia="en-GB"/>
    </w:rPr>
  </w:style>
  <w:style w:type="paragraph" w:styleId="427">
    <w:name w:val="Quote"/>
    <w:basedOn w:val="1"/>
    <w:next w:val="1"/>
    <w:link w:val="428"/>
    <w:qFormat/>
    <w:uiPriority w:val="29"/>
    <w:pPr>
      <w:spacing w:before="120" w:after="0" w:line="255" w:lineRule="exact"/>
      <w:jc w:val="both"/>
    </w:pPr>
    <w:rPr>
      <w:rFonts w:ascii="Arial" w:hAnsi="Arial" w:eastAsia="Times New Roman" w:cstheme="minorHAnsi"/>
      <w:i/>
      <w:iCs/>
      <w:color w:val="000000"/>
      <w:sz w:val="18"/>
      <w:szCs w:val="20"/>
      <w:lang w:val="en-GB" w:eastAsia="en-GB"/>
    </w:rPr>
  </w:style>
  <w:style w:type="character" w:customStyle="1" w:styleId="428">
    <w:name w:val="Quote Char"/>
    <w:basedOn w:val="11"/>
    <w:link w:val="427"/>
    <w:uiPriority w:val="29"/>
    <w:rPr>
      <w:rFonts w:ascii="Arial" w:hAnsi="Arial" w:eastAsia="Times New Roman" w:cstheme="minorHAnsi"/>
      <w:i/>
      <w:iCs/>
      <w:color w:val="000000"/>
      <w:sz w:val="18"/>
      <w:szCs w:val="20"/>
      <w:lang w:val="en-GB" w:eastAsia="en-GB"/>
    </w:rPr>
  </w:style>
  <w:style w:type="paragraph" w:customStyle="1" w:styleId="429">
    <w:name w:val="Rientro"/>
    <w:basedOn w:val="1"/>
    <w:uiPriority w:val="99"/>
    <w:pPr>
      <w:spacing w:before="60" w:after="60" w:line="240" w:lineRule="auto"/>
      <w:ind w:left="851"/>
      <w:jc w:val="both"/>
    </w:pPr>
    <w:rPr>
      <w:rFonts w:ascii="Book Antiqua" w:hAnsi="Book Antiqua" w:eastAsia="Times New Roman" w:cstheme="minorHAnsi"/>
      <w:szCs w:val="20"/>
      <w:lang w:val="en-GB" w:eastAsia="en-GB"/>
    </w:rPr>
  </w:style>
  <w:style w:type="character" w:customStyle="1" w:styleId="430">
    <w:name w:val="Salutation Char"/>
    <w:basedOn w:val="11"/>
    <w:link w:val="82"/>
    <w:qFormat/>
    <w:uiPriority w:val="99"/>
    <w:rPr>
      <w:rFonts w:ascii="Arial" w:hAnsi="Arial" w:eastAsia="Times New Roman" w:cstheme="minorHAnsi"/>
      <w:sz w:val="18"/>
      <w:szCs w:val="20"/>
      <w:lang w:val="en-GB" w:eastAsia="en-GB"/>
    </w:rPr>
  </w:style>
  <w:style w:type="paragraph" w:customStyle="1" w:styleId="431">
    <w:name w:val="SC"/>
    <w:qFormat/>
    <w:uiPriority w:val="99"/>
    <w:pPr>
      <w:widowControl w:val="0"/>
      <w:tabs>
        <w:tab w:val="center" w:pos="2268"/>
        <w:tab w:val="center" w:pos="6804"/>
      </w:tabs>
      <w:spacing w:before="120" w:line="240" w:lineRule="exact"/>
      <w:jc w:val="both"/>
    </w:pPr>
    <w:rPr>
      <w:rFonts w:ascii="Classic" w:hAnsi="Classic" w:eastAsia="Times New Roman" w:cstheme="minorHAnsi"/>
      <w:sz w:val="22"/>
      <w:szCs w:val="24"/>
      <w:lang w:val="fr-FR" w:eastAsia="fr-FR" w:bidi="ar-SA"/>
    </w:rPr>
  </w:style>
  <w:style w:type="paragraph" w:customStyle="1" w:styleId="432">
    <w:name w:val="Section Header"/>
    <w:basedOn w:val="1"/>
    <w:next w:val="1"/>
    <w:uiPriority w:val="99"/>
    <w:pPr>
      <w:keepNext/>
      <w:autoSpaceDE w:val="0"/>
      <w:autoSpaceDN w:val="0"/>
      <w:adjustRightInd w:val="0"/>
      <w:spacing w:before="120" w:after="80" w:line="240" w:lineRule="auto"/>
      <w:jc w:val="both"/>
    </w:pPr>
    <w:rPr>
      <w:rFonts w:ascii="Arial" w:hAnsi="Arial" w:eastAsia="Times New Roman" w:cs="Times"/>
      <w:b/>
      <w:color w:val="000000"/>
      <w:sz w:val="20"/>
      <w:szCs w:val="20"/>
      <w:lang w:eastAsia="en-GB"/>
    </w:rPr>
  </w:style>
  <w:style w:type="paragraph" w:customStyle="1" w:styleId="433">
    <w:name w:val="Section VI header"/>
    <w:basedOn w:val="1"/>
    <w:uiPriority w:val="99"/>
    <w:pPr>
      <w:widowControl w:val="0"/>
      <w:tabs>
        <w:tab w:val="left" w:leader="dot" w:pos="8748"/>
      </w:tabs>
      <w:autoSpaceDE w:val="0"/>
      <w:autoSpaceDN w:val="0"/>
      <w:spacing w:before="120" w:after="240" w:line="240" w:lineRule="auto"/>
      <w:jc w:val="center"/>
    </w:pPr>
    <w:rPr>
      <w:rFonts w:ascii="Book Antiqua" w:hAnsi="Book Antiqua" w:eastAsia="MS Mincho" w:cstheme="minorHAnsi"/>
      <w:b/>
      <w:spacing w:val="-2"/>
      <w:sz w:val="36"/>
      <w:szCs w:val="24"/>
      <w:lang w:eastAsia="en-GB"/>
    </w:rPr>
  </w:style>
  <w:style w:type="character" w:customStyle="1" w:styleId="434">
    <w:name w:val="Signature Char"/>
    <w:basedOn w:val="11"/>
    <w:link w:val="83"/>
    <w:uiPriority w:val="99"/>
    <w:rPr>
      <w:rFonts w:ascii="Arial" w:hAnsi="Arial" w:eastAsia="Times New Roman" w:cstheme="minorHAnsi"/>
      <w:sz w:val="18"/>
      <w:szCs w:val="20"/>
      <w:lang w:val="en-GB" w:eastAsia="en-GB"/>
    </w:rPr>
  </w:style>
  <w:style w:type="character" w:customStyle="1" w:styleId="435">
    <w:name w:val="Sous-Section Char1"/>
    <w:semiHidden/>
    <w:qFormat/>
    <w:uiPriority w:val="9"/>
    <w:rPr>
      <w:rFonts w:ascii="Cambria" w:hAnsi="Cambria" w:eastAsia="Times New Roman" w:cs="Times New Roman"/>
      <w:b/>
      <w:bCs/>
      <w:i/>
      <w:iCs/>
      <w:color w:val="4F81BD"/>
      <w:sz w:val="22"/>
      <w:szCs w:val="22"/>
    </w:rPr>
  </w:style>
  <w:style w:type="character" w:customStyle="1" w:styleId="436">
    <w:name w:val="st"/>
    <w:basedOn w:val="11"/>
    <w:qFormat/>
    <w:uiPriority w:val="0"/>
  </w:style>
  <w:style w:type="paragraph" w:customStyle="1" w:styleId="437">
    <w:name w:val="Style"/>
    <w:uiPriority w:val="99"/>
    <w:pPr>
      <w:widowControl w:val="0"/>
      <w:autoSpaceDE w:val="0"/>
      <w:autoSpaceDN w:val="0"/>
      <w:adjustRightInd w:val="0"/>
      <w:spacing w:before="120" w:line="360" w:lineRule="auto"/>
      <w:jc w:val="both"/>
    </w:pPr>
    <w:rPr>
      <w:rFonts w:ascii="Times New Roman" w:hAnsi="Times New Roman" w:eastAsia="Times New Roman" w:cstheme="minorHAnsi"/>
      <w:sz w:val="24"/>
      <w:szCs w:val="24"/>
      <w:lang w:val="en-US" w:eastAsia="en-US" w:bidi="ar-SA"/>
    </w:rPr>
  </w:style>
  <w:style w:type="paragraph" w:customStyle="1" w:styleId="438">
    <w:name w:val="Style Arial 10 pt Justified Before:  12 pt1"/>
    <w:basedOn w:val="1"/>
    <w:uiPriority w:val="99"/>
    <w:pPr>
      <w:spacing w:before="240" w:after="0" w:line="240" w:lineRule="auto"/>
      <w:jc w:val="both"/>
    </w:pPr>
    <w:rPr>
      <w:rFonts w:ascii="Arial" w:hAnsi="Arial" w:eastAsia="Times New Roman" w:cstheme="minorHAnsi"/>
      <w:sz w:val="20"/>
      <w:szCs w:val="20"/>
      <w:lang w:eastAsia="en-GB"/>
    </w:rPr>
  </w:style>
  <w:style w:type="paragraph" w:customStyle="1" w:styleId="439">
    <w:name w:val="Style Heading 4Sous-SectionSous-Section1 + Justified"/>
    <w:basedOn w:val="5"/>
    <w:qFormat/>
    <w:uiPriority w:val="99"/>
    <w:pPr>
      <w:keepNext w:val="0"/>
      <w:keepLines w:val="0"/>
      <w:tabs>
        <w:tab w:val="left" w:pos="0"/>
      </w:tabs>
      <w:suppressAutoHyphens w:val="0"/>
      <w:autoSpaceDN/>
      <w:spacing w:before="0" w:line="240" w:lineRule="auto"/>
      <w:ind w:left="1418" w:hanging="709"/>
    </w:pPr>
    <w:rPr>
      <w:rFonts w:ascii="Arial" w:hAnsi="Arial" w:cstheme="minorHAnsi"/>
      <w:bCs/>
      <w:iCs w:val="0"/>
      <w:kern w:val="0"/>
      <w:sz w:val="20"/>
      <w:szCs w:val="20"/>
      <w:lang w:val="en-GB" w:eastAsia="en-GB"/>
    </w:rPr>
  </w:style>
  <w:style w:type="paragraph" w:customStyle="1" w:styleId="440">
    <w:name w:val="Style1"/>
    <w:basedOn w:val="2"/>
    <w:link w:val="441"/>
    <w:qFormat/>
    <w:uiPriority w:val="99"/>
    <w:pPr>
      <w:keepLines w:val="0"/>
      <w:spacing w:before="0"/>
    </w:pPr>
    <w:rPr>
      <w:rFonts w:ascii="Times New Roman" w:hAnsi="Times New Roman" w:eastAsia="Times New Roman" w:cstheme="minorHAnsi"/>
      <w:w w:val="110"/>
      <w:kern w:val="28"/>
      <w:szCs w:val="20"/>
      <w:lang w:val="en-GB" w:eastAsia="en-GB"/>
    </w:rPr>
  </w:style>
  <w:style w:type="character" w:customStyle="1" w:styleId="441">
    <w:name w:val="Style1 Char"/>
    <w:link w:val="440"/>
    <w:uiPriority w:val="99"/>
    <w:rPr>
      <w:rFonts w:ascii="Times New Roman" w:hAnsi="Times New Roman" w:eastAsia="Times New Roman" w:cstheme="minorHAnsi"/>
      <w:b/>
      <w:w w:val="110"/>
      <w:kern w:val="28"/>
      <w:sz w:val="28"/>
      <w:szCs w:val="20"/>
      <w:lang w:val="en-GB" w:eastAsia="en-GB"/>
    </w:rPr>
  </w:style>
  <w:style w:type="paragraph" w:customStyle="1" w:styleId="442">
    <w:name w:val="Style2"/>
    <w:basedOn w:val="2"/>
    <w:qFormat/>
    <w:uiPriority w:val="99"/>
    <w:pPr>
      <w:keepLines w:val="0"/>
      <w:numPr>
        <w:ilvl w:val="0"/>
        <w:numId w:val="27"/>
      </w:numPr>
      <w:spacing w:after="60"/>
    </w:pPr>
    <w:rPr>
      <w:rFonts w:ascii="Arial" w:hAnsi="Arial" w:eastAsia="Times New Roman" w:cs="Arial"/>
      <w:w w:val="110"/>
      <w:kern w:val="28"/>
      <w:szCs w:val="20"/>
      <w:lang w:val="en-GB" w:eastAsia="en-GB"/>
    </w:rPr>
  </w:style>
  <w:style w:type="paragraph" w:customStyle="1" w:styleId="443">
    <w:name w:val="Style2LG"/>
    <w:basedOn w:val="1"/>
    <w:next w:val="1"/>
    <w:uiPriority w:val="99"/>
    <w:pPr>
      <w:autoSpaceDE w:val="0"/>
      <w:autoSpaceDN w:val="0"/>
      <w:adjustRightInd w:val="0"/>
      <w:spacing w:before="120" w:after="0" w:line="240" w:lineRule="auto"/>
      <w:jc w:val="both"/>
    </w:pPr>
    <w:rPr>
      <w:rFonts w:ascii="KELOAH+ArialMT" w:hAnsi="KELOAH+ArialMT" w:eastAsia="Times New Roman" w:cstheme="minorHAnsi"/>
      <w:szCs w:val="24"/>
      <w:lang w:eastAsia="en-GB"/>
    </w:rPr>
  </w:style>
  <w:style w:type="paragraph" w:customStyle="1" w:styleId="444">
    <w:name w:val="Style3"/>
    <w:basedOn w:val="2"/>
    <w:uiPriority w:val="99"/>
    <w:pPr>
      <w:keepLines w:val="0"/>
      <w:numPr>
        <w:ilvl w:val="0"/>
        <w:numId w:val="28"/>
      </w:numPr>
      <w:spacing w:after="60"/>
    </w:pPr>
    <w:rPr>
      <w:rFonts w:ascii="Arial" w:hAnsi="Arial" w:eastAsia="Times New Roman" w:cs="Arial"/>
      <w:w w:val="110"/>
      <w:kern w:val="28"/>
      <w:szCs w:val="20"/>
      <w:lang w:val="en-GB" w:eastAsia="en-GB"/>
    </w:rPr>
  </w:style>
  <w:style w:type="paragraph" w:customStyle="1" w:styleId="445">
    <w:name w:val="Style4"/>
    <w:basedOn w:val="348"/>
    <w:link w:val="446"/>
    <w:qFormat/>
    <w:uiPriority w:val="0"/>
    <w:pPr>
      <w:spacing w:line="240" w:lineRule="auto"/>
      <w:ind w:left="540"/>
    </w:pPr>
    <w:rPr>
      <w:rFonts w:ascii="Times New Roman" w:hAnsi="Times New Roman"/>
    </w:rPr>
  </w:style>
  <w:style w:type="character" w:customStyle="1" w:styleId="446">
    <w:name w:val="Style4 Char"/>
    <w:link w:val="445"/>
    <w:qFormat/>
    <w:uiPriority w:val="0"/>
    <w:rPr>
      <w:rFonts w:ascii="Times New Roman" w:hAnsi="Times New Roman" w:eastAsia="Times New Roman" w:cstheme="minorHAnsi"/>
      <w:kern w:val="16"/>
      <w:szCs w:val="20"/>
      <w:lang w:eastAsia="en-GB"/>
    </w:rPr>
  </w:style>
  <w:style w:type="paragraph" w:customStyle="1" w:styleId="447">
    <w:name w:val="Table"/>
    <w:basedOn w:val="88"/>
    <w:qFormat/>
    <w:uiPriority w:val="99"/>
    <w:pPr>
      <w:spacing w:before="0" w:beforeAutospacing="0" w:afterAutospacing="0" w:line="360" w:lineRule="auto"/>
      <w:jc w:val="left"/>
    </w:pPr>
    <w:rPr>
      <w:rFonts w:ascii="Arial" w:hAnsi="Arial" w:eastAsia="Times New Roman" w:cs="Arial"/>
      <w:i/>
      <w:iCs/>
      <w:sz w:val="20"/>
      <w:szCs w:val="20"/>
      <w:lang w:val="en-GB" w:eastAsia="en-GB"/>
    </w:rPr>
  </w:style>
  <w:style w:type="table" w:customStyle="1" w:styleId="448">
    <w:name w:val="Table Grid Light11"/>
    <w:basedOn w:val="12"/>
    <w:uiPriority w:val="40"/>
    <w:pPr>
      <w:spacing w:before="120" w:line="360" w:lineRule="auto"/>
      <w:jc w:val="both"/>
    </w:pPr>
    <w:rPr>
      <w:rFonts w:ascii="Book Antiqua" w:hAnsi="Book Antiqua" w:eastAsia="Calibri" w:cstheme="minorHAnsi"/>
      <w:lang w:val="en-GB" w:eastAsia="en-GB"/>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449">
    <w:name w:val="Table Grid Light2"/>
    <w:basedOn w:val="12"/>
    <w:uiPriority w:val="40"/>
    <w:pPr>
      <w:spacing w:before="120" w:line="360" w:lineRule="auto"/>
      <w:jc w:val="both"/>
    </w:pPr>
    <w:rPr>
      <w:rFonts w:ascii="Book Antiqua" w:hAnsi="Book Antiqua" w:eastAsia="Calibri" w:cstheme="minorHAnsi"/>
      <w:lang w:val="en-GB" w:eastAsia="en-GB"/>
    </w:rPr>
    <w:tblPr>
      <w:tblBorders>
        <w:top w:val="single" w:color="BFBFBF" w:sz="4" w:space="0"/>
        <w:left w:val="single" w:color="BFBFBF" w:sz="4" w:space="0"/>
        <w:bottom w:val="single" w:color="BFBFBF" w:sz="4" w:space="0"/>
        <w:right w:val="single" w:color="BFBFBF" w:sz="4" w:space="0"/>
        <w:insideH w:val="single" w:color="BFBFBF" w:sz="4" w:space="0"/>
        <w:insideV w:val="single" w:color="BFBFBF" w:sz="4" w:space="0"/>
      </w:tblBorders>
    </w:tblPr>
  </w:style>
  <w:style w:type="table" w:customStyle="1" w:styleId="450">
    <w:name w:val="Table Grid10"/>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1">
    <w:name w:val="Table Grid101"/>
    <w:basedOn w:val="12"/>
    <w:unhideWhenUsed/>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2">
    <w:name w:val="Table Grid1011"/>
    <w:basedOn w:val="12"/>
    <w:unhideWhenUsed/>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3">
    <w:name w:val="Table Grid102"/>
    <w:basedOn w:val="12"/>
    <w:unhideWhenUsed/>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4">
    <w:name w:val="Table Grid111"/>
    <w:basedOn w:val="12"/>
    <w:qFormat/>
    <w:uiPriority w:val="59"/>
    <w:pPr>
      <w:spacing w:before="120" w:line="360" w:lineRule="auto"/>
      <w:jc w:val="both"/>
    </w:pPr>
    <w:rPr>
      <w:rFonts w:ascii="Book Antiqua" w:hAnsi="Book Antiqua" w:eastAsia="Calibri"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55">
    <w:name w:val="Table Grid110"/>
    <w:basedOn w:val="12"/>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56">
    <w:name w:val="Table Grid1101"/>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57">
    <w:name w:val="Table Grid111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58">
    <w:name w:val="Table Grid11111"/>
    <w:basedOn w:val="12"/>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59">
    <w:name w:val="Table Grid1112"/>
    <w:basedOn w:val="12"/>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0">
    <w:name w:val="Table Grid11121"/>
    <w:basedOn w:val="12"/>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1">
    <w:name w:val="Table Grid1113"/>
    <w:basedOn w:val="12"/>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62">
    <w:name w:val="Table Grid112"/>
    <w:basedOn w:val="12"/>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3">
    <w:name w:val="Table Grid1121"/>
    <w:basedOn w:val="12"/>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4">
    <w:name w:val="Table Grid113"/>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5">
    <w:name w:val="Table Grid1131"/>
    <w:basedOn w:val="12"/>
    <w:unhideWhenUsed/>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6">
    <w:name w:val="Table Grid11311"/>
    <w:basedOn w:val="12"/>
    <w:unhideWhenUsed/>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7">
    <w:name w:val="Table Grid1132"/>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8">
    <w:name w:val="Table Grid114"/>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69">
    <w:name w:val="Table Grid114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0">
    <w:name w:val="Table Grid115"/>
    <w:basedOn w:val="12"/>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71">
    <w:name w:val="Table Grid115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72">
    <w:name w:val="Table Grid116"/>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73">
    <w:name w:val="Table Grid1161"/>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74">
    <w:name w:val="Table Grid117"/>
    <w:basedOn w:val="12"/>
    <w:qFormat/>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5">
    <w:name w:val="Table Grid1171"/>
    <w:basedOn w:val="12"/>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6">
    <w:name w:val="Table Grid118"/>
    <w:basedOn w:val="12"/>
    <w:qFormat/>
    <w:uiPriority w:val="59"/>
    <w:pPr>
      <w:spacing w:before="120" w:line="360" w:lineRule="auto"/>
      <w:jc w:val="both"/>
    </w:pPr>
    <w:rPr>
      <w:rFonts w:ascii="Book Antiqua" w:hAnsi="Book Antiqua" w:eastAsia="Calibri"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7">
    <w:name w:val="Table Grid119"/>
    <w:basedOn w:val="12"/>
    <w:uiPriority w:val="59"/>
    <w:pPr>
      <w:spacing w:before="120" w:line="360" w:lineRule="auto"/>
      <w:jc w:val="both"/>
    </w:pPr>
    <w:rPr>
      <w:rFonts w:ascii="Book Antiqua" w:hAnsi="Book Antiqua" w:eastAsia="Calibri"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8">
    <w:name w:val="Table Grid12"/>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79">
    <w:name w:val="Table Grid12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0">
    <w:name w:val="Table Grid121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1">
    <w:name w:val="Table Grid122"/>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2">
    <w:name w:val="Table Grid122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3">
    <w:name w:val="Table Grid123"/>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84">
    <w:name w:val="Table Grid1231"/>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85">
    <w:name w:val="Table Grid124"/>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6">
    <w:name w:val="Table Grid13"/>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7">
    <w:name w:val="Table Grid13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8">
    <w:name w:val="Table Grid131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89">
    <w:name w:val="Table Grid132"/>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0">
    <w:name w:val="Table Grid14"/>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91">
    <w:name w:val="Table Grid14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92">
    <w:name w:val="Table Grid141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93">
    <w:name w:val="Table Grid142"/>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494">
    <w:name w:val="Table Grid15"/>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5">
    <w:name w:val="Table Grid15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6">
    <w:name w:val="Table Grid151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7">
    <w:name w:val="Table Grid152"/>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8">
    <w:name w:val="Table Grid16"/>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499">
    <w:name w:val="Table Grid161"/>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0">
    <w:name w:val="Table Grid1611"/>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1">
    <w:name w:val="Table Grid16111"/>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2">
    <w:name w:val="Table Grid1612"/>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3">
    <w:name w:val="Table Grid162"/>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4">
    <w:name w:val="Table Grid1621"/>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5">
    <w:name w:val="Table Grid163"/>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6">
    <w:name w:val="Table Grid17"/>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7">
    <w:name w:val="Table Grid17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8">
    <w:name w:val="Table Grid171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09">
    <w:name w:val="Table Grid17111"/>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0">
    <w:name w:val="Table Grid1712"/>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1">
    <w:name w:val="Table Grid17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2">
    <w:name w:val="Table Grid1721"/>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3">
    <w:name w:val="Table Grid173"/>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4">
    <w:name w:val="Table Grid18"/>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5">
    <w:name w:val="Table Grid181"/>
    <w:basedOn w:val="12"/>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6">
    <w:name w:val="Table Grid1811"/>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7">
    <w:name w:val="Table Grid18111"/>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8">
    <w:name w:val="Table Grid1812"/>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19">
    <w:name w:val="Table Grid182"/>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0">
    <w:name w:val="Table Grid1821"/>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1">
    <w:name w:val="Table Grid18211"/>
    <w:basedOn w:val="12"/>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2">
    <w:name w:val="Table Grid1822"/>
    <w:basedOn w:val="12"/>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3">
    <w:name w:val="Table Grid183"/>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4">
    <w:name w:val="Table Grid1831"/>
    <w:basedOn w:val="12"/>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5">
    <w:name w:val="Table Grid184"/>
    <w:basedOn w:val="12"/>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6">
    <w:name w:val="Table Grid1841"/>
    <w:basedOn w:val="12"/>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7">
    <w:name w:val="Table Grid185"/>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8">
    <w:name w:val="Table Grid19"/>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29">
    <w:name w:val="Table Grid19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0">
    <w:name w:val="Table Grid1911"/>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1">
    <w:name w:val="Table Grid1911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2">
    <w:name w:val="Table Grid191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3">
    <w:name w:val="Table Grid19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4">
    <w:name w:val="Table Grid1921"/>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5">
    <w:name w:val="Table Grid193"/>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6">
    <w:name w:val="Table Grid20"/>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7">
    <w:name w:val="Table Grid201"/>
    <w:basedOn w:val="12"/>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8">
    <w:name w:val="Table Grid2011"/>
    <w:basedOn w:val="12"/>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39">
    <w:name w:val="Table Grid202"/>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0">
    <w:name w:val="Table Grid2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1">
    <w:name w:val="Table Grid210"/>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2">
    <w:name w:val="Table Grid210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43">
    <w:name w:val="Table Grid211"/>
    <w:basedOn w:val="12"/>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44">
    <w:name w:val="Table Grid211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45">
    <w:name w:val="Table Grid212"/>
    <w:basedOn w:val="12"/>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46">
    <w:name w:val="Table Grid2121"/>
    <w:basedOn w:val="12"/>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47">
    <w:name w:val="Table Grid213"/>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48">
    <w:name w:val="Table Grid2131"/>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49">
    <w:name w:val="Table Grid214"/>
    <w:basedOn w:val="12"/>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50">
    <w:name w:val="Table Grid2141"/>
    <w:basedOn w:val="12"/>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51">
    <w:name w:val="Table Grid215"/>
    <w:basedOn w:val="12"/>
    <w:uiPriority w:val="39"/>
    <w:pPr>
      <w:spacing w:before="120" w:line="360" w:lineRule="auto"/>
      <w:jc w:val="both"/>
    </w:pPr>
    <w:rPr>
      <w:rFonts w:ascii="Book Antiqua" w:hAnsi="Book Antiqua" w:eastAsia="Calibri"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2">
    <w:name w:val="Table Grid216"/>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3">
    <w:name w:val="Table Grid22"/>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54">
    <w:name w:val="Table Grid221"/>
    <w:basedOn w:val="12"/>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55">
    <w:name w:val="Table Grid2211"/>
    <w:basedOn w:val="12"/>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56">
    <w:name w:val="Table Grid222"/>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57">
    <w:name w:val="Table Grid23"/>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8">
    <w:name w:val="Table Grid23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59">
    <w:name w:val="Table Grid231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0">
    <w:name w:val="Table Grid23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1">
    <w:name w:val="Table Grid24"/>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62">
    <w:name w:val="Table Grid241"/>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customStyle="1" w:styleId="563">
    <w:name w:val="Table Grid25"/>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4">
    <w:name w:val="Table Grid251"/>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5">
    <w:name w:val="Table Grid2511"/>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6">
    <w:name w:val="Table Grid25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7">
    <w:name w:val="Table Grid26"/>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8">
    <w:name w:val="Table Grid261"/>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69">
    <w:name w:val="Table Grid261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0">
    <w:name w:val="Table Grid262"/>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1">
    <w:name w:val="Table Grid27"/>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2">
    <w:name w:val="Table Grid271"/>
    <w:basedOn w:val="12"/>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3">
    <w:name w:val="Table Grid2711"/>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4">
    <w:name w:val="Table Grid272"/>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5">
    <w:name w:val="Table Grid28"/>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6">
    <w:name w:val="Table Grid28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7">
    <w:name w:val="Table Grid281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8">
    <w:name w:val="Table Grid28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79">
    <w:name w:val="Table Grid29"/>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0">
    <w:name w:val="Table Grid29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1">
    <w:name w:val="Table Grid291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2">
    <w:name w:val="Table Grid2911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3">
    <w:name w:val="Table Grid291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4">
    <w:name w:val="Table Grid29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5">
    <w:name w:val="Table Grid292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6">
    <w:name w:val="Table Grid293"/>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7">
    <w:name w:val="Table Grid3"/>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8">
    <w:name w:val="Table Grid30"/>
    <w:basedOn w:val="12"/>
    <w:qFormat/>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89">
    <w:name w:val="Table Grid301"/>
    <w:basedOn w:val="12"/>
    <w:qFormat/>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0">
    <w:name w:val="Table Grid3011"/>
    <w:basedOn w:val="12"/>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1">
    <w:name w:val="Table Grid302"/>
    <w:basedOn w:val="12"/>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2">
    <w:name w:val="Table Grid3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3">
    <w:name w:val="Table Grid310"/>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4">
    <w:name w:val="Table Grid311"/>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5">
    <w:name w:val="Table Grid3111"/>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6">
    <w:name w:val="Table Grid312"/>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7">
    <w:name w:val="Table Grid3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8">
    <w:name w:val="Table Grid32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599">
    <w:name w:val="Table Grid3211"/>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0">
    <w:name w:val="Table Grid32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1">
    <w:name w:val="Table Grid33"/>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2">
    <w:name w:val="Table Grid33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3">
    <w:name w:val="Table Grid331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4">
    <w:name w:val="Table Grid33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5">
    <w:name w:val="Table Grid34"/>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6">
    <w:name w:val="Table Grid34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7">
    <w:name w:val="Table Grid341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8">
    <w:name w:val="Table Grid34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09">
    <w:name w:val="Table Grid35"/>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0">
    <w:name w:val="Table Grid35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1">
    <w:name w:val="Table Grid3511"/>
    <w:basedOn w:val="12"/>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2">
    <w:name w:val="Table Grid35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3">
    <w:name w:val="Table Grid36"/>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4">
    <w:name w:val="Table Grid36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5">
    <w:name w:val="Table Grid37"/>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6">
    <w:name w:val="Table Grid371"/>
    <w:basedOn w:val="12"/>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7">
    <w:name w:val="Table Grid38"/>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8">
    <w:name w:val="Table Grid381"/>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19">
    <w:name w:val="Table Grid39"/>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0">
    <w:name w:val="Table Grid391"/>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1">
    <w:name w:val="Table Grid4"/>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2">
    <w:name w:val="Table Grid40"/>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3">
    <w:name w:val="Table Grid401"/>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4">
    <w:name w:val="Table Grid41"/>
    <w:basedOn w:val="12"/>
    <w:qFormat/>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5">
    <w:name w:val="Table Grid411"/>
    <w:basedOn w:val="12"/>
    <w:qFormat/>
    <w:uiPriority w:val="3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6">
    <w:name w:val="Table Grid4111"/>
    <w:basedOn w:val="12"/>
    <w:qFormat/>
    <w:uiPriority w:val="3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7">
    <w:name w:val="Table Grid412"/>
    <w:basedOn w:val="12"/>
    <w:qFormat/>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8">
    <w:name w:val="Table Grid42"/>
    <w:basedOn w:val="12"/>
    <w:qFormat/>
    <w:uiPriority w:val="3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29">
    <w:name w:val="Table Grid421"/>
    <w:basedOn w:val="12"/>
    <w:uiPriority w:val="3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0">
    <w:name w:val="Table Grid4211"/>
    <w:basedOn w:val="12"/>
    <w:qFormat/>
    <w:uiPriority w:val="3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1">
    <w:name w:val="Table Grid422"/>
    <w:basedOn w:val="12"/>
    <w:qFormat/>
    <w:uiPriority w:val="3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2">
    <w:name w:val="Table Grid43"/>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3">
    <w:name w:val="Table Grid43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4">
    <w:name w:val="Table Grid44"/>
    <w:basedOn w:val="12"/>
    <w:uiPriority w:val="3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5">
    <w:name w:val="Table Grid441"/>
    <w:basedOn w:val="12"/>
    <w:qFormat/>
    <w:uiPriority w:val="3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6">
    <w:name w:val="Table Grid45"/>
    <w:basedOn w:val="12"/>
    <w:qFormat/>
    <w:uiPriority w:val="39"/>
    <w:pPr>
      <w:spacing w:before="120" w:line="360" w:lineRule="auto"/>
      <w:jc w:val="both"/>
    </w:pPr>
    <w:rPr>
      <w:rFonts w:ascii="Book Antiqua" w:hAnsi="Book Antiqua" w:eastAsia="Calibri"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7">
    <w:name w:val="Table Grid451"/>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8">
    <w:name w:val="Table Grid452"/>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39">
    <w:name w:val="Table Grid46"/>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0">
    <w:name w:val="Table Grid47"/>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1">
    <w:name w:val="Table Grid48"/>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2">
    <w:name w:val="Table Grid49"/>
    <w:basedOn w:val="12"/>
    <w:qFormat/>
    <w:uiPriority w:val="5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3">
    <w:name w:val="Table Grid5"/>
    <w:basedOn w:val="12"/>
    <w:qFormat/>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4">
    <w:name w:val="Table Grid5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5">
    <w:name w:val="Table Grid51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6">
    <w:name w:val="Table Grid52"/>
    <w:basedOn w:val="12"/>
    <w:qFormat/>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7">
    <w:name w:val="Table Grid521"/>
    <w:basedOn w:val="12"/>
    <w:qFormat/>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8">
    <w:name w:val="Table Grid53"/>
    <w:basedOn w:val="12"/>
    <w:qFormat/>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49">
    <w:name w:val="Table Grid531"/>
    <w:basedOn w:val="12"/>
    <w:uiPriority w:val="59"/>
    <w:pPr>
      <w:spacing w:before="120" w:line="360" w:lineRule="auto"/>
      <w:jc w:val="both"/>
    </w:pPr>
    <w:rPr>
      <w:rFonts w:ascii="Book Antiqua" w:hAnsi="Book Antiqua" w:eastAsia="Calibri" w:cs="Arial"/>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0">
    <w:name w:val="Table Grid54"/>
    <w:basedOn w:val="12"/>
    <w:qFormat/>
    <w:uiPriority w:val="39"/>
    <w:pPr>
      <w:spacing w:before="120" w:line="360" w:lineRule="auto"/>
      <w:jc w:val="both"/>
    </w:pPr>
    <w:rPr>
      <w:rFonts w:ascii="Book Antiqua" w:hAnsi="Book Antiqua"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1">
    <w:name w:val="Table Grid55"/>
    <w:basedOn w:val="12"/>
    <w:qFormat/>
    <w:uiPriority w:val="59"/>
    <w:pPr>
      <w:spacing w:before="120" w:line="360" w:lineRule="auto"/>
      <w:jc w:val="both"/>
    </w:pPr>
    <w:rPr>
      <w:rFonts w:ascii="Book Antiqua" w:hAnsi="Book Antiqua" w:eastAsia="Calibri" w:cstheme="minorHAnsi"/>
      <w:sz w:val="24"/>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2">
    <w:name w:val="Table Grid6"/>
    <w:basedOn w:val="12"/>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3">
    <w:name w:val="Table Grid6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4">
    <w:name w:val="Table Grid7"/>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5">
    <w:name w:val="Table Grid71"/>
    <w:basedOn w:val="12"/>
    <w:qFormat/>
    <w:uiPriority w:val="59"/>
    <w:pPr>
      <w:spacing w:before="120" w:line="360" w:lineRule="auto"/>
      <w:jc w:val="both"/>
    </w:pPr>
    <w:rPr>
      <w:rFonts w:ascii="Times New Roman" w:hAnsi="Times New Roman" w:eastAsia="Times New Roman" w:cstheme="minorHAnsi"/>
      <w:szCs w:val="24"/>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6">
    <w:name w:val="Table Grid8"/>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7">
    <w:name w:val="Table Grid8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8">
    <w:name w:val="Table Grid811"/>
    <w:basedOn w:val="12"/>
    <w:unhideWhenUsed/>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59">
    <w:name w:val="Table Grid82"/>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0">
    <w:name w:val="Table Grid9"/>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1">
    <w:name w:val="Table Grid9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2">
    <w:name w:val="Table Grid911"/>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3">
    <w:name w:val="Table Grid9111"/>
    <w:basedOn w:val="12"/>
    <w:unhideWhenUsed/>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4">
    <w:name w:val="Table Grid912"/>
    <w:basedOn w:val="12"/>
    <w:unhideWhenUsed/>
    <w:qFormat/>
    <w:uiPriority w:val="59"/>
    <w:pPr>
      <w:spacing w:before="120" w:line="360" w:lineRule="auto"/>
      <w:jc w:val="both"/>
    </w:pPr>
    <w:rPr>
      <w:rFonts w:ascii="Arial" w:hAnsi="Arial" w:eastAsia="Calibri" w:cs="Arial"/>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5">
    <w:name w:val="Table Grid9121"/>
    <w:basedOn w:val="12"/>
    <w:unhideWhenUsed/>
    <w:qFormat/>
    <w:uiPriority w:val="59"/>
    <w:pPr>
      <w:spacing w:before="120" w:line="360" w:lineRule="auto"/>
      <w:jc w:val="both"/>
    </w:pPr>
    <w:rPr>
      <w:rFonts w:ascii="Arial" w:hAnsi="Arial" w:eastAsia="Calibri" w:cs="Arial"/>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6">
    <w:name w:val="Table Grid913"/>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7">
    <w:name w:val="Table Grid92"/>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8">
    <w:name w:val="Table Grid921"/>
    <w:basedOn w:val="12"/>
    <w:unhideWhenUsed/>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9">
    <w:name w:val="Table Grid93"/>
    <w:basedOn w:val="12"/>
    <w:unhideWhenUsed/>
    <w:qFormat/>
    <w:uiPriority w:val="59"/>
    <w:pPr>
      <w:spacing w:before="120" w:line="360" w:lineRule="auto"/>
      <w:jc w:val="both"/>
    </w:pPr>
    <w:rPr>
      <w:rFonts w:ascii="Arial" w:hAnsi="Arial" w:eastAsia="Calibri" w:cs="Arial"/>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0">
    <w:name w:val="Table Grid931"/>
    <w:basedOn w:val="12"/>
    <w:unhideWhenUsed/>
    <w:qFormat/>
    <w:uiPriority w:val="59"/>
    <w:pPr>
      <w:spacing w:before="120" w:line="360" w:lineRule="auto"/>
      <w:jc w:val="both"/>
    </w:pPr>
    <w:rPr>
      <w:rFonts w:ascii="Arial" w:hAnsi="Arial" w:eastAsia="Calibri" w:cs="Arial"/>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1">
    <w:name w:val="Table Grid94"/>
    <w:basedOn w:val="12"/>
    <w:unhideWhenUsed/>
    <w:qFormat/>
    <w:uiPriority w:val="59"/>
    <w:pPr>
      <w:spacing w:before="120" w:line="360" w:lineRule="auto"/>
      <w:jc w:val="both"/>
    </w:pPr>
    <w:rPr>
      <w:rFonts w:ascii="Arial" w:hAnsi="Arial" w:eastAsia="Calibri" w:cstheme="minorHAnsi"/>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2">
    <w:name w:val="Table Text"/>
    <w:basedOn w:val="1"/>
    <w:autoRedefine/>
    <w:qFormat/>
    <w:uiPriority w:val="99"/>
    <w:pPr>
      <w:spacing w:before="120" w:after="0" w:line="240" w:lineRule="auto"/>
      <w:jc w:val="both"/>
    </w:pPr>
    <w:rPr>
      <w:rFonts w:ascii="Book Antiqua" w:hAnsi="Book Antiqua" w:eastAsia="Calibri" w:cstheme="minorHAnsi"/>
      <w:b/>
      <w:sz w:val="20"/>
      <w:szCs w:val="20"/>
      <w:lang w:eastAsia="en-GB"/>
    </w:rPr>
  </w:style>
  <w:style w:type="table" w:customStyle="1" w:styleId="673">
    <w:name w:val="Table Web 31"/>
    <w:basedOn w:val="12"/>
    <w:uiPriority w:val="99"/>
    <w:pPr>
      <w:spacing w:before="120"/>
      <w:jc w:val="both"/>
    </w:pPr>
    <w:rPr>
      <w:rFonts w:ascii="Book Antiqua" w:hAnsi="Book Antiqua" w:eastAsia="Calibri" w:cstheme="minorHAnsi"/>
      <w:szCs w:val="24"/>
      <w:lang w:val="en-GB" w:eastAsia="en-GB"/>
    </w:rPr>
    <w:tblPr>
      <w:tblCellSpacing w:w="20" w:type="dxa"/>
      <w:tblBorders>
        <w:top w:val="outset" w:color="auto" w:sz="24" w:space="0"/>
        <w:left w:val="outset" w:color="auto" w:sz="24" w:space="0"/>
        <w:bottom w:val="outset" w:color="auto" w:sz="24" w:space="0"/>
        <w:right w:val="outset" w:color="auto" w:sz="24" w:space="0"/>
        <w:insideH w:val="outset" w:color="auto" w:sz="6" w:space="0"/>
        <w:insideV w:val="outset" w:color="auto" w:sz="6" w:space="0"/>
      </w:tblBorders>
    </w:tblPr>
    <w:trPr>
      <w:tblCellSpacing w:w="20" w:type="dxa"/>
    </w:trPr>
    <w:tcPr>
      <w:shd w:val="clear" w:color="auto" w:fill="auto"/>
    </w:tcPr>
    <w:tblStylePr w:type="firstRow">
      <w:rPr>
        <w:color w:val="auto"/>
      </w:rPr>
      <w:tcPr>
        <w:tcBorders>
          <w:tl2br w:val="nil"/>
          <w:tr2bl w:val="nil"/>
        </w:tcBorders>
      </w:tcPr>
    </w:tblStylePr>
  </w:style>
  <w:style w:type="table" w:customStyle="1" w:styleId="674">
    <w:name w:val="TableGrid11"/>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75">
    <w:name w:val="TableGrid10"/>
    <w:uiPriority w:val="0"/>
    <w:pPr>
      <w:spacing w:before="120" w:line="360" w:lineRule="auto"/>
      <w:jc w:val="both"/>
    </w:pPr>
    <w:rPr>
      <w:rFonts w:ascii="Book Antiqua" w:hAnsi="Book Antiqua" w:eastAsia="MS Mincho" w:cstheme="minorHAnsi"/>
    </w:rPr>
    <w:tblPr>
      <w:tblCellMar>
        <w:top w:w="0" w:type="dxa"/>
        <w:left w:w="0" w:type="dxa"/>
        <w:bottom w:w="0" w:type="dxa"/>
        <w:right w:w="0" w:type="dxa"/>
      </w:tblCellMar>
    </w:tblPr>
  </w:style>
  <w:style w:type="table" w:customStyle="1" w:styleId="676">
    <w:name w:val="TableGrid101"/>
    <w:qFormat/>
    <w:uiPriority w:val="0"/>
    <w:pPr>
      <w:spacing w:before="120" w:line="360" w:lineRule="auto"/>
      <w:jc w:val="both"/>
    </w:pPr>
    <w:rPr>
      <w:rFonts w:ascii="Book Antiqua" w:hAnsi="Book Antiqua" w:eastAsia="MS Mincho" w:cstheme="minorHAnsi"/>
    </w:rPr>
    <w:tblPr>
      <w:tblCellMar>
        <w:top w:w="0" w:type="dxa"/>
        <w:left w:w="0" w:type="dxa"/>
        <w:bottom w:w="0" w:type="dxa"/>
        <w:right w:w="0" w:type="dxa"/>
      </w:tblCellMar>
    </w:tblPr>
  </w:style>
  <w:style w:type="table" w:customStyle="1" w:styleId="677">
    <w:name w:val="TableGrid111"/>
    <w:qFormat/>
    <w:uiPriority w:val="0"/>
    <w:pPr>
      <w:spacing w:before="120" w:line="360" w:lineRule="auto"/>
      <w:jc w:val="both"/>
    </w:pPr>
    <w:rPr>
      <w:rFonts w:ascii="Book Antiqua" w:hAnsi="Book Antiqua" w:eastAsia="MS Mincho" w:cstheme="minorHAnsi"/>
    </w:rPr>
    <w:tblPr>
      <w:tblCellMar>
        <w:top w:w="0" w:type="dxa"/>
        <w:left w:w="0" w:type="dxa"/>
        <w:bottom w:w="0" w:type="dxa"/>
        <w:right w:w="0" w:type="dxa"/>
      </w:tblCellMar>
    </w:tblPr>
  </w:style>
  <w:style w:type="table" w:customStyle="1" w:styleId="678">
    <w:name w:val="TableGrid12"/>
    <w:uiPriority w:val="0"/>
    <w:pPr>
      <w:spacing w:before="120" w:line="360" w:lineRule="auto"/>
      <w:jc w:val="both"/>
    </w:pPr>
    <w:rPr>
      <w:rFonts w:ascii="Book Antiqua" w:hAnsi="Book Antiqua" w:eastAsia="Times New Roman" w:cs="Arial"/>
    </w:rPr>
    <w:tblPr>
      <w:tblCellMar>
        <w:top w:w="0" w:type="dxa"/>
        <w:left w:w="0" w:type="dxa"/>
        <w:bottom w:w="0" w:type="dxa"/>
        <w:right w:w="0" w:type="dxa"/>
      </w:tblCellMar>
    </w:tblPr>
  </w:style>
  <w:style w:type="table" w:customStyle="1" w:styleId="679">
    <w:name w:val="TableGrid121"/>
    <w:qFormat/>
    <w:uiPriority w:val="0"/>
    <w:pPr>
      <w:spacing w:before="120" w:line="360" w:lineRule="auto"/>
      <w:jc w:val="both"/>
    </w:pPr>
    <w:rPr>
      <w:rFonts w:ascii="Book Antiqua" w:hAnsi="Book Antiqua" w:eastAsia="Times New Roman" w:cs="Arial"/>
    </w:rPr>
    <w:tblPr>
      <w:tblCellMar>
        <w:top w:w="0" w:type="dxa"/>
        <w:left w:w="0" w:type="dxa"/>
        <w:bottom w:w="0" w:type="dxa"/>
        <w:right w:w="0" w:type="dxa"/>
      </w:tblCellMar>
    </w:tblPr>
  </w:style>
  <w:style w:type="table" w:customStyle="1" w:styleId="680">
    <w:name w:val="TableGrid13"/>
    <w:qFormat/>
    <w:uiPriority w:val="0"/>
    <w:pPr>
      <w:spacing w:before="120" w:line="360" w:lineRule="auto"/>
      <w:jc w:val="both"/>
    </w:pPr>
    <w:rPr>
      <w:rFonts w:ascii="Book Antiqua" w:hAnsi="Book Antiqua" w:eastAsia="Times New Roman" w:cs="Arial"/>
    </w:rPr>
    <w:tblPr>
      <w:tblCellMar>
        <w:top w:w="0" w:type="dxa"/>
        <w:left w:w="0" w:type="dxa"/>
        <w:bottom w:w="0" w:type="dxa"/>
        <w:right w:w="0" w:type="dxa"/>
      </w:tblCellMar>
    </w:tblPr>
  </w:style>
  <w:style w:type="table" w:customStyle="1" w:styleId="681">
    <w:name w:val="TableGrid131"/>
    <w:uiPriority w:val="0"/>
    <w:pPr>
      <w:spacing w:before="120" w:line="360" w:lineRule="auto"/>
      <w:jc w:val="both"/>
    </w:pPr>
    <w:rPr>
      <w:rFonts w:ascii="Book Antiqua" w:hAnsi="Book Antiqua" w:eastAsia="Times New Roman" w:cs="Arial"/>
    </w:rPr>
    <w:tblPr>
      <w:tblCellMar>
        <w:top w:w="0" w:type="dxa"/>
        <w:left w:w="0" w:type="dxa"/>
        <w:bottom w:w="0" w:type="dxa"/>
        <w:right w:w="0" w:type="dxa"/>
      </w:tblCellMar>
    </w:tblPr>
  </w:style>
  <w:style w:type="table" w:customStyle="1" w:styleId="682">
    <w:name w:val="TableGrid14"/>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83">
    <w:name w:val="TableGrid15"/>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84">
    <w:name w:val="TableGrid2"/>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85">
    <w:name w:val="TableGrid21"/>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86">
    <w:name w:val="TableGrid3"/>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87">
    <w:name w:val="TableGrid31"/>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88">
    <w:name w:val="TableGrid4"/>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89">
    <w:name w:val="TableGrid41"/>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0">
    <w:name w:val="TableGrid5"/>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1">
    <w:name w:val="TableGrid51"/>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2">
    <w:name w:val="TableGrid6"/>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3">
    <w:name w:val="TableGrid61"/>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4">
    <w:name w:val="TableGrid7"/>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5">
    <w:name w:val="TableGrid71"/>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6">
    <w:name w:val="TableGrid8"/>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7">
    <w:name w:val="TableGrid81"/>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8">
    <w:name w:val="TableGrid9"/>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table" w:customStyle="1" w:styleId="699">
    <w:name w:val="TableGrid91"/>
    <w:qFormat/>
    <w:uiPriority w:val="0"/>
    <w:pPr>
      <w:spacing w:before="120" w:line="360" w:lineRule="auto"/>
      <w:jc w:val="both"/>
    </w:pPr>
    <w:rPr>
      <w:rFonts w:ascii="Book Antiqua" w:hAnsi="Book Antiqua" w:eastAsia="Times New Roman" w:cstheme="minorHAnsi"/>
    </w:rPr>
    <w:tblPr>
      <w:tblCellMar>
        <w:top w:w="0" w:type="dxa"/>
        <w:left w:w="0" w:type="dxa"/>
        <w:bottom w:w="0" w:type="dxa"/>
        <w:right w:w="0" w:type="dxa"/>
      </w:tblCellMar>
    </w:tblPr>
  </w:style>
  <w:style w:type="paragraph" w:customStyle="1" w:styleId="700">
    <w:name w:val="Tables"/>
    <w:basedOn w:val="92"/>
    <w:next w:val="78"/>
    <w:qFormat/>
    <w:uiPriority w:val="99"/>
    <w:pPr>
      <w:widowControl/>
      <w:tabs>
        <w:tab w:val="left" w:pos="660"/>
        <w:tab w:val="right" w:leader="dot" w:pos="9017"/>
        <w:tab w:val="center" w:leader="dot" w:pos="9432"/>
      </w:tabs>
      <w:autoSpaceDE/>
      <w:autoSpaceDN/>
      <w:spacing w:before="120"/>
      <w:ind w:left="0" w:firstLine="0"/>
    </w:pPr>
    <w:rPr>
      <w:rFonts w:eastAsia="Times New Roman" w:cstheme="minorHAnsi"/>
      <w:bCs w:val="0"/>
      <w:snapToGrid w:val="0"/>
      <w:kern w:val="32"/>
      <w:sz w:val="22"/>
      <w:szCs w:val="24"/>
      <w:lang w:eastAsia="en-GB"/>
    </w:rPr>
  </w:style>
  <w:style w:type="paragraph" w:customStyle="1" w:styleId="701">
    <w:name w:val="Text Left"/>
    <w:basedOn w:val="1"/>
    <w:qFormat/>
    <w:uiPriority w:val="99"/>
    <w:pPr>
      <w:widowControl w:val="0"/>
      <w:suppressAutoHyphens/>
      <w:overflowPunct w:val="0"/>
      <w:autoSpaceDE w:val="0"/>
      <w:autoSpaceDN w:val="0"/>
      <w:adjustRightInd w:val="0"/>
      <w:spacing w:before="120" w:after="0" w:line="227" w:lineRule="exact"/>
      <w:jc w:val="both"/>
      <w:textAlignment w:val="baseline"/>
    </w:pPr>
    <w:rPr>
      <w:rFonts w:ascii="Arial" w:hAnsi="Arial" w:eastAsia="Times New Roman" w:cstheme="minorHAnsi"/>
      <w:sz w:val="16"/>
      <w:szCs w:val="20"/>
      <w:lang w:val="en-GB" w:eastAsia="en-GB"/>
    </w:rPr>
  </w:style>
  <w:style w:type="paragraph" w:customStyle="1" w:styleId="702">
    <w:name w:val="Textkörper"/>
    <w:basedOn w:val="1"/>
    <w:next w:val="1"/>
    <w:qFormat/>
    <w:uiPriority w:val="99"/>
    <w:pPr>
      <w:autoSpaceDE w:val="0"/>
      <w:autoSpaceDN w:val="0"/>
      <w:adjustRightInd w:val="0"/>
      <w:spacing w:before="120" w:after="0" w:line="240" w:lineRule="auto"/>
      <w:jc w:val="both"/>
    </w:pPr>
    <w:rPr>
      <w:rFonts w:ascii="KELOAH+ArialMT" w:hAnsi="KELOAH+ArialMT" w:eastAsia="Times New Roman" w:cstheme="minorHAnsi"/>
      <w:szCs w:val="24"/>
      <w:lang w:eastAsia="en-GB"/>
    </w:rPr>
  </w:style>
  <w:style w:type="paragraph" w:customStyle="1" w:styleId="703">
    <w:name w:val="Textkörper-Einzug"/>
    <w:basedOn w:val="1"/>
    <w:next w:val="1"/>
    <w:uiPriority w:val="99"/>
    <w:pPr>
      <w:autoSpaceDE w:val="0"/>
      <w:autoSpaceDN w:val="0"/>
      <w:adjustRightInd w:val="0"/>
      <w:spacing w:before="120" w:after="0" w:line="240" w:lineRule="auto"/>
      <w:jc w:val="both"/>
    </w:pPr>
    <w:rPr>
      <w:rFonts w:ascii="KELOAH+ArialMT" w:hAnsi="KELOAH+ArialMT" w:eastAsia="Times New Roman" w:cstheme="minorHAnsi"/>
      <w:szCs w:val="24"/>
      <w:lang w:eastAsia="en-GB"/>
    </w:rPr>
  </w:style>
  <w:style w:type="paragraph" w:customStyle="1" w:styleId="704">
    <w:name w:val="Title 14"/>
    <w:basedOn w:val="1"/>
    <w:qFormat/>
    <w:uiPriority w:val="99"/>
    <w:pPr>
      <w:spacing w:before="120" w:after="0" w:line="240" w:lineRule="auto"/>
      <w:jc w:val="center"/>
    </w:pPr>
    <w:rPr>
      <w:rFonts w:ascii="Book Antiqua" w:hAnsi="Book Antiqua" w:eastAsia="Times New Roman" w:cstheme="minorHAnsi"/>
      <w:b/>
      <w:sz w:val="28"/>
      <w:szCs w:val="20"/>
      <w:lang w:val="en-GB" w:eastAsia="en-GB"/>
    </w:rPr>
  </w:style>
  <w:style w:type="paragraph" w:customStyle="1" w:styleId="705">
    <w:name w:val="Title 16"/>
    <w:basedOn w:val="1"/>
    <w:qFormat/>
    <w:uiPriority w:val="99"/>
    <w:pPr>
      <w:spacing w:before="120" w:after="0" w:line="240" w:lineRule="auto"/>
      <w:jc w:val="center"/>
    </w:pPr>
    <w:rPr>
      <w:rFonts w:ascii="Book Antiqua" w:hAnsi="Book Antiqua" w:eastAsia="Times New Roman" w:cstheme="minorHAnsi"/>
      <w:b/>
      <w:sz w:val="32"/>
      <w:szCs w:val="20"/>
      <w:lang w:val="en-GB" w:eastAsia="en-GB"/>
    </w:rPr>
  </w:style>
  <w:style w:type="paragraph" w:customStyle="1" w:styleId="706">
    <w:name w:val="Titre du document"/>
    <w:basedOn w:val="1"/>
    <w:qFormat/>
    <w:uiPriority w:val="99"/>
    <w:pPr>
      <w:spacing w:before="120" w:after="0" w:line="240" w:lineRule="auto"/>
      <w:jc w:val="both"/>
    </w:pPr>
    <w:rPr>
      <w:rFonts w:ascii="Arial" w:hAnsi="Arial" w:eastAsia="Times New Roman" w:cstheme="minorHAnsi"/>
      <w:b/>
      <w:bCs/>
      <w:color w:val="999999"/>
      <w:sz w:val="36"/>
      <w:szCs w:val="20"/>
      <w:lang w:val="fr-FR" w:eastAsia="fr-FR"/>
    </w:rPr>
  </w:style>
  <w:style w:type="paragraph" w:customStyle="1" w:styleId="707">
    <w:name w:val="TOC Appendix"/>
    <w:basedOn w:val="1"/>
    <w:uiPriority w:val="99"/>
    <w:pPr>
      <w:tabs>
        <w:tab w:val="left" w:pos="-1985"/>
        <w:tab w:val="left" w:pos="1418"/>
        <w:tab w:val="right" w:pos="9072"/>
      </w:tabs>
      <w:spacing w:before="120" w:after="0" w:line="240" w:lineRule="auto"/>
      <w:jc w:val="both"/>
    </w:pPr>
    <w:rPr>
      <w:rFonts w:ascii="Arial" w:hAnsi="Arial" w:eastAsia="Times New Roman" w:cstheme="minorHAnsi"/>
      <w:sz w:val="20"/>
      <w:szCs w:val="20"/>
      <w:lang w:val="en-GB" w:eastAsia="en-GB"/>
    </w:rPr>
  </w:style>
  <w:style w:type="paragraph" w:customStyle="1" w:styleId="708">
    <w:name w:val="TOC Header"/>
    <w:basedOn w:val="1"/>
    <w:uiPriority w:val="99"/>
    <w:pPr>
      <w:pBdr>
        <w:top w:val="single" w:color="auto" w:sz="6" w:space="12"/>
        <w:bottom w:val="single" w:color="auto" w:sz="6" w:space="12"/>
      </w:pBdr>
      <w:tabs>
        <w:tab w:val="left" w:pos="1418"/>
        <w:tab w:val="right" w:pos="9072"/>
      </w:tabs>
      <w:spacing w:before="120" w:after="0" w:line="240" w:lineRule="auto"/>
      <w:ind w:right="-1"/>
      <w:jc w:val="both"/>
    </w:pPr>
    <w:rPr>
      <w:rFonts w:ascii="Arial" w:hAnsi="Arial" w:eastAsia="Times New Roman" w:cstheme="minorHAnsi"/>
      <w:b/>
      <w:sz w:val="20"/>
      <w:szCs w:val="20"/>
      <w:lang w:val="en-GB" w:eastAsia="en-GB"/>
    </w:rPr>
  </w:style>
  <w:style w:type="character" w:customStyle="1" w:styleId="709">
    <w:name w:val="Unresolved Mention11"/>
    <w:semiHidden/>
    <w:unhideWhenUsed/>
    <w:uiPriority w:val="99"/>
    <w:rPr>
      <w:color w:val="605E5C"/>
      <w:shd w:val="clear" w:color="auto" w:fill="E1DFDD"/>
    </w:rPr>
  </w:style>
  <w:style w:type="character" w:customStyle="1" w:styleId="710">
    <w:name w:val="WW8Num5z2"/>
    <w:qFormat/>
    <w:uiPriority w:val="0"/>
    <w:rPr>
      <w:rFonts w:ascii="Wingdings" w:hAnsi="Wingdings"/>
    </w:rPr>
  </w:style>
  <w:style w:type="paragraph" w:customStyle="1" w:styleId="711">
    <w:name w:val="xl25"/>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Book Antiqua" w:hAnsi="Book Antiqua" w:eastAsia="Times New Roman" w:cstheme="minorHAnsi"/>
      <w:szCs w:val="24"/>
      <w:lang w:val="en-GB" w:eastAsia="en-GB"/>
    </w:rPr>
  </w:style>
  <w:style w:type="paragraph" w:customStyle="1" w:styleId="712">
    <w:name w:val="xl26"/>
    <w:basedOn w:val="1"/>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Book Antiqua" w:hAnsi="Book Antiqua" w:eastAsia="Times New Roman" w:cstheme="minorHAnsi"/>
      <w:szCs w:val="24"/>
      <w:lang w:val="en-GB" w:eastAsia="en-GB"/>
    </w:rPr>
  </w:style>
  <w:style w:type="paragraph" w:customStyle="1" w:styleId="713">
    <w:name w:val="xl27"/>
    <w:basedOn w:val="1"/>
    <w:qFormat/>
    <w:uiPriority w:val="99"/>
    <w:pPr>
      <w:pBdr>
        <w:top w:val="single" w:color="auto" w:sz="4" w:space="0"/>
        <w:left w:val="single" w:color="auto" w:sz="4" w:space="0"/>
        <w:bottom w:val="single" w:color="auto" w:sz="4" w:space="0"/>
        <w:right w:val="single" w:color="auto" w:sz="4" w:space="0"/>
      </w:pBdr>
      <w:spacing w:before="100" w:beforeAutospacing="1" w:after="100" w:afterAutospacing="1" w:line="240" w:lineRule="auto"/>
      <w:jc w:val="both"/>
    </w:pPr>
    <w:rPr>
      <w:rFonts w:ascii="Book Antiqua" w:hAnsi="Book Antiqua" w:eastAsia="Times New Roman" w:cstheme="minorHAnsi"/>
      <w:szCs w:val="24"/>
      <w:lang w:val="en-GB" w:eastAsia="en-GB"/>
    </w:rPr>
  </w:style>
  <w:style w:type="paragraph" w:customStyle="1" w:styleId="714">
    <w:name w:val="xl28"/>
    <w:basedOn w:val="1"/>
    <w:uiPriority w:val="99"/>
    <w:pPr>
      <w:pBdr>
        <w:top w:val="single" w:color="auto" w:sz="4" w:space="0"/>
        <w:left w:val="single" w:color="auto" w:sz="4" w:space="0"/>
        <w:bottom w:val="single" w:color="auto" w:sz="4" w:space="0"/>
      </w:pBdr>
      <w:spacing w:before="100" w:beforeAutospacing="1" w:after="100" w:afterAutospacing="1" w:line="240" w:lineRule="auto"/>
      <w:jc w:val="both"/>
    </w:pPr>
    <w:rPr>
      <w:rFonts w:ascii="Book Antiqua" w:hAnsi="Book Antiqua" w:eastAsia="Times New Roman" w:cstheme="minorHAnsi"/>
      <w:szCs w:val="24"/>
      <w:lang w:val="en-GB" w:eastAsia="en-GB"/>
    </w:rPr>
  </w:style>
  <w:style w:type="paragraph" w:customStyle="1" w:styleId="715">
    <w:name w:val="xl29"/>
    <w:basedOn w:val="1"/>
    <w:uiPriority w:val="99"/>
    <w:pPr>
      <w:pBdr>
        <w:top w:val="single" w:color="auto" w:sz="4" w:space="0"/>
        <w:left w:val="single" w:color="auto" w:sz="4" w:space="0"/>
        <w:right w:val="single" w:color="auto" w:sz="4" w:space="0"/>
      </w:pBdr>
      <w:spacing w:before="100" w:beforeAutospacing="1" w:after="100" w:afterAutospacing="1" w:line="240" w:lineRule="auto"/>
      <w:jc w:val="both"/>
    </w:pPr>
    <w:rPr>
      <w:rFonts w:ascii="Book Antiqua" w:hAnsi="Book Antiqua" w:eastAsia="Times New Roman" w:cstheme="minorHAnsi"/>
      <w:szCs w:val="24"/>
      <w:lang w:val="en-GB" w:eastAsia="en-GB"/>
    </w:rPr>
  </w:style>
  <w:style w:type="paragraph" w:customStyle="1" w:styleId="716">
    <w:name w:val="xl82"/>
    <w:basedOn w:val="1"/>
    <w:qFormat/>
    <w:uiPriority w:val="99"/>
    <w:pPr>
      <w:pBdr>
        <w:top w:val="single" w:color="auto" w:sz="4" w:space="0"/>
        <w:left w:val="single" w:color="auto" w:sz="4" w:space="0"/>
        <w:bottom w:val="single" w:color="auto" w:sz="8" w:space="0"/>
        <w:right w:val="single" w:color="auto" w:sz="4" w:space="0"/>
      </w:pBdr>
      <w:spacing w:before="100" w:beforeAutospacing="1" w:after="100" w:afterAutospacing="1" w:line="240" w:lineRule="auto"/>
      <w:jc w:val="both"/>
    </w:pPr>
    <w:rPr>
      <w:rFonts w:ascii="Book Antiqua" w:hAnsi="Book Antiqua" w:eastAsia="Times New Roman" w:cstheme="minorHAnsi"/>
      <w:sz w:val="16"/>
      <w:szCs w:val="16"/>
      <w:lang w:eastAsia="en-GB"/>
    </w:rPr>
  </w:style>
  <w:style w:type="table" w:customStyle="1" w:styleId="717">
    <w:name w:val="Table Grid50"/>
    <w:basedOn w:val="12"/>
    <w:qFormat/>
    <w:uiPriority w:val="39"/>
    <w:pPr>
      <w:spacing w:before="120" w:line="360" w:lineRule="auto"/>
      <w:jc w:val="both"/>
    </w:pPr>
    <w:rPr>
      <w:rFonts w:ascii="Book Antiqua" w:hAnsi="Book Antiqua" w:eastAsia="Calibri" w:cstheme="minorHAns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718">
    <w:name w:val="Table Grid56"/>
    <w:basedOn w:val="12"/>
    <w:qFormat/>
    <w:uiPriority w:val="59"/>
    <w:pPr>
      <w:spacing w:before="120" w:line="360" w:lineRule="auto"/>
      <w:jc w:val="both"/>
    </w:pPr>
    <w:rPr>
      <w:rFonts w:ascii="Book Antiqua" w:hAnsi="Book Antiqua" w:eastAsia="Calibri" w:cstheme="minorHAns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19">
    <w:name w:val="Unresolved Mention6"/>
    <w:basedOn w:val="11"/>
    <w:semiHidden/>
    <w:unhideWhenUsed/>
    <w:qFormat/>
    <w:uiPriority w:val="99"/>
    <w:rPr>
      <w:color w:val="605E5C"/>
      <w:shd w:val="clear" w:color="auto" w:fill="E1DFDD"/>
    </w:rPr>
  </w:style>
  <w:style w:type="character" w:customStyle="1" w:styleId="720">
    <w:name w:val="Unresolved Mention7"/>
    <w:basedOn w:val="11"/>
    <w:semiHidden/>
    <w:unhideWhenUsed/>
    <w:qFormat/>
    <w:uiPriority w:val="99"/>
    <w:rPr>
      <w:color w:val="605E5C"/>
      <w:shd w:val="clear" w:color="auto" w:fill="E1DFDD"/>
    </w:rPr>
  </w:style>
  <w:style w:type="table" w:customStyle="1" w:styleId="721">
    <w:name w:val="Table Grid Light3"/>
    <w:basedOn w:val="12"/>
    <w:qFormat/>
    <w:uiPriority w:val="40"/>
    <w:pPr>
      <w:spacing w:before="120" w:line="360" w:lineRule="auto"/>
      <w:jc w:val="both"/>
    </w:pPr>
    <w:rPr>
      <w:kern w:val="2"/>
      <w14:ligatures w14:val="standardContextual"/>
    </w:rPr>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style>
  <w:style w:type="table" w:customStyle="1" w:styleId="722">
    <w:name w:val="Plain Table 12"/>
    <w:basedOn w:val="12"/>
    <w:qFormat/>
    <w:uiPriority w:val="41"/>
    <w:tblPr>
      <w:tblBorders>
        <w:top w:val="single" w:color="BEBEBE" w:themeColor="background1" w:themeShade="BF" w:sz="4" w:space="0"/>
        <w:left w:val="single" w:color="BEBEBE" w:themeColor="background1" w:themeShade="BF" w:sz="4" w:space="0"/>
        <w:bottom w:val="single" w:color="BEBEBE" w:themeColor="background1" w:themeShade="BF" w:sz="4" w:space="0"/>
        <w:right w:val="single" w:color="BEBEBE" w:themeColor="background1" w:themeShade="BF" w:sz="4" w:space="0"/>
        <w:insideH w:val="single" w:color="BEBEBE" w:themeColor="background1" w:themeShade="BF" w:sz="4" w:space="0"/>
        <w:insideV w:val="single" w:color="BEBEBE" w:themeColor="background1" w:themeShade="BF" w:sz="4" w:space="0"/>
      </w:tblBorders>
    </w:tblPr>
    <w:tblStylePr w:type="firstRow">
      <w:rPr>
        <w:b/>
        <w:bCs/>
      </w:rPr>
    </w:tblStylePr>
    <w:tblStylePr w:type="lastRow">
      <w:rPr>
        <w:b/>
        <w:bCs/>
      </w:rPr>
      <w:tcPr>
        <w:tcBorders>
          <w:top w:val="double" w:color="BEBEBE" w:themeColor="background1" w:themeShade="BF" w:sz="4" w:space="0"/>
        </w:tcBorders>
      </w:tcPr>
    </w:tblStylePr>
    <w:tblStylePr w:type="firstCol">
      <w:rPr>
        <w:b/>
        <w:bCs/>
      </w:rPr>
    </w:tblStylePr>
    <w:tblStylePr w:type="lastCol">
      <w:rPr>
        <w:b/>
        <w:bCs/>
      </w:rPr>
    </w:tblStylePr>
    <w:tblStylePr w:type="band1Vert">
      <w:tcPr>
        <w:shd w:val="clear" w:color="auto" w:fill="F1F1F1" w:themeFill="background1" w:themeFillShade="F2"/>
      </w:tcPr>
    </w:tblStylePr>
    <w:tblStylePr w:type="band1Horz">
      <w:tcPr>
        <w:shd w:val="clear" w:color="auto" w:fill="F1F1F1" w:themeFill="background1" w:themeFillShade="F2"/>
      </w:tcPr>
    </w:tblStylePr>
  </w:style>
  <w:style w:type="character" w:customStyle="1" w:styleId="723">
    <w:name w:val="Intense Emphasis1"/>
    <w:basedOn w:val="11"/>
    <w:qFormat/>
    <w:uiPriority w:val="21"/>
    <w:rPr>
      <w:i/>
      <w:iCs/>
      <w:color w:val="5B9BD5" w:themeColor="accent1"/>
      <w14:textFill>
        <w14:solidFill>
          <w14:schemeClr w14:val="accent1"/>
        </w14:solidFill>
      </w14:textFill>
    </w:rPr>
  </w:style>
  <w:style w:type="character" w:customStyle="1" w:styleId="724">
    <w:name w:val="Intense Reference1"/>
    <w:basedOn w:val="11"/>
    <w:qFormat/>
    <w:uiPriority w:val="32"/>
    <w:rPr>
      <w:b/>
      <w:bCs/>
      <w:smallCaps/>
      <w:color w:val="5B9BD5" w:themeColor="accent1"/>
      <w:spacing w:val="5"/>
      <w14:textFill>
        <w14:solidFill>
          <w14:schemeClr w14:val="accent1"/>
        </w14:solidFill>
      </w14:textFill>
    </w:rPr>
  </w:style>
  <w:style w:type="character" w:customStyle="1" w:styleId="725">
    <w:name w:val="Subtle Reference1"/>
    <w:basedOn w:val="11"/>
    <w:qFormat/>
    <w:uiPriority w:val="31"/>
    <w:rPr>
      <w:smallCaps/>
      <w:color w:val="595959" w:themeColor="text1" w:themeTint="A6"/>
      <w14:textFill>
        <w14:solidFill>
          <w14:schemeClr w14:val="tx1">
            <w14:lumMod w14:val="65000"/>
            <w14:lumOff w14:val="35000"/>
          </w14:schemeClr>
        </w14:solidFill>
      </w14:textFill>
    </w:rPr>
  </w:style>
  <w:style w:type="table" w:customStyle="1" w:styleId="726">
    <w:name w:val="Plain Table 51"/>
    <w:basedOn w:val="12"/>
    <w:qFormat/>
    <w:uiPriority w:val="45"/>
    <w:tblStylePr w:type="firstRow">
      <w:rPr>
        <w:rFonts w:asciiTheme="majorHAnsi" w:hAnsiTheme="majorHAnsi" w:eastAsiaTheme="majorEastAsia" w:cstheme="majorBidi"/>
        <w:i/>
        <w:iCs/>
        <w:sz w:val="26"/>
      </w:rPr>
      <w:tcPr>
        <w:tcBorders>
          <w:bottom w:val="single" w:color="7E7E7E" w:themeColor="text1" w:themeTint="80" w:sz="4" w:space="0"/>
        </w:tcBorders>
        <w:shd w:val="clear" w:color="auto" w:fill="FFFFFF" w:themeFill="background1"/>
      </w:tcPr>
    </w:tblStylePr>
    <w:tblStylePr w:type="lastRow">
      <w:rPr>
        <w:rFonts w:asciiTheme="majorHAnsi" w:hAnsiTheme="majorHAnsi" w:eastAsiaTheme="majorEastAsia" w:cstheme="majorBidi"/>
        <w:i/>
        <w:iCs/>
        <w:sz w:val="26"/>
      </w:rPr>
      <w:tcPr>
        <w:tcBorders>
          <w:top w:val="single" w:color="7E7E7E" w:themeColor="text1" w:themeTint="80" w:sz="4" w:space="0"/>
        </w:tcBorders>
        <w:shd w:val="clear" w:color="auto" w:fill="FFFFFF" w:themeFill="background1"/>
      </w:tcPr>
    </w:tblStylePr>
    <w:tblStylePr w:type="firstCol">
      <w:pPr>
        <w:jc w:val="right"/>
      </w:pPr>
      <w:rPr>
        <w:rFonts w:asciiTheme="majorHAnsi" w:hAnsiTheme="majorHAnsi" w:eastAsiaTheme="majorEastAsia" w:cstheme="majorBidi"/>
        <w:i/>
        <w:iCs/>
        <w:sz w:val="26"/>
      </w:rPr>
      <w:tcPr>
        <w:tcBorders>
          <w:right w:val="single" w:color="7E7E7E" w:themeColor="text1" w:themeTint="80" w:sz="4" w:space="0"/>
        </w:tcBorders>
        <w:shd w:val="clear" w:color="auto" w:fill="FFFFFF" w:themeFill="background1"/>
      </w:tcPr>
    </w:tblStylePr>
    <w:tblStylePr w:type="lastCol">
      <w:rPr>
        <w:rFonts w:asciiTheme="majorHAnsi" w:hAnsiTheme="majorHAnsi" w:eastAsiaTheme="majorEastAsia" w:cstheme="majorBidi"/>
        <w:i/>
        <w:iCs/>
        <w:sz w:val="26"/>
      </w:rPr>
      <w:tcPr>
        <w:tcBorders>
          <w:left w:val="single" w:color="7E7E7E" w:themeColor="text1" w:themeTint="80" w:sz="4" w:space="0"/>
        </w:tcBorders>
        <w:shd w:val="clear" w:color="auto" w:fill="FFFFFF" w:themeFill="background1"/>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tblStylePr w:type="seCell">
      <w:tcPr>
        <w:tcBorders>
          <w:left w:val="nil"/>
        </w:tcBorders>
      </w:tcPr>
    </w:tblStylePr>
    <w:tblStylePr w:type="swCell">
      <w:tcPr>
        <w:tcBorders>
          <w:right w:val="nil"/>
        </w:tcBorders>
      </w:tcPr>
    </w:tblStylePr>
  </w:style>
  <w:style w:type="table" w:customStyle="1" w:styleId="727">
    <w:name w:val="Plain Table 31"/>
    <w:basedOn w:val="12"/>
    <w:qFormat/>
    <w:uiPriority w:val="43"/>
    <w:tblStylePr w:type="firstRow">
      <w:rPr>
        <w:b/>
        <w:bCs/>
        <w:caps/>
      </w:rPr>
      <w:tcPr>
        <w:tcBorders>
          <w:bottom w:val="single" w:color="7E7E7E" w:themeColor="text1" w:themeTint="80" w:sz="4" w:space="0"/>
        </w:tcBorders>
      </w:tcPr>
    </w:tblStylePr>
    <w:tblStylePr w:type="lastRow">
      <w:rPr>
        <w:b/>
        <w:bCs/>
        <w:caps/>
      </w:rPr>
      <w:tcPr>
        <w:tcBorders>
          <w:top w:val="nil"/>
        </w:tcBorders>
      </w:tcPr>
    </w:tblStylePr>
    <w:tblStylePr w:type="firstCol">
      <w:rPr>
        <w:b/>
        <w:bCs/>
        <w:caps/>
      </w:rPr>
      <w:tcPr>
        <w:tcBorders>
          <w:right w:val="single" w:color="7E7E7E" w:themeColor="text1" w:themeTint="80" w:sz="4" w:space="0"/>
        </w:tcBorders>
      </w:tcPr>
    </w:tblStylePr>
    <w:tblStylePr w:type="lastCol">
      <w:rPr>
        <w:b/>
        <w:bCs/>
        <w:caps/>
      </w:rPr>
      <w:tcPr>
        <w:tcBorders>
          <w:left w:val="nil"/>
        </w:tcBorders>
      </w:tcPr>
    </w:tblStylePr>
    <w:tblStylePr w:type="band1Vert">
      <w:tcPr>
        <w:shd w:val="clear" w:color="auto" w:fill="F1F1F1" w:themeFill="background1" w:themeFillShade="F2"/>
      </w:tcPr>
    </w:tblStylePr>
    <w:tblStylePr w:type="band1Horz">
      <w:tcPr>
        <w:shd w:val="clear" w:color="auto" w:fill="F1F1F1" w:themeFill="background1" w:themeFillShade="F2"/>
      </w:tcPr>
    </w:tblStylePr>
    <w:tblStylePr w:type="neCell">
      <w:tcPr>
        <w:tcBorders>
          <w:left w:val="nil"/>
        </w:tcBorders>
      </w:tcPr>
    </w:tblStylePr>
    <w:tblStylePr w:type="nwCell">
      <w:tcPr>
        <w:tcBorders>
          <w:right w:val="nil"/>
        </w:tcBorders>
      </w:tcPr>
    </w:tblStylePr>
  </w:style>
  <w:style w:type="table" w:customStyle="1" w:styleId="728">
    <w:name w:val="Grid Table 1 Light1"/>
    <w:basedOn w:val="12"/>
    <w:qFormat/>
    <w:uiPriority w:val="46"/>
    <w:tblPr>
      <w:tblBorders>
        <w:top w:val="single" w:color="999999" w:themeColor="text1" w:themeTint="66" w:sz="4" w:space="0"/>
        <w:left w:val="single" w:color="999999" w:themeColor="text1" w:themeTint="66" w:sz="4" w:space="0"/>
        <w:bottom w:val="single" w:color="999999" w:themeColor="text1" w:themeTint="66" w:sz="4" w:space="0"/>
        <w:right w:val="single" w:color="999999" w:themeColor="text1" w:themeTint="66" w:sz="4" w:space="0"/>
        <w:insideH w:val="single" w:color="999999" w:themeColor="text1" w:themeTint="66" w:sz="4" w:space="0"/>
        <w:insideV w:val="single" w:color="999999" w:themeColor="text1" w:themeTint="66"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2" w:space="0"/>
        </w:tcBorders>
      </w:tcPr>
    </w:tblStylePr>
    <w:tblStylePr w:type="firstCol">
      <w:rPr>
        <w:b/>
        <w:bCs/>
      </w:rPr>
    </w:tblStylePr>
    <w:tblStylePr w:type="lastCol">
      <w:rPr>
        <w:b/>
        <w:bCs/>
      </w:rPr>
    </w:tblStylePr>
  </w:style>
  <w:style w:type="table" w:customStyle="1" w:styleId="729">
    <w:name w:val="Grid Table 4 - Accent 11"/>
    <w:basedOn w:val="12"/>
    <w:qFormat/>
    <w:uiPriority w:val="49"/>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color w:val="FFFFFF" w:themeColor="background1"/>
        <w14:textFill>
          <w14:solidFill>
            <w14:schemeClr w14:val="bg1"/>
          </w14:solidFill>
        </w14:textFill>
      </w:rPr>
      <w:tcPr>
        <w:tcBorders>
          <w:top w:val="single" w:color="5B9BD5" w:themeColor="accent1" w:sz="4" w:space="0"/>
          <w:left w:val="single" w:color="5B9BD5" w:themeColor="accent1" w:sz="4" w:space="0"/>
          <w:bottom w:val="single" w:color="5B9BD5" w:themeColor="accent1" w:sz="4" w:space="0"/>
          <w:right w:val="single" w:color="5B9BD5" w:themeColor="accent1" w:sz="4" w:space="0"/>
          <w:insideH w:val="nil"/>
          <w:insideV w:val="nil"/>
        </w:tcBorders>
        <w:shd w:val="clear" w:color="auto" w:fill="5B9BD5" w:themeFill="accent1"/>
      </w:tcPr>
    </w:tblStylePr>
    <w:tblStylePr w:type="lastRow">
      <w:rPr>
        <w:b/>
        <w:bCs/>
      </w:rPr>
      <w:tcPr>
        <w:tcBorders>
          <w:top w:val="double" w:color="5B9BD5" w:themeColor="accent1"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table" w:customStyle="1" w:styleId="730">
    <w:name w:val="Plain Table 21"/>
    <w:basedOn w:val="12"/>
    <w:qFormat/>
    <w:uiPriority w:val="42"/>
    <w:tblPr>
      <w:tblBorders>
        <w:top w:val="single" w:color="7E7E7E" w:themeColor="text1" w:themeTint="80" w:sz="4" w:space="0"/>
        <w:bottom w:val="single" w:color="7E7E7E" w:themeColor="text1" w:themeTint="80" w:sz="4" w:space="0"/>
      </w:tblBorders>
    </w:tblPr>
    <w:tblStylePr w:type="firstRow">
      <w:rPr>
        <w:b/>
        <w:bCs/>
      </w:rPr>
      <w:tcPr>
        <w:tcBorders>
          <w:bottom w:val="single" w:color="7E7E7E" w:themeColor="text1" w:themeTint="80" w:sz="4" w:space="0"/>
        </w:tcBorders>
      </w:tcPr>
    </w:tblStylePr>
    <w:tblStylePr w:type="lastRow">
      <w:rPr>
        <w:b/>
        <w:bCs/>
      </w:rPr>
      <w:tcPr>
        <w:tcBorders>
          <w:top w:val="single" w:color="7E7E7E" w:themeColor="text1" w:themeTint="80" w:sz="4" w:space="0"/>
        </w:tcBorders>
      </w:tcPr>
    </w:tblStylePr>
    <w:tblStylePr w:type="firstCol">
      <w:rPr>
        <w:b/>
        <w:bCs/>
      </w:rPr>
    </w:tblStylePr>
    <w:tblStylePr w:type="lastCol">
      <w:rPr>
        <w:b/>
        <w:bCs/>
      </w:rPr>
    </w:tblStylePr>
    <w:tblStylePr w:type="band1Vert">
      <w:tcPr>
        <w:tcBorders>
          <w:left w:val="single" w:color="7E7E7E" w:themeColor="text1" w:themeTint="80" w:sz="4" w:space="0"/>
          <w:right w:val="single" w:color="7E7E7E" w:themeColor="text1" w:themeTint="80" w:sz="4" w:space="0"/>
        </w:tcBorders>
      </w:tcPr>
    </w:tblStylePr>
    <w:tblStylePr w:type="band2Vert">
      <w:tcPr>
        <w:tcBorders>
          <w:left w:val="single" w:color="7E7E7E" w:themeColor="text1" w:themeTint="80" w:sz="4" w:space="0"/>
          <w:right w:val="single" w:color="7E7E7E" w:themeColor="text1" w:themeTint="80" w:sz="4" w:space="0"/>
        </w:tcBorders>
      </w:tcPr>
    </w:tblStylePr>
    <w:tblStylePr w:type="band1Horz">
      <w:tcPr>
        <w:tcBorders>
          <w:top w:val="single" w:color="7E7E7E" w:themeColor="text1" w:themeTint="80" w:sz="4" w:space="0"/>
          <w:bottom w:val="single" w:color="7E7E7E" w:themeColor="text1" w:themeTint="80" w:sz="4" w:space="0"/>
        </w:tcBorders>
      </w:tcPr>
    </w:tblStylePr>
  </w:style>
  <w:style w:type="paragraph" w:customStyle="1" w:styleId="731">
    <w:name w:val="sub 2_"/>
    <w:basedOn w:val="4"/>
    <w:link w:val="732"/>
    <w:autoRedefine/>
    <w:qFormat/>
    <w:uiPriority w:val="99"/>
    <w:pPr>
      <w:ind w:left="1080" w:hanging="720"/>
    </w:pPr>
    <w:rPr>
      <w:rFonts w:ascii="Times New Roman" w:hAnsi="Times New Roman" w:cs="Times New Roman"/>
      <w:color w:val="2E75B6" w:themeColor="accent1" w:themeShade="BF"/>
      <w:kern w:val="3"/>
      <w:sz w:val="24"/>
      <w:u w:color="000000"/>
      <w:lang w:val="en-GB" w:bidi="en-US"/>
    </w:rPr>
  </w:style>
  <w:style w:type="character" w:customStyle="1" w:styleId="732">
    <w:name w:val="sub 2_ Char"/>
    <w:basedOn w:val="103"/>
    <w:link w:val="731"/>
    <w:qFormat/>
    <w:uiPriority w:val="99"/>
    <w:rPr>
      <w:rFonts w:ascii="Times New Roman" w:hAnsi="Times New Roman" w:cs="Times New Roman" w:eastAsiaTheme="majorEastAsia"/>
      <w:color w:val="2E75B6" w:themeColor="accent1" w:themeShade="BF"/>
      <w:kern w:val="3"/>
      <w:sz w:val="24"/>
      <w:szCs w:val="24"/>
      <w:u w:color="000000"/>
      <w:lang w:val="en-GB" w:bidi="en-US"/>
    </w:rPr>
  </w:style>
  <w:style w:type="table" w:customStyle="1" w:styleId="733">
    <w:name w:val="Grid Table 1 Light - Accent 11"/>
    <w:basedOn w:val="12"/>
    <w:qFormat/>
    <w:uiPriority w:val="46"/>
    <w:tblPr>
      <w:tblBorders>
        <w:top w:val="single" w:color="BDD6EE" w:themeColor="accent1" w:themeTint="66" w:sz="4" w:space="0"/>
        <w:left w:val="single" w:color="BDD6EE" w:themeColor="accent1" w:themeTint="66" w:sz="4" w:space="0"/>
        <w:bottom w:val="single" w:color="BDD6EE" w:themeColor="accent1" w:themeTint="66" w:sz="4" w:space="0"/>
        <w:right w:val="single" w:color="BDD6EE" w:themeColor="accent1" w:themeTint="66" w:sz="4" w:space="0"/>
        <w:insideH w:val="single" w:color="BDD6EE" w:themeColor="accent1" w:themeTint="66" w:sz="4" w:space="0"/>
        <w:insideV w:val="single" w:color="BDD6EE" w:themeColor="accent1" w:themeTint="66" w:sz="4" w:space="0"/>
      </w:tblBorders>
    </w:tblPr>
    <w:tblStylePr w:type="firstRow">
      <w:rPr>
        <w:b/>
        <w:bCs/>
      </w:rPr>
      <w:tcPr>
        <w:tcBorders>
          <w:bottom w:val="single" w:color="9CC2E5" w:themeColor="accent1" w:themeTint="99" w:sz="12" w:space="0"/>
        </w:tcBorders>
      </w:tcPr>
    </w:tblStylePr>
    <w:tblStylePr w:type="lastRow">
      <w:rPr>
        <w:b/>
        <w:bCs/>
      </w:rPr>
      <w:tcPr>
        <w:tcBorders>
          <w:top w:val="double" w:color="9CC2E5" w:themeColor="accent1" w:themeTint="99" w:sz="2" w:space="0"/>
        </w:tcBorders>
      </w:tcPr>
    </w:tblStylePr>
    <w:tblStylePr w:type="firstCol">
      <w:rPr>
        <w:b/>
        <w:bCs/>
      </w:rPr>
    </w:tblStylePr>
    <w:tblStylePr w:type="lastCol">
      <w:rPr>
        <w:b/>
        <w:bCs/>
      </w:rPr>
    </w:tblStylePr>
  </w:style>
  <w:style w:type="table" w:customStyle="1" w:styleId="734">
    <w:name w:val="Grid Table 1 Light - Accent 52"/>
    <w:basedOn w:val="12"/>
    <w:qFormat/>
    <w:uiPriority w:val="46"/>
    <w:pPr>
      <w:spacing w:before="120"/>
    </w:pPr>
    <w:rPr>
      <w:kern w:val="2"/>
      <w14:ligatures w14:val="standardContextual"/>
    </w:rPr>
    <w:tblPr>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Row">
      <w:rPr>
        <w:b/>
        <w:bCs/>
      </w:rPr>
      <w:tcPr>
        <w:tcBorders>
          <w:bottom w:val="single" w:color="8EAADB" w:themeColor="accent5" w:themeTint="99" w:sz="12" w:space="0"/>
        </w:tcBorders>
      </w:tcPr>
    </w:tblStylePr>
    <w:tblStylePr w:type="lastRow">
      <w:rPr>
        <w:b/>
        <w:bCs/>
      </w:rPr>
      <w:tcPr>
        <w:tcBorders>
          <w:top w:val="double" w:color="8EAADB" w:themeColor="accent5" w:themeTint="99" w:sz="2" w:space="0"/>
        </w:tcBorders>
      </w:tcPr>
    </w:tblStylePr>
    <w:tblStylePr w:type="firstCol">
      <w:rPr>
        <w:b/>
        <w:bCs/>
      </w:rPr>
    </w:tblStylePr>
    <w:tblStylePr w:type="lastCol">
      <w:rPr>
        <w:b/>
        <w:bCs/>
      </w:rPr>
    </w:tblStylePr>
  </w:style>
  <w:style w:type="character" w:customStyle="1" w:styleId="735">
    <w:name w:val="Comment Subject Char1"/>
    <w:basedOn w:val="131"/>
    <w:semiHidden/>
    <w:qFormat/>
    <w:uiPriority w:val="99"/>
    <w:rPr>
      <w:rFonts w:ascii="Calibri" w:hAnsi="Calibri" w:eastAsia="Times New Roman" w:cs="Times New Roman"/>
      <w:b/>
      <w:bCs/>
      <w:sz w:val="20"/>
      <w:szCs w:val="20"/>
    </w:rPr>
  </w:style>
  <w:style w:type="character" w:customStyle="1" w:styleId="736">
    <w:name w:val="z-Top of Form Char1"/>
    <w:basedOn w:val="11"/>
    <w:semiHidden/>
    <w:qFormat/>
    <w:uiPriority w:val="99"/>
    <w:rPr>
      <w:rFonts w:ascii="Arial" w:hAnsi="Arial" w:cs="Arial"/>
      <w:vanish/>
      <w:sz w:val="16"/>
      <w:szCs w:val="16"/>
    </w:rPr>
  </w:style>
  <w:style w:type="paragraph" w:customStyle="1" w:styleId="737">
    <w:name w:val="z-Bottom of Form1"/>
    <w:basedOn w:val="1"/>
    <w:next w:val="1"/>
    <w:link w:val="738"/>
    <w:semiHidden/>
    <w:unhideWhenUsed/>
    <w:qFormat/>
    <w:uiPriority w:val="99"/>
    <w:pPr>
      <w:pBdr>
        <w:top w:val="single" w:color="auto" w:sz="6" w:space="1"/>
      </w:pBdr>
      <w:spacing w:before="100" w:beforeAutospacing="1" w:after="0" w:afterAutospacing="1" w:line="240" w:lineRule="auto"/>
      <w:jc w:val="center"/>
    </w:pPr>
    <w:rPr>
      <w:rFonts w:ascii="Arial" w:hAnsi="Arial" w:eastAsia="Times New Roman" w:cs="Arial"/>
      <w:vanish/>
      <w:sz w:val="16"/>
      <w:szCs w:val="16"/>
      <w:lang w:val="en-GB" w:eastAsia="en-GB"/>
    </w:rPr>
  </w:style>
  <w:style w:type="character" w:customStyle="1" w:styleId="738">
    <w:name w:val="z-Bottom of Form Char"/>
    <w:basedOn w:val="11"/>
    <w:link w:val="737"/>
    <w:semiHidden/>
    <w:qFormat/>
    <w:uiPriority w:val="99"/>
    <w:rPr>
      <w:rFonts w:ascii="Arial" w:hAnsi="Arial" w:eastAsia="Times New Roman" w:cs="Arial"/>
      <w:vanish/>
      <w:sz w:val="16"/>
      <w:szCs w:val="16"/>
      <w:lang w:val="en-GB" w:eastAsia="en-GB"/>
    </w:rPr>
  </w:style>
  <w:style w:type="table" w:customStyle="1" w:styleId="739">
    <w:name w:val="Table inside1"/>
    <w:basedOn w:val="12"/>
    <w:qFormat/>
    <w:uiPriority w:val="39"/>
    <w:pPr>
      <w:spacing w:before="100" w:beforeAutospacing="1" w:afterAutospacing="1"/>
      <w:jc w:val="both"/>
    </w:pPr>
    <w:rPr>
      <w:rFonts w:eastAsia="Times New Roman"/>
      <w:lang w:val="en-GB" w:eastAsia="en-GB"/>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40">
    <w:name w:val="Header Char1"/>
    <w:basedOn w:val="11"/>
    <w:semiHidden/>
    <w:qFormat/>
    <w:uiPriority w:val="99"/>
    <w:rPr>
      <w:rFonts w:ascii="Book Antiqua" w:hAnsi="Book Antiqua" w:eastAsiaTheme="minorHAnsi"/>
    </w:rPr>
  </w:style>
  <w:style w:type="character" w:customStyle="1" w:styleId="741">
    <w:name w:val="Footer Char1"/>
    <w:basedOn w:val="11"/>
    <w:semiHidden/>
    <w:qFormat/>
    <w:uiPriority w:val="99"/>
    <w:rPr>
      <w:rFonts w:ascii="Book Antiqua" w:hAnsi="Book Antiqua" w:eastAsiaTheme="minorHAnsi"/>
    </w:rPr>
  </w:style>
  <w:style w:type="paragraph" w:customStyle="1" w:styleId="742">
    <w:name w:val="Char Char Char Char Char Char2"/>
    <w:basedOn w:val="1"/>
    <w:qFormat/>
    <w:uiPriority w:val="99"/>
    <w:pPr>
      <w:spacing w:before="120" w:after="0" w:line="240" w:lineRule="exact"/>
      <w:jc w:val="both"/>
    </w:pPr>
    <w:rPr>
      <w:rFonts w:ascii="Arial" w:hAnsi="Arial" w:eastAsia="Times New Roman" w:cstheme="minorHAnsi"/>
      <w:sz w:val="20"/>
      <w:szCs w:val="20"/>
      <w:lang w:eastAsia="en-GB"/>
    </w:rPr>
  </w:style>
  <w:style w:type="table" w:customStyle="1" w:styleId="743">
    <w:name w:val="Grid Table 42"/>
    <w:basedOn w:val="12"/>
    <w:qFormat/>
    <w:uiPriority w:val="49"/>
    <w:pPr>
      <w:spacing w:before="120"/>
    </w:pPr>
    <w:rPr>
      <w:kern w:val="2"/>
      <w14:ligatures w14:val="standardContextual"/>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color w:val="FFFFFF" w:themeColor="background1"/>
        <w14:textFill>
          <w14:solidFill>
            <w14:schemeClr w14:val="bg1"/>
          </w14:solidFill>
        </w14:textFill>
      </w:r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nil"/>
        </w:tcBorders>
        <w:shd w:val="clear" w:color="auto" w:fill="000000" w:themeFill="text1"/>
      </w:tcPr>
    </w:tblStylePr>
    <w:tblStylePr w:type="lastRow">
      <w:rPr>
        <w:b/>
        <w:bCs/>
      </w:rPr>
      <w:tcPr>
        <w:tcBorders>
          <w:top w:val="double" w:color="000000" w:themeColor="text1"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table" w:customStyle="1" w:styleId="744">
    <w:name w:val="Grid Table 6 Colorful2"/>
    <w:basedOn w:val="12"/>
    <w:uiPriority w:val="51"/>
    <w:pPr>
      <w:spacing w:before="120"/>
    </w:pPr>
    <w:rPr>
      <w:color w:val="000000" w:themeColor="text1"/>
      <w:kern w:val="2"/>
      <w14:textFill>
        <w14:solidFill>
          <w14:schemeClr w14:val="tx1"/>
        </w14:solidFill>
      </w14:textFill>
      <w14:ligatures w14:val="standardContextual"/>
    </w:rPr>
    <w:tblPr>
      <w:tblBorders>
        <w:top w:val="single" w:color="666666" w:themeColor="text1" w:themeTint="99" w:sz="4" w:space="0"/>
        <w:left w:val="single" w:color="666666" w:themeColor="text1" w:themeTint="99" w:sz="4" w:space="0"/>
        <w:bottom w:val="single" w:color="666666" w:themeColor="text1" w:themeTint="99" w:sz="4" w:space="0"/>
        <w:right w:val="single" w:color="666666" w:themeColor="text1" w:themeTint="99" w:sz="4" w:space="0"/>
        <w:insideH w:val="single" w:color="666666" w:themeColor="text1" w:themeTint="99" w:sz="4" w:space="0"/>
        <w:insideV w:val="single" w:color="666666" w:themeColor="text1" w:themeTint="99" w:sz="4" w:space="0"/>
      </w:tblBorders>
    </w:tblPr>
    <w:tblStylePr w:type="firstRow">
      <w:rPr>
        <w:b/>
        <w:bCs/>
      </w:rPr>
      <w:tcPr>
        <w:tcBorders>
          <w:bottom w:val="single" w:color="666666" w:themeColor="text1" w:themeTint="99" w:sz="12" w:space="0"/>
        </w:tcBorders>
      </w:tcPr>
    </w:tblStylePr>
    <w:tblStylePr w:type="lastRow">
      <w:rPr>
        <w:b/>
        <w:bCs/>
      </w:rPr>
      <w:tcPr>
        <w:tcBorders>
          <w:top w:val="double" w:color="666666" w:themeColor="text1" w:themeTint="99" w:sz="4" w:space="0"/>
        </w:tcBorders>
      </w:tcPr>
    </w:tblStylePr>
    <w:tblStylePr w:type="firstCol">
      <w:rPr>
        <w:b/>
        <w:bCs/>
      </w:rPr>
    </w:tblStylePr>
    <w:tblStylePr w:type="lastCol">
      <w:rPr>
        <w:b/>
        <w:bCs/>
      </w:rPr>
    </w:tblStylePr>
    <w:tblStylePr w:type="band1Vert">
      <w:tcPr>
        <w:shd w:val="clear" w:color="auto" w:fill="CCCCCC" w:themeFill="text1" w:themeFillTint="33"/>
      </w:tcPr>
    </w:tblStylePr>
    <w:tblStylePr w:type="band1Horz">
      <w:tcPr>
        <w:shd w:val="clear" w:color="auto" w:fill="CCCCCC" w:themeFill="text1" w:themeFillTint="33"/>
      </w:tcPr>
    </w:tblStylePr>
  </w:style>
  <w:style w:type="table" w:customStyle="1" w:styleId="745">
    <w:name w:val="Grid Table 6 Colorful - Accent 12"/>
    <w:basedOn w:val="12"/>
    <w:qFormat/>
    <w:uiPriority w:val="51"/>
    <w:pPr>
      <w:spacing w:before="120"/>
    </w:pPr>
    <w:rPr>
      <w:color w:val="2E75B6" w:themeColor="accent1" w:themeShade="BF"/>
      <w:kern w:val="2"/>
      <w14:ligatures w14:val="standardContextual"/>
    </w:rPr>
    <w:tblPr>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firstRow">
      <w:rPr>
        <w:b/>
        <w:bCs/>
      </w:rPr>
      <w:tcPr>
        <w:tcBorders>
          <w:bottom w:val="single" w:color="9CC2E5" w:themeColor="accent1" w:themeTint="99" w:sz="12" w:space="0"/>
        </w:tcBorders>
      </w:tcPr>
    </w:tblStylePr>
    <w:tblStylePr w:type="lastRow">
      <w:rPr>
        <w:b/>
        <w:bCs/>
      </w:rPr>
      <w:tcPr>
        <w:tcBorders>
          <w:top w:val="double" w:color="9CC2E5" w:themeColor="accent1" w:themeTint="99" w:sz="4" w:space="0"/>
        </w:tcBorders>
      </w:tcPr>
    </w:tblStylePr>
    <w:tblStylePr w:type="firstCol">
      <w:rPr>
        <w:b/>
        <w:bCs/>
      </w:rPr>
    </w:tblStylePr>
    <w:tblStylePr w:type="lastCol">
      <w:rPr>
        <w:b/>
        <w:bCs/>
      </w:rPr>
    </w:tblStylePr>
    <w:tblStylePr w:type="band1Vert">
      <w:tcPr>
        <w:shd w:val="clear" w:color="auto" w:fill="DEEAF6" w:themeFill="accent1" w:themeFillTint="33"/>
      </w:tcPr>
    </w:tblStylePr>
    <w:tblStylePr w:type="band1Horz">
      <w:tcPr>
        <w:shd w:val="clear" w:color="auto" w:fill="DEEAF6" w:themeFill="accent1" w:themeFillTint="33"/>
      </w:tcPr>
    </w:tblStylePr>
  </w:style>
  <w:style w:type="table" w:customStyle="1" w:styleId="746">
    <w:name w:val="Light List - Accent 11"/>
    <w:basedOn w:val="12"/>
    <w:uiPriority w:val="61"/>
    <w:rPr>
      <w:rFonts w:eastAsiaTheme="minorEastAsia"/>
    </w:rPr>
    <w:tblPr>
      <w:tblBorders>
        <w:top w:val="single" w:color="5B9BD5" w:themeColor="accent1" w:sz="8" w:space="0"/>
        <w:left w:val="single" w:color="5B9BD5" w:themeColor="accent1" w:sz="8" w:space="0"/>
        <w:bottom w:val="single" w:color="5B9BD5" w:themeColor="accent1" w:sz="8" w:space="0"/>
        <w:right w:val="single" w:color="5B9BD5" w:themeColor="accent1" w:sz="8" w:space="0"/>
      </w:tblBorders>
    </w:tblPr>
    <w:tblStylePr w:type="firstRow">
      <w:pPr>
        <w:spacing w:before="0" w:beforeLines="0" w:beforeAutospacing="0" w:after="0" w:afterLines="0" w:afterAutospacing="0" w:line="240" w:lineRule="auto"/>
      </w:pPr>
      <w:rPr>
        <w:b/>
        <w:bCs/>
        <w:color w:val="FFFFFF" w:themeColor="background1"/>
        <w14:textFill>
          <w14:solidFill>
            <w14:schemeClr w14:val="bg1"/>
          </w14:solidFill>
        </w14:textFill>
      </w:rPr>
      <w:tcPr>
        <w:shd w:val="clear" w:color="auto" w:fill="5B9BD5" w:themeFill="accent1"/>
      </w:tcPr>
    </w:tblStylePr>
    <w:tblStylePr w:type="lastRow">
      <w:pPr>
        <w:spacing w:before="0" w:beforeLines="0" w:beforeAutospacing="0" w:after="0" w:afterLines="0" w:afterAutospacing="0" w:line="240" w:lineRule="auto"/>
      </w:pPr>
      <w:rPr>
        <w:b/>
        <w:bCs/>
      </w:rPr>
      <w:tcPr>
        <w:tcBorders>
          <w:top w:val="double" w:color="5B9BD5" w:themeColor="accent1" w:sz="6" w:space="0"/>
          <w:left w:val="single" w:color="5B9BD5" w:themeColor="accent1" w:sz="8" w:space="0"/>
          <w:bottom w:val="single" w:color="5B9BD5" w:themeColor="accent1" w:sz="8" w:space="0"/>
          <w:right w:val="single" w:color="5B9BD5" w:themeColor="accent1" w:sz="8" w:space="0"/>
        </w:tcBorders>
      </w:tcPr>
    </w:tblStylePr>
    <w:tblStylePr w:type="firstCol">
      <w:rPr>
        <w:b/>
        <w:bCs/>
      </w:rPr>
    </w:tblStylePr>
    <w:tblStylePr w:type="lastCol">
      <w:rPr>
        <w:b/>
        <w:bCs/>
      </w:rPr>
    </w:tblStylePr>
    <w:tblStylePr w:type="band1Vert">
      <w:tcPr>
        <w:tcBorders>
          <w:top w:val="single" w:color="5B9BD5" w:themeColor="accent1" w:sz="8" w:space="0"/>
          <w:left w:val="single" w:color="5B9BD5" w:themeColor="accent1" w:sz="8" w:space="0"/>
          <w:bottom w:val="single" w:color="5B9BD5" w:themeColor="accent1" w:sz="8" w:space="0"/>
          <w:right w:val="single" w:color="5B9BD5" w:themeColor="accent1" w:sz="8" w:space="0"/>
        </w:tcBorders>
      </w:tcPr>
    </w:tblStylePr>
    <w:tblStylePr w:type="band1Horz">
      <w:tcPr>
        <w:tcBorders>
          <w:top w:val="single" w:color="5B9BD5" w:themeColor="accent1" w:sz="8" w:space="0"/>
          <w:left w:val="single" w:color="5B9BD5" w:themeColor="accent1" w:sz="8" w:space="0"/>
          <w:bottom w:val="single" w:color="5B9BD5" w:themeColor="accent1" w:sz="8" w:space="0"/>
          <w:right w:val="single" w:color="5B9BD5" w:themeColor="accent1" w:sz="8" w:space="0"/>
        </w:tcBorders>
      </w:tcPr>
    </w:tblStylePr>
  </w:style>
  <w:style w:type="table" w:customStyle="1" w:styleId="747">
    <w:name w:val="Medium Grid 214"/>
    <w:basedOn w:val="12"/>
    <w:semiHidden/>
    <w:uiPriority w:val="1"/>
    <w:tblStylePr w:type="firstCol">
      <w:tcPr>
        <w:tcBorders>
          <w:top w:val="nil"/>
          <w:left w:val="nil"/>
          <w:bottom w:val="nil"/>
          <w:right w:val="nil"/>
          <w:insideH w:val="nil"/>
          <w:insideV w:val="nil"/>
        </w:tcBorders>
        <w:shd w:val="clear" w:color="auto" w:fill="FFFFFF"/>
      </w:tcPr>
    </w:tblStylePr>
  </w:style>
  <w:style w:type="table" w:customStyle="1" w:styleId="748">
    <w:name w:val="Medium Grid 215"/>
    <w:basedOn w:val="12"/>
    <w:semiHidden/>
    <w:qFormat/>
    <w:uiPriority w:val="1"/>
    <w:tblStylePr w:type="lastCol">
      <w:tcPr>
        <w:tcBorders>
          <w:top w:val="nil"/>
          <w:left w:val="nil"/>
          <w:bottom w:val="nil"/>
          <w:right w:val="nil"/>
          <w:insideH w:val="nil"/>
          <w:insideV w:val="nil"/>
        </w:tcBorders>
        <w:shd w:val="clear" w:color="auto" w:fill="CCCCCC"/>
      </w:tcPr>
    </w:tblStylePr>
  </w:style>
  <w:style w:type="table" w:customStyle="1" w:styleId="749">
    <w:name w:val="Medium Grid 216"/>
    <w:basedOn w:val="12"/>
    <w:semiHidden/>
    <w:uiPriority w:val="1"/>
    <w:tblStylePr w:type="band1Vert">
      <w:tcPr>
        <w:shd w:val="clear" w:color="auto" w:fill="808080"/>
      </w:tcPr>
    </w:tblStylePr>
  </w:style>
  <w:style w:type="table" w:customStyle="1" w:styleId="750">
    <w:name w:val="Medium Grid 217"/>
    <w:basedOn w:val="12"/>
    <w:semiHidden/>
    <w:uiPriority w:val="1"/>
    <w:tblStylePr w:type="band1Horz">
      <w:tcPr>
        <w:tcBorders>
          <w:insideH w:val="single" w:sz="6" w:space="0"/>
          <w:insideV w:val="single" w:sz="6" w:space="0"/>
        </w:tcBorders>
        <w:shd w:val="clear" w:color="auto" w:fill="808080"/>
      </w:tcPr>
    </w:tblStylePr>
  </w:style>
  <w:style w:type="table" w:customStyle="1" w:styleId="751">
    <w:name w:val="Medium Grid 218"/>
    <w:basedOn w:val="12"/>
    <w:semiHidden/>
    <w:uiPriority w:val="1"/>
    <w:tblStylePr w:type="nwCell">
      <w:tcPr>
        <w:shd w:val="clear" w:color="auto" w:fill="FFFFFF"/>
      </w:tcPr>
    </w:tblStylePr>
  </w:style>
  <w:style w:type="table" w:customStyle="1" w:styleId="752">
    <w:name w:val="Light Grid - Accent 11"/>
    <w:basedOn w:val="12"/>
    <w:uiPriority w:val="62"/>
    <w:rPr>
      <w:rFonts w:eastAsiaTheme="minorEastAsia"/>
    </w:rPr>
    <w:tblPr>
      <w:tblBorders>
        <w:top w:val="single" w:color="5B9BD5" w:themeColor="accent1" w:sz="8" w:space="0"/>
        <w:left w:val="single" w:color="5B9BD5" w:themeColor="accent1" w:sz="8" w:space="0"/>
        <w:bottom w:val="single" w:color="5B9BD5" w:themeColor="accent1" w:sz="8" w:space="0"/>
        <w:right w:val="single" w:color="5B9BD5" w:themeColor="accent1" w:sz="8" w:space="0"/>
        <w:insideH w:val="single" w:color="5B9BD5" w:themeColor="accent1" w:sz="8" w:space="0"/>
        <w:insideV w:val="single" w:color="5B9BD5" w:themeColor="accent1" w:sz="8" w:space="0"/>
      </w:tblBorders>
    </w:tblPr>
    <w:tblStylePr w:type="firstRow">
      <w:pPr>
        <w:spacing w:before="0" w:after="0" w:line="240" w:lineRule="auto"/>
      </w:pPr>
      <w:rPr>
        <w:rFonts w:asciiTheme="majorHAnsi" w:hAnsiTheme="majorHAnsi" w:eastAsiaTheme="majorEastAsia" w:cstheme="majorBidi"/>
        <w:b/>
        <w:bCs/>
      </w:rPr>
      <w:tcPr>
        <w:tcBorders>
          <w:top w:val="single" w:color="5B9BD5" w:themeColor="accent1" w:sz="8" w:space="0"/>
          <w:left w:val="single" w:color="5B9BD5" w:themeColor="accent1" w:sz="8" w:space="0"/>
          <w:bottom w:val="single" w:color="5B9BD5" w:themeColor="accent1" w:sz="18" w:space="0"/>
          <w:right w:val="single" w:color="5B9BD5" w:themeColor="accent1" w:sz="8" w:space="0"/>
          <w:insideH w:val="nil"/>
          <w:insideV w:val="single" w:sz="8" w:space="0"/>
        </w:tcBorders>
      </w:tcPr>
    </w:tblStylePr>
    <w:tblStylePr w:type="lastRow">
      <w:pPr>
        <w:spacing w:before="0" w:after="0" w:line="240" w:lineRule="auto"/>
      </w:pPr>
      <w:rPr>
        <w:rFonts w:asciiTheme="majorHAnsi" w:hAnsiTheme="majorHAnsi" w:eastAsiaTheme="majorEastAsia" w:cstheme="majorBidi"/>
        <w:b/>
        <w:bCs/>
      </w:rPr>
      <w:tcPr>
        <w:tcBorders>
          <w:top w:val="double" w:color="5B9BD5" w:themeColor="accent1" w:sz="6" w:space="0"/>
          <w:left w:val="single" w:color="5B9BD5" w:themeColor="accent1" w:sz="8" w:space="0"/>
          <w:bottom w:val="single" w:color="5B9BD5" w:themeColor="accent1" w:sz="8" w:space="0"/>
          <w:right w:val="single" w:color="5B9BD5" w:themeColor="accent1" w:sz="8" w:space="0"/>
          <w:insideH w:val="nil"/>
          <w:insideV w:val="single"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cPr>
        <w:tcBorders>
          <w:top w:val="single" w:color="5B9BD5" w:themeColor="accent1" w:sz="8" w:space="0"/>
          <w:left w:val="single" w:color="5B9BD5" w:themeColor="accent1" w:sz="8" w:space="0"/>
          <w:bottom w:val="single" w:color="5B9BD5" w:themeColor="accent1" w:sz="8" w:space="0"/>
          <w:right w:val="single" w:color="5B9BD5" w:themeColor="accent1" w:sz="8" w:space="0"/>
        </w:tcBorders>
      </w:tcPr>
    </w:tblStylePr>
    <w:tblStylePr w:type="band1Vert">
      <w:tcPr>
        <w:tcBorders>
          <w:top w:val="single" w:color="5B9BD5" w:themeColor="accent1" w:sz="8" w:space="0"/>
          <w:left w:val="single" w:color="5B9BD5" w:themeColor="accent1" w:sz="8" w:space="0"/>
          <w:bottom w:val="single" w:color="5B9BD5" w:themeColor="accent1" w:sz="8" w:space="0"/>
          <w:right w:val="single" w:color="5B9BD5" w:themeColor="accent1" w:sz="8" w:space="0"/>
        </w:tcBorders>
        <w:shd w:val="clear" w:color="auto" w:fill="D6E6F4" w:themeFill="accent1" w:themeFillTint="3F"/>
      </w:tcPr>
    </w:tblStylePr>
    <w:tblStylePr w:type="band1Horz">
      <w:tcPr>
        <w:tcBorders>
          <w:top w:val="single" w:color="5B9BD5" w:themeColor="accent1" w:sz="8" w:space="0"/>
          <w:left w:val="single" w:color="5B9BD5" w:themeColor="accent1" w:sz="8" w:space="0"/>
          <w:bottom w:val="single" w:color="5B9BD5" w:themeColor="accent1" w:sz="8" w:space="0"/>
          <w:right w:val="single" w:color="5B9BD5" w:themeColor="accent1" w:sz="8" w:space="0"/>
          <w:insideV w:val="single" w:sz="8" w:space="0"/>
        </w:tcBorders>
        <w:shd w:val="clear" w:color="auto" w:fill="D6E6F4" w:themeFill="accent1" w:themeFillTint="3F"/>
      </w:tcPr>
    </w:tblStylePr>
    <w:tblStylePr w:type="band2Horz">
      <w:tcPr>
        <w:tcBorders>
          <w:top w:val="single" w:color="5B9BD5" w:themeColor="accent1" w:sz="8" w:space="0"/>
          <w:left w:val="single" w:color="5B9BD5" w:themeColor="accent1" w:sz="8" w:space="0"/>
          <w:bottom w:val="single" w:color="5B9BD5" w:themeColor="accent1" w:sz="8" w:space="0"/>
          <w:right w:val="single" w:color="5B9BD5" w:themeColor="accent1" w:sz="8" w:space="0"/>
          <w:insideV w:val="single" w:sz="8" w:space="0"/>
        </w:tcBorders>
      </w:tcPr>
    </w:tblStylePr>
  </w:style>
  <w:style w:type="character" w:customStyle="1" w:styleId="753">
    <w:name w:val="z-Bottom of Form Char1"/>
    <w:basedOn w:val="11"/>
    <w:semiHidden/>
    <w:uiPriority w:val="99"/>
    <w:rPr>
      <w:rFonts w:ascii="Arial" w:hAnsi="Arial" w:cs="Arial"/>
      <w:vanish/>
      <w:sz w:val="16"/>
      <w:szCs w:val="16"/>
    </w:rPr>
  </w:style>
  <w:style w:type="table" w:customStyle="1" w:styleId="754">
    <w:name w:val="Grid Table 4 - Accent 51"/>
    <w:basedOn w:val="12"/>
    <w:uiPriority w:val="49"/>
    <w:tblPr>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firstRow">
      <w:rPr>
        <w:b/>
        <w:bCs/>
        <w:color w:val="FFFFFF" w:themeColor="background1"/>
        <w14:textFill>
          <w14:solidFill>
            <w14:schemeClr w14:val="bg1"/>
          </w14:solidFill>
        </w14:textFill>
      </w:rPr>
      <w:tcPr>
        <w:tcBorders>
          <w:top w:val="single" w:color="4472C4" w:themeColor="accent5" w:sz="4" w:space="0"/>
          <w:left w:val="single" w:color="4472C4" w:themeColor="accent5" w:sz="4" w:space="0"/>
          <w:bottom w:val="single" w:color="4472C4" w:themeColor="accent5" w:sz="4" w:space="0"/>
          <w:right w:val="single" w:color="4472C4" w:themeColor="accent5" w:sz="4" w:space="0"/>
          <w:insideH w:val="nil"/>
          <w:insideV w:val="nil"/>
        </w:tcBorders>
        <w:shd w:val="clear" w:color="auto" w:fill="4472C4" w:themeFill="accent5"/>
      </w:tcPr>
    </w:tblStylePr>
    <w:tblStylePr w:type="lastRow">
      <w:rPr>
        <w:b/>
        <w:bCs/>
      </w:rPr>
      <w:tcPr>
        <w:tcBorders>
          <w:top w:val="double" w:color="4472C4" w:themeColor="accent5" w:sz="4" w:space="0"/>
        </w:tcBorders>
      </w:tcPr>
    </w:tblStylePr>
    <w:tblStylePr w:type="firstCol">
      <w:rPr>
        <w:b/>
        <w:bCs/>
      </w:rPr>
    </w:tblStylePr>
    <w:tblStylePr w:type="lastCol">
      <w:rPr>
        <w:b/>
        <w:bCs/>
      </w:rPr>
    </w:tblStylePr>
    <w:tblStylePr w:type="band1Vert">
      <w:tcPr>
        <w:shd w:val="clear" w:color="auto" w:fill="D9E2F3" w:themeFill="accent5" w:themeFillTint="33"/>
      </w:tcPr>
    </w:tblStylePr>
    <w:tblStylePr w:type="band1Horz">
      <w:tcPr>
        <w:shd w:val="clear" w:color="auto" w:fill="D9E2F3" w:themeFill="accent5" w:themeFillTint="33"/>
      </w:tcPr>
    </w:tblStylePr>
  </w:style>
  <w:style w:type="table" w:customStyle="1" w:styleId="755">
    <w:name w:val="SGS Table Basic 11"/>
    <w:basedOn w:val="12"/>
    <w:qFormat/>
    <w:uiPriority w:val="39"/>
    <w:rPr>
      <w:rFonts w:eastAsia="Times New Roman"/>
      <w:kern w:val="2"/>
      <w:sz w:val="24"/>
      <w:szCs w:val="24"/>
      <w14:ligatures w14:val="standardContextu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756">
    <w:name w:val="Revision"/>
    <w:hidden/>
    <w:semiHidden/>
    <w:uiPriority w:val="99"/>
    <w:rPr>
      <w:rFonts w:ascii="Arial Narrow" w:hAnsi="Arial Narrow" w:eastAsiaTheme="minorHAnsi" w:cstheme="minorBidi"/>
      <w:sz w:val="22"/>
      <w:szCs w:val="22"/>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46.jpeg"/><Relationship Id="rId98" Type="http://schemas.openxmlformats.org/officeDocument/2006/relationships/image" Target="media/image45.jpeg"/><Relationship Id="rId97" Type="http://schemas.openxmlformats.org/officeDocument/2006/relationships/image" Target="media/image44.jpeg"/><Relationship Id="rId96" Type="http://schemas.openxmlformats.org/officeDocument/2006/relationships/image" Target="media/image43.jpeg"/><Relationship Id="rId95" Type="http://schemas.openxmlformats.org/officeDocument/2006/relationships/image" Target="media/image42.jpeg"/><Relationship Id="rId94" Type="http://schemas.openxmlformats.org/officeDocument/2006/relationships/image" Target="media/image41.jpeg"/><Relationship Id="rId93" Type="http://schemas.openxmlformats.org/officeDocument/2006/relationships/image" Target="media/image40.jpeg"/><Relationship Id="rId92" Type="http://schemas.openxmlformats.org/officeDocument/2006/relationships/image" Target="media/image39.jpeg"/><Relationship Id="rId91" Type="http://schemas.openxmlformats.org/officeDocument/2006/relationships/image" Target="media/image38.jpeg"/><Relationship Id="rId90" Type="http://schemas.openxmlformats.org/officeDocument/2006/relationships/image" Target="media/image37.jpeg"/><Relationship Id="rId9" Type="http://schemas.openxmlformats.org/officeDocument/2006/relationships/header" Target="header3.xml"/><Relationship Id="rId89" Type="http://schemas.openxmlformats.org/officeDocument/2006/relationships/image" Target="media/image36.jpeg"/><Relationship Id="rId88" Type="http://schemas.openxmlformats.org/officeDocument/2006/relationships/image" Target="media/image35.jpeg"/><Relationship Id="rId87" Type="http://schemas.openxmlformats.org/officeDocument/2006/relationships/image" Target="media/image34.jpeg"/><Relationship Id="rId86" Type="http://schemas.openxmlformats.org/officeDocument/2006/relationships/image" Target="media/image33.emf"/><Relationship Id="rId85" Type="http://schemas.openxmlformats.org/officeDocument/2006/relationships/image" Target="media/image32.emf"/><Relationship Id="rId84" Type="http://schemas.openxmlformats.org/officeDocument/2006/relationships/image" Target="media/image31.jpeg"/><Relationship Id="rId83" Type="http://schemas.openxmlformats.org/officeDocument/2006/relationships/image" Target="media/image30.jpeg"/><Relationship Id="rId82" Type="http://schemas.openxmlformats.org/officeDocument/2006/relationships/image" Target="media/image29.jpeg"/><Relationship Id="rId81" Type="http://schemas.openxmlformats.org/officeDocument/2006/relationships/image" Target="media/image28.jpeg"/><Relationship Id="rId80" Type="http://schemas.openxmlformats.org/officeDocument/2006/relationships/image" Target="media/image27.jpeg"/><Relationship Id="rId8" Type="http://schemas.openxmlformats.org/officeDocument/2006/relationships/footer" Target="footer2.xml"/><Relationship Id="rId79" Type="http://schemas.openxmlformats.org/officeDocument/2006/relationships/image" Target="media/image26.jpeg"/><Relationship Id="rId78" Type="http://schemas.openxmlformats.org/officeDocument/2006/relationships/image" Target="media/image25.jpeg"/><Relationship Id="rId77" Type="http://schemas.openxmlformats.org/officeDocument/2006/relationships/image" Target="media/image24.jpeg"/><Relationship Id="rId76" Type="http://schemas.openxmlformats.org/officeDocument/2006/relationships/image" Target="media/image23.jpeg"/><Relationship Id="rId75" Type="http://schemas.openxmlformats.org/officeDocument/2006/relationships/image" Target="media/image22.png"/><Relationship Id="rId74" Type="http://schemas.openxmlformats.org/officeDocument/2006/relationships/image" Target="media/image21.jpeg"/><Relationship Id="rId73" Type="http://schemas.openxmlformats.org/officeDocument/2006/relationships/image" Target="media/image20.jpeg"/><Relationship Id="rId72" Type="http://schemas.openxmlformats.org/officeDocument/2006/relationships/image" Target="media/image19.jpeg"/><Relationship Id="rId71" Type="http://schemas.openxmlformats.org/officeDocument/2006/relationships/chart" Target="charts/chart4.xml"/><Relationship Id="rId70" Type="http://schemas.openxmlformats.org/officeDocument/2006/relationships/chart" Target="charts/chart3.xml"/><Relationship Id="rId7" Type="http://schemas.openxmlformats.org/officeDocument/2006/relationships/header" Target="header2.xml"/><Relationship Id="rId69" Type="http://schemas.openxmlformats.org/officeDocument/2006/relationships/image" Target="media/image18.jpeg"/><Relationship Id="rId68" Type="http://schemas.openxmlformats.org/officeDocument/2006/relationships/image" Target="media/image17.jpeg"/><Relationship Id="rId67" Type="http://schemas.openxmlformats.org/officeDocument/2006/relationships/image" Target="media/image16.jpeg"/><Relationship Id="rId66" Type="http://schemas.openxmlformats.org/officeDocument/2006/relationships/image" Target="media/image15.png"/><Relationship Id="rId65" Type="http://schemas.openxmlformats.org/officeDocument/2006/relationships/chart" Target="charts/chart2.xml"/><Relationship Id="rId64" Type="http://schemas.openxmlformats.org/officeDocument/2006/relationships/chart" Target="charts/chart1.xml"/><Relationship Id="rId63" Type="http://schemas.microsoft.com/office/2007/relationships/hdphoto" Target="media/image14.wdp"/><Relationship Id="rId62" Type="http://schemas.openxmlformats.org/officeDocument/2006/relationships/image" Target="media/image13.png"/><Relationship Id="rId61" Type="http://schemas.openxmlformats.org/officeDocument/2006/relationships/image" Target="media/image12.jpeg"/><Relationship Id="rId60" Type="http://schemas.openxmlformats.org/officeDocument/2006/relationships/image" Target="media/image11.jpeg"/><Relationship Id="rId6" Type="http://schemas.openxmlformats.org/officeDocument/2006/relationships/footer" Target="footer1.xml"/><Relationship Id="rId59" Type="http://schemas.openxmlformats.org/officeDocument/2006/relationships/image" Target="media/image10.jpeg"/><Relationship Id="rId58" Type="http://schemas.openxmlformats.org/officeDocument/2006/relationships/image" Target="media/image9.jpeg"/><Relationship Id="rId57" Type="http://schemas.openxmlformats.org/officeDocument/2006/relationships/image" Target="media/image8.png"/><Relationship Id="rId56" Type="http://schemas.openxmlformats.org/officeDocument/2006/relationships/image" Target="media/image7.png"/><Relationship Id="rId55" Type="http://schemas.openxmlformats.org/officeDocument/2006/relationships/image" Target="media/image6.png"/><Relationship Id="rId54" Type="http://schemas.openxmlformats.org/officeDocument/2006/relationships/image" Target="media/image5.jpeg"/><Relationship Id="rId53" Type="http://schemas.openxmlformats.org/officeDocument/2006/relationships/image" Target="media/image4.jpeg"/><Relationship Id="rId52" Type="http://schemas.openxmlformats.org/officeDocument/2006/relationships/image" Target="media/image3.png"/><Relationship Id="rId51" Type="http://schemas.openxmlformats.org/officeDocument/2006/relationships/image" Target="media/image2.jpeg"/><Relationship Id="rId50" Type="http://schemas.openxmlformats.org/officeDocument/2006/relationships/image" Target="media/image1.png"/><Relationship Id="rId5" Type="http://schemas.openxmlformats.org/officeDocument/2006/relationships/header" Target="header1.xml"/><Relationship Id="rId49" Type="http://schemas.openxmlformats.org/officeDocument/2006/relationships/theme" Target="theme/theme1.xml"/><Relationship Id="rId48" Type="http://schemas.openxmlformats.org/officeDocument/2006/relationships/header" Target="header36.xml"/><Relationship Id="rId47" Type="http://schemas.openxmlformats.org/officeDocument/2006/relationships/header" Target="header35.xml"/><Relationship Id="rId46" Type="http://schemas.openxmlformats.org/officeDocument/2006/relationships/header" Target="header34.xml"/><Relationship Id="rId45" Type="http://schemas.openxmlformats.org/officeDocument/2006/relationships/header" Target="header33.xml"/><Relationship Id="rId44" Type="http://schemas.openxmlformats.org/officeDocument/2006/relationships/header" Target="header32.xml"/><Relationship Id="rId43" Type="http://schemas.openxmlformats.org/officeDocument/2006/relationships/header" Target="header31.xml"/><Relationship Id="rId42" Type="http://schemas.openxmlformats.org/officeDocument/2006/relationships/header" Target="header30.xml"/><Relationship Id="rId41" Type="http://schemas.openxmlformats.org/officeDocument/2006/relationships/header" Target="header29.xml"/><Relationship Id="rId40" Type="http://schemas.openxmlformats.org/officeDocument/2006/relationships/header" Target="header28.xml"/><Relationship Id="rId4" Type="http://schemas.openxmlformats.org/officeDocument/2006/relationships/endnotes" Target="endnotes.xml"/><Relationship Id="rId39" Type="http://schemas.openxmlformats.org/officeDocument/2006/relationships/header" Target="header27.xml"/><Relationship Id="rId38" Type="http://schemas.openxmlformats.org/officeDocument/2006/relationships/header" Target="header26.xml"/><Relationship Id="rId37" Type="http://schemas.openxmlformats.org/officeDocument/2006/relationships/footer" Target="footer8.xml"/><Relationship Id="rId36" Type="http://schemas.openxmlformats.org/officeDocument/2006/relationships/header" Target="header25.xml"/><Relationship Id="rId35" Type="http://schemas.openxmlformats.org/officeDocument/2006/relationships/header" Target="header24.xml"/><Relationship Id="rId34" Type="http://schemas.openxmlformats.org/officeDocument/2006/relationships/header" Target="header23.xml"/><Relationship Id="rId33" Type="http://schemas.openxmlformats.org/officeDocument/2006/relationships/header" Target="header22.xml"/><Relationship Id="rId32" Type="http://schemas.openxmlformats.org/officeDocument/2006/relationships/header" Target="header21.xml"/><Relationship Id="rId31" Type="http://schemas.openxmlformats.org/officeDocument/2006/relationships/header" Target="header20.xml"/><Relationship Id="rId30" Type="http://schemas.openxmlformats.org/officeDocument/2006/relationships/header" Target="header19.xml"/><Relationship Id="rId3" Type="http://schemas.openxmlformats.org/officeDocument/2006/relationships/footnotes" Target="footnotes.xml"/><Relationship Id="rId29" Type="http://schemas.openxmlformats.org/officeDocument/2006/relationships/header" Target="header18.xml"/><Relationship Id="rId28" Type="http://schemas.openxmlformats.org/officeDocument/2006/relationships/header" Target="header17.xml"/><Relationship Id="rId27" Type="http://schemas.openxmlformats.org/officeDocument/2006/relationships/header" Target="header16.xml"/><Relationship Id="rId26" Type="http://schemas.openxmlformats.org/officeDocument/2006/relationships/header" Target="header15.xml"/><Relationship Id="rId25" Type="http://schemas.openxmlformats.org/officeDocument/2006/relationships/header" Target="header14.xml"/><Relationship Id="rId24" Type="http://schemas.openxmlformats.org/officeDocument/2006/relationships/header" Target="header13.xml"/><Relationship Id="rId23" Type="http://schemas.openxmlformats.org/officeDocument/2006/relationships/header" Target="header12.xml"/><Relationship Id="rId22" Type="http://schemas.openxmlformats.org/officeDocument/2006/relationships/header" Target="header11.xml"/><Relationship Id="rId21" Type="http://schemas.openxmlformats.org/officeDocument/2006/relationships/header" Target="header10.xml"/><Relationship Id="rId20" Type="http://schemas.openxmlformats.org/officeDocument/2006/relationships/footer" Target="footer7.xml"/><Relationship Id="rId2" Type="http://schemas.openxmlformats.org/officeDocument/2006/relationships/settings" Target="settings.xml"/><Relationship Id="rId19" Type="http://schemas.openxmlformats.org/officeDocument/2006/relationships/header" Target="header9.xml"/><Relationship Id="rId18" Type="http://schemas.openxmlformats.org/officeDocument/2006/relationships/header" Target="header8.xml"/><Relationship Id="rId17" Type="http://schemas.openxmlformats.org/officeDocument/2006/relationships/header" Target="header7.xml"/><Relationship Id="rId16" Type="http://schemas.openxmlformats.org/officeDocument/2006/relationships/footer" Target="footer6.xml"/><Relationship Id="rId15" Type="http://schemas.openxmlformats.org/officeDocument/2006/relationships/header" Target="header6.xml"/><Relationship Id="rId14" Type="http://schemas.openxmlformats.org/officeDocument/2006/relationships/footer" Target="footer5.xml"/><Relationship Id="rId13" Type="http://schemas.openxmlformats.org/officeDocument/2006/relationships/header" Target="header5.xml"/><Relationship Id="rId120" Type="http://schemas.openxmlformats.org/officeDocument/2006/relationships/fontTable" Target="fontTable.xml"/><Relationship Id="rId12" Type="http://schemas.openxmlformats.org/officeDocument/2006/relationships/footer" Target="footer4.xml"/><Relationship Id="rId119" Type="http://schemas.openxmlformats.org/officeDocument/2006/relationships/customXml" Target="../customXml/item2.xml"/><Relationship Id="rId118" Type="http://schemas.openxmlformats.org/officeDocument/2006/relationships/numbering" Target="numbering.xml"/><Relationship Id="rId117" Type="http://schemas.openxmlformats.org/officeDocument/2006/relationships/customXml" Target="../customXml/item1.xml"/><Relationship Id="rId116" Type="http://schemas.microsoft.com/office/2007/relationships/hdphoto" Target="media/image63.wdp"/><Relationship Id="rId115" Type="http://schemas.openxmlformats.org/officeDocument/2006/relationships/image" Target="media/image62.png"/><Relationship Id="rId114" Type="http://schemas.openxmlformats.org/officeDocument/2006/relationships/image" Target="media/image61.emf"/><Relationship Id="rId113" Type="http://schemas.openxmlformats.org/officeDocument/2006/relationships/image" Target="media/image60.emf"/><Relationship Id="rId112" Type="http://schemas.openxmlformats.org/officeDocument/2006/relationships/image" Target="media/image59.emf"/><Relationship Id="rId111" Type="http://schemas.openxmlformats.org/officeDocument/2006/relationships/image" Target="media/image58.jpeg"/><Relationship Id="rId110" Type="http://schemas.openxmlformats.org/officeDocument/2006/relationships/image" Target="media/image57.jpeg"/><Relationship Id="rId11" Type="http://schemas.openxmlformats.org/officeDocument/2006/relationships/header" Target="header4.xml"/><Relationship Id="rId109" Type="http://schemas.openxmlformats.org/officeDocument/2006/relationships/image" Target="media/image56.jpeg"/><Relationship Id="rId108" Type="http://schemas.openxmlformats.org/officeDocument/2006/relationships/image" Target="media/image55.jpeg"/><Relationship Id="rId107" Type="http://schemas.openxmlformats.org/officeDocument/2006/relationships/image" Target="media/image54.jpeg"/><Relationship Id="rId106" Type="http://schemas.openxmlformats.org/officeDocument/2006/relationships/image" Target="media/image53.jpeg"/><Relationship Id="rId105" Type="http://schemas.openxmlformats.org/officeDocument/2006/relationships/image" Target="media/image52.jpeg"/><Relationship Id="rId104" Type="http://schemas.openxmlformats.org/officeDocument/2006/relationships/image" Target="media/image51.jpeg"/><Relationship Id="rId103" Type="http://schemas.openxmlformats.org/officeDocument/2006/relationships/image" Target="media/image50.jpeg"/><Relationship Id="rId102" Type="http://schemas.openxmlformats.org/officeDocument/2006/relationships/image" Target="media/image49.jpeg"/><Relationship Id="rId101" Type="http://schemas.openxmlformats.org/officeDocument/2006/relationships/image" Target="media/image48.jpeg"/><Relationship Id="rId100" Type="http://schemas.openxmlformats.org/officeDocument/2006/relationships/image" Target="media/image47.jpeg"/><Relationship Id="rId10" Type="http://schemas.openxmlformats.org/officeDocument/2006/relationships/footer" Target="foot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Book1"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4.xml"/><Relationship Id="rId2" Type="http://schemas.microsoft.com/office/2011/relationships/chartStyle" Target="style4.xml"/><Relationship Id="rId1" Type="http://schemas.openxmlformats.org/officeDocument/2006/relationships/oleObject" Target="file:///C:\Users\snasimiyu\AppData\Roaming\Microsoft\Excel\Book1%20(version%201).xlsb" TargetMode="External"/></Relationships>
</file>

<file path=word/charts/_rels/chart3.xml.rels><?xml version="1.0" encoding="UTF-8" standalone="yes"?>
<Relationships xmlns="http://schemas.openxmlformats.org/package/2006/relationships"><Relationship Id="rId3" Type="http://schemas.microsoft.com/office/2011/relationships/chartColorStyle" Target="colors3.xml"/><Relationship Id="rId2" Type="http://schemas.microsoft.com/office/2011/relationships/chartStyle" Target="style3.xml"/><Relationship Id="rId1" Type="http://schemas.openxmlformats.org/officeDocument/2006/relationships/oleObject" Target="file:///C:\Users\snasimiyu\AppData\Roaming\Microsoft\Excel\Book1%20(version%201).xlsb" TargetMode="External"/></Relationships>
</file>

<file path=word/charts/_rels/chart4.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Book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800" b="1" i="0" u="none" strike="noStrike" kern="1200" baseline="0">
                <a:solidFill>
                  <a:schemeClr val="dk1">
                    <a:lumMod val="75000"/>
                    <a:lumOff val="25000"/>
                  </a:schemeClr>
                </a:solidFill>
                <a:latin typeface="+mn-lt"/>
                <a:ea typeface="+mn-ea"/>
                <a:cs typeface="+mn-cs"/>
              </a:defRPr>
            </a:pPr>
            <a:r>
              <a:rPr lang="en-US"/>
              <a:t>Highiest level of education</a:t>
            </a:r>
            <a:endParaRPr lang="en-US"/>
          </a:p>
        </c:rich>
      </c:tx>
      <c:layout/>
      <c:overlay val="0"/>
      <c:spPr>
        <a:noFill/>
        <a:ln>
          <a:noFill/>
        </a:ln>
        <a:effectLst/>
      </c:spPr>
    </c:title>
    <c:autoTitleDeleted val="0"/>
    <c:plotArea>
      <c:layout/>
      <c:pieChart>
        <c:varyColors val="1"/>
        <c:ser>
          <c:idx val="0"/>
          <c:order val="0"/>
          <c:spPr/>
          <c:explosion val="0"/>
          <c:dPt>
            <c:idx val="0"/>
            <c:bubble3D val="0"/>
            <c:spPr>
              <a:solidFill>
                <a:schemeClr val="accent1"/>
              </a:solidFill>
              <a:ln>
                <a:noFill/>
              </a:ln>
              <a:effectLst>
                <a:outerShdw blurRad="254000" sx="102000" sy="102000" algn="ctr" rotWithShape="0">
                  <a:prstClr val="black">
                    <a:alpha val="20000"/>
                  </a:prstClr>
                </a:outerShdw>
              </a:effectLst>
            </c:spPr>
          </c:dPt>
          <c:dPt>
            <c:idx val="1"/>
            <c:bubble3D val="0"/>
            <c:spPr>
              <a:solidFill>
                <a:schemeClr val="accent2"/>
              </a:solidFill>
              <a:ln>
                <a:noFill/>
              </a:ln>
              <a:effectLst>
                <a:outerShdw blurRad="254000" sx="102000" sy="102000" algn="ctr" rotWithShape="0">
                  <a:prstClr val="black">
                    <a:alpha val="20000"/>
                  </a:prstClr>
                </a:outerShdw>
              </a:effectLst>
            </c:spPr>
          </c:dPt>
          <c:dPt>
            <c:idx val="2"/>
            <c:bubble3D val="0"/>
            <c:spPr>
              <a:solidFill>
                <a:schemeClr val="accent3"/>
              </a:solidFill>
              <a:ln>
                <a:noFill/>
              </a:ln>
              <a:effectLst>
                <a:outerShdw blurRad="254000" sx="102000" sy="102000" algn="ctr" rotWithShape="0">
                  <a:prstClr val="black">
                    <a:alpha val="20000"/>
                  </a:prstClr>
                </a:outerShdw>
              </a:effectLst>
            </c:spPr>
          </c:dPt>
          <c:dPt>
            <c:idx val="3"/>
            <c:bubble3D val="0"/>
            <c:spPr>
              <a:solidFill>
                <a:schemeClr val="accent4"/>
              </a:solidFill>
              <a:ln>
                <a:noFill/>
              </a:ln>
              <a:effectLst>
                <a:outerShdw blurRad="254000" sx="102000" sy="102000" algn="ctr" rotWithShape="0">
                  <a:prstClr val="black">
                    <a:alpha val="20000"/>
                  </a:prstClr>
                </a:outerShdw>
              </a:effectLst>
            </c:spPr>
          </c:dPt>
          <c:dPt>
            <c:idx val="4"/>
            <c:bubble3D val="0"/>
            <c:spPr>
              <a:solidFill>
                <a:schemeClr val="accent5"/>
              </a:solidFill>
              <a:ln>
                <a:noFill/>
              </a:ln>
              <a:effectLst>
                <a:outerShdw blurRad="254000" sx="102000" sy="102000" algn="ctr" rotWithShape="0">
                  <a:prstClr val="black">
                    <a:alpha val="20000"/>
                  </a:prstClr>
                </a:outerShdw>
              </a:effectLst>
            </c:spPr>
          </c:dPt>
          <c:dLbls>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lang="en-US" sz="1000" b="1" i="0" u="none" strike="noStrike" kern="1200" baseline="0">
                    <a:solidFill>
                      <a:schemeClr val="lt1"/>
                    </a:solidFill>
                    <a:latin typeface="+mn-lt"/>
                    <a:ea typeface="+mn-ea"/>
                    <a:cs typeface="+mn-cs"/>
                  </a:defRPr>
                </a:pPr>
              </a:p>
            </c:txPr>
            <c:dLblPos val="ctr"/>
            <c:showLegendKey val="0"/>
            <c:showVal val="0"/>
            <c:showCatName val="0"/>
            <c:showSerName val="0"/>
            <c:showPercent val="1"/>
            <c:showBubbleSize val="0"/>
            <c:showLeaderLines val="1"/>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Sheet1!$A$1:$A$5</c:f>
              <c:strCache>
                <c:ptCount val="5"/>
                <c:pt idx="0">
                  <c:v>None </c:v>
                </c:pt>
                <c:pt idx="1">
                  <c:v>Primary</c:v>
                </c:pt>
                <c:pt idx="2">
                  <c:v>Secondary</c:v>
                </c:pt>
                <c:pt idx="3">
                  <c:v>Tertiary</c:v>
                </c:pt>
                <c:pt idx="4">
                  <c:v>University</c:v>
                </c:pt>
              </c:strCache>
            </c:strRef>
          </c:cat>
          <c:val>
            <c:numRef>
              <c:f>Sheet1!$B$1:$B$5</c:f>
              <c:numCache>
                <c:formatCode>0%</c:formatCode>
                <c:ptCount val="5"/>
                <c:pt idx="0">
                  <c:v>0.4</c:v>
                </c:pt>
                <c:pt idx="1">
                  <c:v>0.14</c:v>
                </c:pt>
                <c:pt idx="2">
                  <c:v>0.16</c:v>
                </c:pt>
                <c:pt idx="3">
                  <c:v>0.2</c:v>
                </c:pt>
                <c:pt idx="4">
                  <c:v>0.1</c:v>
                </c:pt>
              </c:numCache>
            </c:numRef>
          </c:val>
        </c:ser>
        <c:dLbls>
          <c:showLegendKey val="0"/>
          <c:showVal val="0"/>
          <c:showCatName val="0"/>
          <c:showSerName val="0"/>
          <c:showPercent val="1"/>
          <c:showBubbleSize val="0"/>
          <c:showLeaderLines val="1"/>
        </c:dLbls>
        <c:firstSliceAng val="0"/>
      </c:pieChart>
      <c:spPr>
        <a:noFill/>
        <a:ln>
          <a:noFill/>
        </a:ln>
        <a:effectLst/>
      </c:spPr>
    </c:plotArea>
    <c:legend>
      <c:legendPos val="r"/>
      <c:layout/>
      <c:overlay val="0"/>
      <c:spPr>
        <a:solidFill>
          <a:schemeClr val="lt1">
            <a:lumMod val="95000"/>
            <a:alpha val="39000"/>
          </a:schemeClr>
        </a:solidFill>
        <a:ln>
          <a:noFill/>
        </a:ln>
        <a:effectLst/>
      </c:spPr>
      <c:txPr>
        <a:bodyPr rot="0" spcFirstLastPara="1" vertOverflow="ellipsis" vert="horz" wrap="square" anchor="ctr" anchorCtr="1"/>
        <a:lstStyle/>
        <a:p>
          <a:pPr>
            <a:defRPr lang="en-US" sz="900" b="0" i="0" u="none" strike="noStrike" kern="1200" baseline="0">
              <a:solidFill>
                <a:schemeClr val="dk1">
                  <a:lumMod val="75000"/>
                  <a:lumOff val="25000"/>
                </a:schemeClr>
              </a:solidFill>
              <a:latin typeface="+mn-lt"/>
              <a:ea typeface="+mn-ea"/>
              <a:cs typeface="+mn-cs"/>
            </a:defRPr>
          </a:pPr>
        </a:p>
      </c:txPr>
    </c:legend>
    <c:plotVisOnly val="1"/>
    <c:dispBlanksAs val="gap"/>
    <c:showDLblsOverMax val="0"/>
    <c:extLst>
      <c:ext uri="{0b15fc19-7d7d-44ad-8c2d-2c3a37ce22c3}">
        <chartProps xmlns="https://web.wps.cn/et/2018/main" chartId="{08877ff7-1ac9-4dfe-a56a-bfc8179b1cfd}"/>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lang="en-US"/>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600" b="1" i="0" u="none" strike="noStrike" kern="1200" cap="all" baseline="0">
                <a:solidFill>
                  <a:schemeClr val="tx1">
                    <a:lumMod val="65000"/>
                    <a:lumOff val="35000"/>
                  </a:schemeClr>
                </a:solidFill>
                <a:latin typeface="+mn-lt"/>
                <a:ea typeface="+mn-ea"/>
                <a:cs typeface="+mn-cs"/>
              </a:defRPr>
            </a:pPr>
            <a:r>
              <a:rPr lang="en-US" sz="1050"/>
              <a:t>children</a:t>
            </a:r>
            <a:r>
              <a:rPr lang="en-US" sz="1050" baseline="0"/>
              <a:t> going to school</a:t>
            </a:r>
            <a:endParaRPr lang="en-US" sz="1000"/>
          </a:p>
        </c:rich>
      </c:tx>
      <c:layout/>
      <c:overlay val="0"/>
      <c:spPr>
        <a:noFill/>
        <a:ln>
          <a:noFill/>
        </a:ln>
        <a:effectLst/>
      </c:spPr>
    </c:title>
    <c:autoTitleDeleted val="0"/>
    <c:plotArea>
      <c:layout/>
      <c:pieChart>
        <c:varyColors val="1"/>
        <c:ser>
          <c:idx val="0"/>
          <c:order val="0"/>
          <c:spPr/>
          <c:explosion val="0"/>
          <c:dPt>
            <c:idx val="0"/>
            <c:bubble3D val="0"/>
            <c:spPr>
              <a:solidFill>
                <a:schemeClr val="accent6"/>
              </a:solidFill>
              <a:ln>
                <a:noFill/>
              </a:ln>
              <a:effectLst>
                <a:outerShdw blurRad="63500" sx="102000" sy="102000" algn="ctr" rotWithShape="0">
                  <a:prstClr val="black">
                    <a:alpha val="20000"/>
                  </a:prstClr>
                </a:outerShdw>
              </a:effectLst>
            </c:spPr>
          </c:dPt>
          <c:dPt>
            <c:idx val="1"/>
            <c:bubble3D val="0"/>
            <c:spPr>
              <a:solidFill>
                <a:schemeClr val="accent5"/>
              </a:solidFill>
              <a:ln>
                <a:noFill/>
              </a:ln>
              <a:effectLst>
                <a:outerShdw blurRad="63500" sx="102000" sy="102000" algn="ctr" rotWithShape="0">
                  <a:prstClr val="black">
                    <a:alpha val="20000"/>
                  </a:prstClr>
                </a:outerShdw>
              </a:effectLst>
            </c:spPr>
          </c:dPt>
          <c:dLbls>
            <c:dLbl>
              <c:idx val="0"/>
              <c:layout/>
              <c:numFmt formatCode="General" sourceLinked="1"/>
              <c:spPr>
                <a:noFill/>
                <a:ln>
                  <a:noFill/>
                </a:ln>
                <a:effectLst/>
              </c:spPr>
              <c:txPr>
                <a:bodyPr rot="0" spcFirstLastPara="1" vertOverflow="ellipsis" vert="horz" wrap="square" lIns="38100" tIns="19050" rIns="38100" bIns="19050" anchor="ctr" anchorCtr="1">
                  <a:spAutoFit/>
                </a:bodyPr>
                <a:lstStyle/>
                <a:p>
                  <a:pPr>
                    <a:defRPr lang="en-US" sz="1000" b="1" i="0" u="none" strike="noStrike" kern="1200" spc="0" baseline="0">
                      <a:solidFill>
                        <a:schemeClr val="accent6"/>
                      </a:solidFill>
                      <a:latin typeface="+mn-lt"/>
                      <a:ea typeface="+mn-ea"/>
                      <a:cs typeface="+mn-cs"/>
                    </a:defRPr>
                  </a:pPr>
                </a:p>
              </c:txPr>
              <c:dLblPos val="outEnd"/>
              <c:showLegendKey val="0"/>
              <c:showVal val="0"/>
              <c:showCatName val="1"/>
              <c:showSerName val="0"/>
              <c:showPercent val="0"/>
              <c:showBubbleSize val="0"/>
              <c:extLst>
                <c:ext xmlns:c15="http://schemas.microsoft.com/office/drawing/2012/chart" uri="{CE6537A1-D6FC-4f65-9D91-7224C49458BB}"/>
              </c:extLst>
            </c:dLbl>
            <c:dLbl>
              <c:idx val="1"/>
              <c:layout/>
              <c:numFmt formatCode="General" sourceLinked="1"/>
              <c:spPr>
                <a:noFill/>
                <a:ln>
                  <a:noFill/>
                </a:ln>
                <a:effectLst/>
              </c:spPr>
              <c:txPr>
                <a:bodyPr rot="0" spcFirstLastPara="1" vertOverflow="ellipsis" vert="horz" wrap="square" lIns="38100" tIns="19050" rIns="38100" bIns="19050" anchor="ctr" anchorCtr="1">
                  <a:spAutoFit/>
                </a:bodyPr>
                <a:lstStyle/>
                <a:p>
                  <a:pPr>
                    <a:defRPr lang="en-US" sz="1000" b="1" i="0" u="none" strike="noStrike" kern="1200" spc="0" baseline="0">
                      <a:solidFill>
                        <a:schemeClr val="accent5"/>
                      </a:solidFill>
                      <a:latin typeface="+mn-lt"/>
                      <a:ea typeface="+mn-ea"/>
                      <a:cs typeface="+mn-cs"/>
                    </a:defRPr>
                  </a:pPr>
                </a:p>
              </c:txPr>
              <c:dLblPos val="outEnd"/>
              <c:showLegendKey val="0"/>
              <c:showVal val="0"/>
              <c:showCatName val="1"/>
              <c:showSerName val="0"/>
              <c:showPercent val="0"/>
              <c:showBubbleSize val="0"/>
              <c:extLst>
                <c:ext xmlns:c15="http://schemas.microsoft.com/office/drawing/2012/chart" uri="{CE6537A1-D6FC-4f65-9D91-7224C49458BB}"/>
              </c:extLst>
            </c:dLbl>
            <c:spPr>
              <a:noFill/>
              <a:ln>
                <a:noFill/>
              </a:ln>
              <a:effectLst/>
            </c:spPr>
            <c:txPr>
              <a:bodyPr rot="0" spcFirstLastPara="0" vertOverflow="ellipsis" vert="horz" wrap="square" lIns="38100" tIns="19050" rIns="38100" bIns="19050" anchor="ctr" anchorCtr="1"/>
              <a:lstStyle/>
              <a:p>
                <a:pPr>
                  <a:defRPr lang="en-US" sz="1000" b="1" i="0" u="none" strike="noStrike" kern="1200" spc="0" baseline="0">
                    <a:solidFill>
                      <a:schemeClr val="accent6"/>
                    </a:solidFill>
                    <a:latin typeface="+mn-lt"/>
                    <a:ea typeface="+mn-ea"/>
                    <a:cs typeface="+mn-cs"/>
                  </a:defRPr>
                </a:pPr>
              </a:p>
            </c:txPr>
            <c:dLblPos val="outEnd"/>
            <c:showLegendKey val="0"/>
            <c:showVal val="0"/>
            <c:showCatName val="1"/>
            <c:showSerName val="0"/>
            <c:showPercent val="0"/>
            <c:showBubbleSize val="0"/>
            <c:showLeaderLines val="1"/>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Sheet1!$A$21:$A$22</c:f>
              <c:strCache>
                <c:ptCount val="2"/>
                <c:pt idx="0">
                  <c:v>Going to school</c:v>
                </c:pt>
                <c:pt idx="1">
                  <c:v>Not going to school</c:v>
                </c:pt>
              </c:strCache>
            </c:strRef>
          </c:cat>
          <c:val>
            <c:numRef>
              <c:f>Sheet1!$B$21:$B$22</c:f>
              <c:numCache>
                <c:formatCode>0%</c:formatCode>
                <c:ptCount val="2"/>
                <c:pt idx="0">
                  <c:v>0.68</c:v>
                </c:pt>
                <c:pt idx="1">
                  <c:v>0.32</c:v>
                </c:pt>
              </c:numCache>
            </c:numRef>
          </c:val>
        </c:ser>
        <c:dLbls>
          <c:showLegendKey val="0"/>
          <c:showVal val="0"/>
          <c:showCatName val="1"/>
          <c:showSerName val="0"/>
          <c:showPercent val="0"/>
          <c:showBubbleSize val="0"/>
          <c:showLeaderLines val="1"/>
        </c:dLbls>
        <c:firstSliceAng val="0"/>
      </c:pieChart>
      <c:spPr>
        <a:noFill/>
        <a:ln>
          <a:noFill/>
        </a:ln>
        <a:effectLst/>
      </c:spPr>
    </c:plotArea>
    <c:plotVisOnly val="1"/>
    <c:dispBlanksAs val="gap"/>
    <c:showDLblsOverMax val="0"/>
    <c:extLst>
      <c:ext uri="{0b15fc19-7d7d-44ad-8c2d-2c3a37ce22c3}">
        <chartProps xmlns="https://web.wps.cn/et/2018/main" chartId="{1f3d5db0-e1ef-4837-b4b0-42fc8f0d55a8}"/>
      </c:ext>
    </c:extLst>
  </c:chart>
  <c:spPr>
    <a:solidFill>
      <a:schemeClr val="bg1"/>
    </a:solidFill>
    <a:ln w="9525" cap="flat" cmpd="sng" algn="ctr">
      <a:solidFill>
        <a:schemeClr val="tx1">
          <a:lumMod val="15000"/>
          <a:lumOff val="85000"/>
        </a:schemeClr>
      </a:solidFill>
      <a:round/>
    </a:ln>
    <a:effectLst/>
  </c:spPr>
  <c:txPr>
    <a:bodyPr/>
    <a:lstStyle/>
    <a:p>
      <a:pPr>
        <a:defRPr lang="en-US"/>
      </a:pPr>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n-US"/>
              <a:t>Solid waste managemnet</a:t>
            </a:r>
            <a:endParaRPr lang="en-US"/>
          </a:p>
        </c:rich>
      </c:tx>
      <c:layout/>
      <c:overlay val="0"/>
      <c:spPr>
        <a:noFill/>
        <a:ln>
          <a:noFill/>
        </a:ln>
        <a:effectLst/>
      </c:sp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lang="en-US" sz="900" b="0" i="0" u="none" strike="noStrike" kern="1200" baseline="0">
                    <a:solidFill>
                      <a:schemeClr val="tx1">
                        <a:lumMod val="75000"/>
                        <a:lumOff val="25000"/>
                      </a:schemeClr>
                    </a:solidFill>
                    <a:latin typeface="+mn-lt"/>
                    <a:ea typeface="+mn-ea"/>
                    <a:cs typeface="+mn-cs"/>
                  </a:defRPr>
                </a:pPr>
              </a:p>
            </c:txPr>
            <c:dLblPos val="in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Sheet1!$A$41:$A$45</c:f>
              <c:strCache>
                <c:ptCount val="5"/>
                <c:pt idx="0">
                  <c:v>Municiplaity</c:v>
                </c:pt>
                <c:pt idx="1">
                  <c:v>Disposed to landfill</c:v>
                </c:pt>
                <c:pt idx="2">
                  <c:v>Disposed to wild disposal area</c:v>
                </c:pt>
                <c:pt idx="3">
                  <c:v>Disposed irregularly</c:v>
                </c:pt>
                <c:pt idx="4">
                  <c:v>Burning</c:v>
                </c:pt>
              </c:strCache>
            </c:strRef>
          </c:cat>
          <c:val>
            <c:numRef>
              <c:f>Sheet1!$B$41:$B$45</c:f>
              <c:numCache>
                <c:formatCode>0%</c:formatCode>
                <c:ptCount val="5"/>
                <c:pt idx="0">
                  <c:v>0.15</c:v>
                </c:pt>
                <c:pt idx="1">
                  <c:v>0.1</c:v>
                </c:pt>
                <c:pt idx="2">
                  <c:v>0.2</c:v>
                </c:pt>
                <c:pt idx="3">
                  <c:v>0.25</c:v>
                </c:pt>
                <c:pt idx="4">
                  <c:v>0.3</c:v>
                </c:pt>
              </c:numCache>
            </c:numRef>
          </c:val>
        </c:ser>
        <c:dLbls>
          <c:showLegendKey val="0"/>
          <c:showVal val="1"/>
          <c:showCatName val="0"/>
          <c:showSerName val="0"/>
          <c:showPercent val="0"/>
          <c:showBubbleSize val="0"/>
        </c:dLbls>
        <c:gapWidth val="182"/>
        <c:axId val="759842928"/>
        <c:axId val="759841680"/>
      </c:barChart>
      <c:catAx>
        <c:axId val="7598429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p>
        </c:txPr>
        <c:crossAx val="759841680"/>
        <c:crosses val="autoZero"/>
        <c:auto val="1"/>
        <c:lblAlgn val="ctr"/>
        <c:lblOffset val="100"/>
        <c:noMultiLvlLbl val="0"/>
      </c:catAx>
      <c:valAx>
        <c:axId val="759841680"/>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p>
        </c:txPr>
        <c:crossAx val="759842928"/>
        <c:crosses val="autoZero"/>
        <c:crossBetween val="between"/>
      </c:valAx>
      <c:spPr>
        <a:noFill/>
        <a:ln>
          <a:noFill/>
        </a:ln>
        <a:effectLst/>
      </c:spPr>
    </c:plotArea>
    <c:plotVisOnly val="1"/>
    <c:dispBlanksAs val="gap"/>
    <c:showDLblsOverMax val="0"/>
    <c:extLst>
      <c:ext uri="{0b15fc19-7d7d-44ad-8c2d-2c3a37ce22c3}">
        <chartProps xmlns="https://web.wps.cn/et/2018/main" chartId="{ec71a19a-059c-4610-9523-816e1e4a6591}"/>
      </c:ext>
    </c:extLst>
  </c:chart>
  <c:spPr>
    <a:solidFill>
      <a:schemeClr val="bg1"/>
    </a:solidFill>
    <a:ln w="9525" cap="flat" cmpd="sng" algn="ctr">
      <a:solidFill>
        <a:schemeClr val="tx1">
          <a:lumMod val="15000"/>
          <a:lumOff val="85000"/>
        </a:schemeClr>
      </a:solidFill>
      <a:round/>
    </a:ln>
    <a:effectLst/>
  </c:spPr>
  <c:txPr>
    <a:bodyPr/>
    <a:lstStyle/>
    <a:p>
      <a:pPr>
        <a:defRPr lang="en-US"/>
      </a:pPr>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lang="en-US" sz="1400" b="0" i="0" u="none" strike="noStrike" kern="1200" spc="0" baseline="0">
                <a:solidFill>
                  <a:schemeClr val="tx1">
                    <a:lumMod val="65000"/>
                    <a:lumOff val="35000"/>
                  </a:schemeClr>
                </a:solidFill>
                <a:latin typeface="+mn-lt"/>
                <a:ea typeface="+mn-ea"/>
                <a:cs typeface="+mn-cs"/>
              </a:defRPr>
            </a:pPr>
            <a:r>
              <a:rPr lang="en-US"/>
              <a:t>Water</a:t>
            </a:r>
            <a:r>
              <a:rPr lang="en-US" baseline="0"/>
              <a:t> sources</a:t>
            </a:r>
            <a:endParaRPr lang="en-US"/>
          </a:p>
        </c:rich>
      </c:tx>
      <c:layout/>
      <c:overlay val="0"/>
      <c:spPr>
        <a:noFill/>
        <a:ln>
          <a:noFill/>
        </a:ln>
        <a:effectLst/>
      </c:spPr>
    </c:title>
    <c:autoTitleDeleted val="0"/>
    <c:plotArea>
      <c:layout/>
      <c:barChart>
        <c:barDir val="col"/>
        <c:grouping val="clustered"/>
        <c:varyColors val="0"/>
        <c:ser>
          <c:idx val="0"/>
          <c:order val="0"/>
          <c:spPr>
            <a:solidFill>
              <a:schemeClr val="accent1"/>
            </a:solidFill>
            <a:ln>
              <a:noFill/>
            </a:ln>
            <a:effectLst/>
          </c:spPr>
          <c:invertIfNegative val="0"/>
          <c:dLbls>
            <c:delete val="1"/>
          </c:dLbls>
          <c:cat>
            <c:strRef>
              <c:f>Sheet1!$A$2:$A$6</c:f>
              <c:strCache>
                <c:ptCount val="5"/>
                <c:pt idx="0">
                  <c:v>Buy from water vendors</c:v>
                </c:pt>
                <c:pt idx="1">
                  <c:v>Water pump</c:v>
                </c:pt>
                <c:pt idx="2">
                  <c:v>Borehole/well</c:v>
                </c:pt>
                <c:pt idx="3">
                  <c:v>Rain water</c:v>
                </c:pt>
                <c:pt idx="4">
                  <c:v>Tap water</c:v>
                </c:pt>
              </c:strCache>
            </c:strRef>
          </c:cat>
          <c:val>
            <c:numRef>
              <c:f>Sheet1!$B$2:$B$6</c:f>
              <c:numCache>
                <c:formatCode>0%</c:formatCode>
                <c:ptCount val="5"/>
                <c:pt idx="0">
                  <c:v>0.1</c:v>
                </c:pt>
                <c:pt idx="1">
                  <c:v>0.1</c:v>
                </c:pt>
                <c:pt idx="2">
                  <c:v>0.7</c:v>
                </c:pt>
                <c:pt idx="3">
                  <c:v>0.05</c:v>
                </c:pt>
                <c:pt idx="4">
                  <c:v>0.05</c:v>
                </c:pt>
              </c:numCache>
            </c:numRef>
          </c:val>
        </c:ser>
        <c:dLbls>
          <c:showLegendKey val="0"/>
          <c:showVal val="0"/>
          <c:showCatName val="0"/>
          <c:showSerName val="0"/>
          <c:showPercent val="0"/>
          <c:showBubbleSize val="0"/>
        </c:dLbls>
        <c:gapWidth val="219"/>
        <c:overlap val="-27"/>
        <c:axId val="1219713360"/>
        <c:axId val="1219715024"/>
      </c:barChart>
      <c:catAx>
        <c:axId val="12197133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p>
        </c:txPr>
        <c:crossAx val="1219715024"/>
        <c:crosses val="autoZero"/>
        <c:auto val="1"/>
        <c:lblAlgn val="ctr"/>
        <c:lblOffset val="100"/>
        <c:noMultiLvlLbl val="0"/>
      </c:catAx>
      <c:valAx>
        <c:axId val="12197150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lang="en-US" sz="900" b="0" i="0" u="none" strike="noStrike" kern="1200" baseline="0">
                <a:solidFill>
                  <a:schemeClr val="tx1">
                    <a:lumMod val="65000"/>
                    <a:lumOff val="35000"/>
                  </a:schemeClr>
                </a:solidFill>
                <a:latin typeface="+mn-lt"/>
                <a:ea typeface="+mn-ea"/>
                <a:cs typeface="+mn-cs"/>
              </a:defRPr>
            </a:pPr>
          </a:p>
        </c:txPr>
        <c:crossAx val="1219713360"/>
        <c:crosses val="autoZero"/>
        <c:crossBetween val="between"/>
      </c:valAx>
      <c:spPr>
        <a:noFill/>
        <a:ln>
          <a:noFill/>
        </a:ln>
        <a:effectLst/>
      </c:spPr>
    </c:plotArea>
    <c:plotVisOnly val="1"/>
    <c:dispBlanksAs val="gap"/>
    <c:showDLblsOverMax val="0"/>
    <c:extLst>
      <c:ext uri="{0b15fc19-7d7d-44ad-8c2d-2c3a37ce22c3}">
        <chartProps xmlns="https://web.wps.cn/et/2018/main" chartId="{11e04bf2-1348-4ffb-8aad-5eebc1ea3ed0}"/>
      </c:ext>
    </c:extLst>
  </c:chart>
  <c:spPr>
    <a:solidFill>
      <a:schemeClr val="bg1"/>
    </a:solidFill>
    <a:ln w="9525" cap="flat" cmpd="sng" algn="ctr">
      <a:solidFill>
        <a:schemeClr val="tx1">
          <a:lumMod val="15000"/>
          <a:lumOff val="85000"/>
        </a:schemeClr>
      </a:solidFill>
      <a:round/>
    </a:ln>
    <a:effectLst/>
  </c:spPr>
  <c:txPr>
    <a:bodyPr/>
    <a:lstStyle/>
    <a:p>
      <a:pPr>
        <a:defRPr lang="en-US"/>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1A8FABF-3C6E-4587-8618-FF8ACD042ABD}">
  <ds:schemaRefs/>
</ds:datastoreItem>
</file>

<file path=docProps/app.xml><?xml version="1.0" encoding="utf-8"?>
<Properties xmlns="http://schemas.openxmlformats.org/officeDocument/2006/extended-properties" xmlns:vt="http://schemas.openxmlformats.org/officeDocument/2006/docPropsVTypes">
  <Template>Normal</Template>
  <Pages>63</Pages>
  <Words>40138</Words>
  <Characters>228788</Characters>
  <Lines>1906</Lines>
  <Paragraphs>536</Paragraphs>
  <TotalTime>1</TotalTime>
  <ScaleCrop>false</ScaleCrop>
  <LinksUpToDate>false</LinksUpToDate>
  <CharactersWithSpaces>268390</CharactersWithSpaces>
  <Application>WPS Office_12.2.0.18607_F1E327BC-269C-435d-A152-05C5408002CA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2024-10-18T14:52:00Z</dcterms:created>
  <dc:creator>Saraphina Nasimiyu</dc:creator>
  <cp:lastModifiedBy>Abdullahi Abdikadir</cp:lastModifiedBy>
  <cp:lastPrinted>2024-10-15T14:00:00Z</cp:lastPrinted>
  <dcterms:modified xsi:type="dcterms:W3CDTF">2024-10-25T20:57:10Z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1033-12.2.0.18607</vt:lpwstr>
  </property>
  <property fmtid="{D5CDD505-2E9C-101B-9397-08002B2CF9AE}" pid="3" name="ICV">
    <vt:lpwstr>1179C75C80C5489DA554D9E918C37B70_13</vt:lpwstr>
  </property>
</Properties>
</file>