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773D9B">
      <w:pPr>
        <w:jc w:val="both"/>
        <w:rPr>
          <w:szCs w:val="20"/>
        </w:rPr>
      </w:pPr>
      <w:bookmarkStart w:id="0" w:name="_Toc41971238"/>
      <w:r>
        <w:rPr>
          <w:szCs w:val="20"/>
        </w:rPr>
        <w:object>
          <v:shape id="_x0000_i1025" o:spt="75" type="#_x0000_t75" style="height:77pt;width:92.5pt;" o:ole="t" fillcolor="#FFFFFF" filled="f" o:preferrelative="t" stroked="f" coordsize="21600,21600">
            <v:path/>
            <v:fill on="f" focussize="0,0"/>
            <v:stroke on="f" joinstyle="miter"/>
            <v:imagedata r:id="rId42" gain="142470f" o:title=""/>
            <o:lock v:ext="edit" aspectratio="t"/>
            <w10:wrap type="none"/>
            <w10:anchorlock/>
          </v:shape>
          <o:OLEObject Type="Embed" ProgID="PBrush" ShapeID="_x0000_i1025" DrawAspect="Content" ObjectID="_1468075725" r:id="rId41">
            <o:LockedField>false</o:LockedField>
          </o:OLEObject>
        </w:object>
      </w:r>
      <w:r>
        <w:rPr>
          <w:szCs w:val="20"/>
        </w:rPr>
        <w:t xml:space="preserve"> </w:t>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drawing>
          <wp:inline distT="0" distB="0" distL="0" distR="0">
            <wp:extent cx="1562100" cy="1239520"/>
            <wp:effectExtent l="0" t="0" r="0" b="0"/>
            <wp:docPr id="10" name="Picture 14" descr="C:\Users\user\Desktop\image 3.jpg"/>
            <wp:cNvGraphicFramePr/>
            <a:graphic xmlns:a="http://schemas.openxmlformats.org/drawingml/2006/main">
              <a:graphicData uri="http://schemas.openxmlformats.org/drawingml/2006/picture">
                <pic:pic xmlns:pic="http://schemas.openxmlformats.org/drawingml/2006/picture">
                  <pic:nvPicPr>
                    <pic:cNvPr id="10" name="Picture 14" descr="C:\Users\user\Desktop\image 3.jpg"/>
                    <pic:cNvPicPr/>
                  </pic:nvPicPr>
                  <pic:blipFill>
                    <a:blip r:embed="rId43" cstate="print">
                      <a:extLst>
                        <a:ext uri="{28A0092B-C50C-407E-A947-70E740481C1C}">
                          <a14:useLocalDpi xmlns:a14="http://schemas.microsoft.com/office/drawing/2010/main" val="0"/>
                        </a:ext>
                      </a:extLst>
                    </a:blip>
                    <a:srcRect l="19542" r="23552" b="21413"/>
                    <a:stretch>
                      <a:fillRect/>
                    </a:stretch>
                  </pic:blipFill>
                  <pic:spPr>
                    <a:xfrm>
                      <a:off x="0" y="0"/>
                      <a:ext cx="1562100" cy="1239520"/>
                    </a:xfrm>
                    <a:prstGeom prst="rect">
                      <a:avLst/>
                    </a:prstGeom>
                    <a:noFill/>
                    <a:ln>
                      <a:noFill/>
                    </a:ln>
                  </pic:spPr>
                </pic:pic>
              </a:graphicData>
            </a:graphic>
          </wp:inline>
        </w:drawing>
      </w:r>
    </w:p>
    <w:p w14:paraId="14834F82">
      <w:pPr>
        <w:jc w:val="center"/>
        <w:rPr>
          <w:b/>
          <w:sz w:val="44"/>
          <w:szCs w:val="44"/>
        </w:rPr>
      </w:pPr>
      <w:r>
        <w:rPr>
          <w:b/>
          <w:sz w:val="44"/>
          <w:szCs w:val="44"/>
        </w:rPr>
        <w:t>Bidding Document for</w:t>
      </w:r>
    </w:p>
    <w:p w14:paraId="0C8DECCC">
      <w:pPr>
        <w:jc w:val="center"/>
        <w:rPr>
          <w:b/>
          <w:sz w:val="44"/>
          <w:szCs w:val="44"/>
        </w:rPr>
      </w:pPr>
      <w:r>
        <w:rPr>
          <w:b/>
          <w:sz w:val="44"/>
          <w:szCs w:val="44"/>
        </w:rPr>
        <w:t xml:space="preserve"> </w:t>
      </w:r>
    </w:p>
    <w:p w14:paraId="3BC1F4EC">
      <w:pPr>
        <w:jc w:val="center"/>
        <w:rPr>
          <w:b/>
          <w:sz w:val="44"/>
          <w:szCs w:val="44"/>
        </w:rPr>
      </w:pPr>
      <w:r>
        <w:rPr>
          <w:b/>
          <w:sz w:val="44"/>
          <w:szCs w:val="44"/>
        </w:rPr>
        <w:t>Procurement of:</w:t>
      </w:r>
    </w:p>
    <w:p w14:paraId="1ADDDF06">
      <w:pPr>
        <w:tabs>
          <w:tab w:val="left" w:pos="-1152"/>
          <w:tab w:val="left" w:pos="-720"/>
          <w:tab w:val="left" w:pos="0"/>
          <w:tab w:val="left" w:pos="450"/>
          <w:tab w:val="left" w:pos="990"/>
          <w:tab w:val="left" w:pos="1530"/>
          <w:tab w:val="left" w:pos="2160"/>
        </w:tabs>
        <w:suppressAutoHyphens/>
        <w:jc w:val="both"/>
        <w:rPr>
          <w:sz w:val="16"/>
          <w:szCs w:val="16"/>
        </w:rPr>
      </w:pPr>
    </w:p>
    <w:p w14:paraId="4CC1A220">
      <w:pPr>
        <w:pBdr>
          <w:top w:val="single" w:color="auto" w:sz="6" w:space="1"/>
          <w:bottom w:val="single" w:color="auto" w:sz="6" w:space="1"/>
        </w:pBdr>
        <w:jc w:val="center"/>
        <w:rPr>
          <w:b/>
          <w:sz w:val="36"/>
          <w:szCs w:val="36"/>
        </w:rPr>
      </w:pPr>
      <w:r>
        <w:rPr>
          <w:b/>
          <w:bCs/>
          <w:color w:val="323E4F"/>
          <w:sz w:val="36"/>
          <w:szCs w:val="36"/>
          <w:shd w:val="clear" w:color="auto" w:fill="FFFFFF"/>
        </w:rPr>
        <w:t>Construction of Faecal Sludge Treatment Plant for Wajir Town</w:t>
      </w:r>
    </w:p>
    <w:p w14:paraId="3B758143">
      <w:pPr>
        <w:widowControl w:val="0"/>
        <w:tabs>
          <w:tab w:val="left" w:pos="1940"/>
          <w:tab w:val="left" w:pos="2520"/>
        </w:tabs>
        <w:autoSpaceDE w:val="0"/>
        <w:autoSpaceDN w:val="0"/>
        <w:adjustRightInd w:val="0"/>
        <w:ind w:left="2520" w:right="-20" w:hanging="2380"/>
        <w:jc w:val="both"/>
        <w:rPr>
          <w:b/>
          <w:bCs/>
          <w:color w:val="231F20"/>
          <w:sz w:val="28"/>
          <w:szCs w:val="28"/>
        </w:rPr>
      </w:pPr>
    </w:p>
    <w:p w14:paraId="25ECC6CD">
      <w:pPr>
        <w:widowControl w:val="0"/>
        <w:tabs>
          <w:tab w:val="left" w:pos="1940"/>
          <w:tab w:val="left" w:pos="2520"/>
        </w:tabs>
        <w:autoSpaceDE w:val="0"/>
        <w:autoSpaceDN w:val="0"/>
        <w:adjustRightInd w:val="0"/>
        <w:ind w:left="2520" w:right="-20" w:hanging="2380"/>
        <w:jc w:val="both"/>
        <w:rPr>
          <w:color w:val="auto"/>
          <w:sz w:val="28"/>
          <w:szCs w:val="28"/>
          <w:highlight w:val="none"/>
        </w:rPr>
      </w:pPr>
      <w:r>
        <w:rPr>
          <w:b/>
          <w:bCs/>
          <w:color w:val="231F20"/>
          <w:sz w:val="28"/>
          <w:szCs w:val="28"/>
        </w:rPr>
        <w:t>NCB No:</w:t>
      </w:r>
      <w:r>
        <w:rPr>
          <w:b/>
          <w:bCs/>
          <w:color w:val="231F20"/>
          <w:sz w:val="28"/>
          <w:szCs w:val="28"/>
        </w:rPr>
        <w:tab/>
      </w:r>
      <w:r>
        <w:rPr>
          <w:b/>
          <w:bCs/>
          <w:color w:val="231F20"/>
          <w:sz w:val="28"/>
          <w:szCs w:val="28"/>
        </w:rPr>
        <w:tab/>
      </w:r>
      <w:r>
        <w:rPr>
          <w:rFonts w:ascii="Times New Roman" w:hAnsi="Times New Roman" w:eastAsia="Times New Roman" w:cs="Times New Roman"/>
          <w:color w:val="auto"/>
          <w:sz w:val="28"/>
          <w:szCs w:val="28"/>
          <w:highlight w:val="none"/>
          <w:u w:val="none"/>
          <w:lang w:val="en-GB"/>
        </w:rPr>
        <w:t xml:space="preserve"> </w:t>
      </w:r>
      <w:r>
        <w:rPr>
          <w:rFonts w:ascii="Times New Roman" w:hAnsi="Times New Roman" w:eastAsia="Open Sans" w:cs="Times New Roman"/>
          <w:b/>
          <w:bCs/>
          <w:i w:val="0"/>
          <w:iCs w:val="0"/>
          <w:caps w:val="0"/>
          <w:color w:val="auto"/>
          <w:spacing w:val="0"/>
          <w:sz w:val="28"/>
          <w:szCs w:val="28"/>
          <w:highlight w:val="none"/>
          <w:u w:val="none"/>
          <w:shd w:val="clear" w:fill="E8EBF0"/>
        </w:rPr>
        <w:t>KE-WAJWASCO-456993-CW-RFB</w:t>
      </w:r>
    </w:p>
    <w:p w14:paraId="079369B0">
      <w:pPr>
        <w:widowControl w:val="0"/>
        <w:autoSpaceDE w:val="0"/>
        <w:autoSpaceDN w:val="0"/>
        <w:adjustRightInd w:val="0"/>
        <w:spacing w:before="19"/>
        <w:jc w:val="both"/>
        <w:rPr>
          <w:color w:val="000000"/>
          <w:sz w:val="20"/>
          <w:szCs w:val="20"/>
        </w:rPr>
      </w:pPr>
    </w:p>
    <w:p w14:paraId="3D4A35CB">
      <w:pPr>
        <w:widowControl w:val="0"/>
        <w:tabs>
          <w:tab w:val="left" w:pos="1940"/>
          <w:tab w:val="left" w:pos="2520"/>
        </w:tabs>
        <w:autoSpaceDE w:val="0"/>
        <w:autoSpaceDN w:val="0"/>
        <w:adjustRightInd w:val="0"/>
        <w:ind w:left="2520" w:right="-20" w:hanging="2380"/>
        <w:jc w:val="both"/>
        <w:rPr>
          <w:color w:val="231F20"/>
          <w:sz w:val="28"/>
          <w:szCs w:val="28"/>
          <w:highlight w:val="none"/>
        </w:rPr>
      </w:pPr>
      <w:r>
        <w:rPr>
          <w:b/>
          <w:bCs/>
          <w:color w:val="231F20"/>
          <w:sz w:val="28"/>
          <w:szCs w:val="28"/>
        </w:rPr>
        <w:t>Project:</w:t>
      </w:r>
      <w:r>
        <w:rPr>
          <w:b/>
          <w:bCs/>
          <w:color w:val="231F20"/>
          <w:sz w:val="28"/>
          <w:szCs w:val="28"/>
        </w:rPr>
        <w:tab/>
      </w:r>
      <w:r>
        <w:rPr>
          <w:b/>
          <w:bCs/>
          <w:color w:val="231F20"/>
          <w:sz w:val="28"/>
          <w:szCs w:val="28"/>
          <w:highlight w:val="none"/>
        </w:rPr>
        <w:tab/>
      </w:r>
      <w:r>
        <w:rPr>
          <w:color w:val="231F20"/>
          <w:sz w:val="28"/>
          <w:szCs w:val="28"/>
          <w:highlight w:val="none"/>
        </w:rPr>
        <w:t xml:space="preserve">WATER AND SANITATION DEVELOPMENT PROJECT (WSDP) </w:t>
      </w:r>
    </w:p>
    <w:p w14:paraId="62FE70B4">
      <w:pPr>
        <w:widowControl w:val="0"/>
        <w:tabs>
          <w:tab w:val="left" w:pos="1940"/>
          <w:tab w:val="left" w:pos="2520"/>
        </w:tabs>
        <w:autoSpaceDE w:val="0"/>
        <w:autoSpaceDN w:val="0"/>
        <w:adjustRightInd w:val="0"/>
        <w:ind w:left="2520" w:right="-20" w:hanging="2380"/>
        <w:jc w:val="both"/>
        <w:rPr>
          <w:color w:val="231F20"/>
          <w:sz w:val="20"/>
          <w:szCs w:val="20"/>
        </w:rPr>
      </w:pPr>
    </w:p>
    <w:p w14:paraId="56369FED">
      <w:pPr>
        <w:widowControl w:val="0"/>
        <w:tabs>
          <w:tab w:val="left" w:pos="1940"/>
          <w:tab w:val="left" w:pos="2520"/>
        </w:tabs>
        <w:autoSpaceDE w:val="0"/>
        <w:autoSpaceDN w:val="0"/>
        <w:adjustRightInd w:val="0"/>
        <w:ind w:left="2520" w:right="-20" w:hanging="2380"/>
        <w:jc w:val="both"/>
        <w:rPr>
          <w:color w:val="231F20"/>
          <w:sz w:val="28"/>
          <w:szCs w:val="28"/>
        </w:rPr>
      </w:pPr>
      <w:r>
        <w:rPr>
          <w:b/>
          <w:bCs/>
          <w:color w:val="231F20"/>
          <w:sz w:val="28"/>
          <w:szCs w:val="28"/>
        </w:rPr>
        <w:t>Credit No.:</w:t>
      </w:r>
      <w:r>
        <w:rPr>
          <w:color w:val="231F20"/>
          <w:sz w:val="28"/>
          <w:szCs w:val="28"/>
        </w:rPr>
        <w:tab/>
      </w:r>
      <w:r>
        <w:rPr>
          <w:color w:val="231F20"/>
          <w:sz w:val="28"/>
          <w:szCs w:val="28"/>
        </w:rPr>
        <w:tab/>
      </w:r>
      <w:r>
        <w:rPr>
          <w:color w:val="231F20"/>
          <w:sz w:val="28"/>
          <w:szCs w:val="28"/>
        </w:rPr>
        <w:t>IDA-60300KE</w:t>
      </w:r>
    </w:p>
    <w:p w14:paraId="08A22E94">
      <w:pPr>
        <w:widowControl w:val="0"/>
        <w:autoSpaceDE w:val="0"/>
        <w:autoSpaceDN w:val="0"/>
        <w:adjustRightInd w:val="0"/>
        <w:jc w:val="both"/>
        <w:rPr>
          <w:color w:val="000000"/>
          <w:sz w:val="20"/>
          <w:szCs w:val="20"/>
        </w:rPr>
      </w:pPr>
    </w:p>
    <w:p w14:paraId="50E19152">
      <w:pPr>
        <w:widowControl w:val="0"/>
        <w:tabs>
          <w:tab w:val="left" w:pos="1940"/>
          <w:tab w:val="left" w:pos="2520"/>
        </w:tabs>
        <w:autoSpaceDE w:val="0"/>
        <w:autoSpaceDN w:val="0"/>
        <w:adjustRightInd w:val="0"/>
        <w:ind w:left="2520" w:right="-20" w:hanging="2380"/>
        <w:jc w:val="both"/>
        <w:rPr>
          <w:color w:val="231F20"/>
          <w:sz w:val="28"/>
          <w:szCs w:val="28"/>
        </w:rPr>
      </w:pPr>
      <w:r>
        <w:rPr>
          <w:b/>
          <w:bCs/>
          <w:color w:val="231F20"/>
          <w:position w:val="-1"/>
          <w:sz w:val="28"/>
          <w:szCs w:val="28"/>
        </w:rPr>
        <w:t>Co</w:t>
      </w:r>
      <w:r>
        <w:rPr>
          <w:b/>
          <w:bCs/>
          <w:color w:val="231F20"/>
          <w:spacing w:val="-2"/>
          <w:position w:val="-1"/>
          <w:sz w:val="28"/>
          <w:szCs w:val="28"/>
        </w:rPr>
        <w:t>u</w:t>
      </w:r>
      <w:r>
        <w:rPr>
          <w:b/>
          <w:bCs/>
          <w:color w:val="231F20"/>
          <w:position w:val="-1"/>
          <w:sz w:val="28"/>
          <w:szCs w:val="28"/>
        </w:rPr>
        <w:t>ntr</w:t>
      </w:r>
      <w:r>
        <w:rPr>
          <w:b/>
          <w:bCs/>
          <w:color w:val="231F20"/>
          <w:spacing w:val="2"/>
          <w:position w:val="-1"/>
          <w:sz w:val="28"/>
          <w:szCs w:val="28"/>
        </w:rPr>
        <w:t>y</w:t>
      </w:r>
      <w:r>
        <w:rPr>
          <w:b/>
          <w:bCs/>
          <w:color w:val="231F20"/>
          <w:position w:val="-1"/>
          <w:sz w:val="28"/>
          <w:szCs w:val="28"/>
        </w:rPr>
        <w:t>:</w:t>
      </w:r>
      <w:r>
        <w:rPr>
          <w:b/>
          <w:bCs/>
          <w:color w:val="231F20"/>
          <w:position w:val="-1"/>
          <w:sz w:val="28"/>
          <w:szCs w:val="28"/>
        </w:rPr>
        <w:tab/>
      </w:r>
      <w:r>
        <w:rPr>
          <w:b/>
          <w:bCs/>
          <w:color w:val="231F20"/>
          <w:position w:val="-1"/>
          <w:sz w:val="28"/>
          <w:szCs w:val="28"/>
        </w:rPr>
        <w:tab/>
      </w:r>
      <w:r>
        <w:rPr>
          <w:color w:val="231F20"/>
          <w:sz w:val="28"/>
          <w:szCs w:val="28"/>
        </w:rPr>
        <w:t>REPUBLIC OF KENYA</w:t>
      </w:r>
    </w:p>
    <w:p w14:paraId="7890E169">
      <w:pPr>
        <w:widowControl w:val="0"/>
        <w:autoSpaceDE w:val="0"/>
        <w:autoSpaceDN w:val="0"/>
        <w:adjustRightInd w:val="0"/>
        <w:spacing w:before="9"/>
        <w:jc w:val="both"/>
        <w:rPr>
          <w:color w:val="000000"/>
          <w:sz w:val="20"/>
          <w:szCs w:val="20"/>
        </w:rPr>
      </w:pPr>
    </w:p>
    <w:p w14:paraId="69246530">
      <w:pPr>
        <w:widowControl w:val="0"/>
        <w:tabs>
          <w:tab w:val="left" w:pos="1940"/>
          <w:tab w:val="left" w:pos="2520"/>
        </w:tabs>
        <w:autoSpaceDE w:val="0"/>
        <w:autoSpaceDN w:val="0"/>
        <w:adjustRightInd w:val="0"/>
        <w:ind w:left="2520" w:right="-20" w:hanging="2380"/>
        <w:jc w:val="both"/>
        <w:rPr>
          <w:bCs/>
          <w:color w:val="231F20"/>
          <w:sz w:val="28"/>
          <w:szCs w:val="28"/>
        </w:rPr>
      </w:pPr>
      <w:r>
        <w:rPr>
          <w:b/>
          <w:bCs/>
          <w:color w:val="231F20"/>
          <w:sz w:val="28"/>
          <w:szCs w:val="28"/>
        </w:rPr>
        <w:t xml:space="preserve">Employer: </w:t>
      </w:r>
      <w:r>
        <w:rPr>
          <w:b/>
          <w:bCs/>
          <w:color w:val="231F20"/>
          <w:sz w:val="28"/>
          <w:szCs w:val="28"/>
        </w:rPr>
        <w:tab/>
      </w:r>
      <w:r>
        <w:rPr>
          <w:b/>
          <w:bCs/>
          <w:color w:val="231F20"/>
          <w:sz w:val="28"/>
          <w:szCs w:val="28"/>
        </w:rPr>
        <w:tab/>
      </w:r>
      <w:r>
        <w:rPr>
          <w:bCs/>
          <w:color w:val="231F20"/>
          <w:sz w:val="28"/>
          <w:szCs w:val="28"/>
        </w:rPr>
        <w:t>WAJIR WATER AND SEWERAGE COMPANY LTD. (WAJWASCO)</w:t>
      </w:r>
    </w:p>
    <w:p w14:paraId="344ADFF2">
      <w:pPr>
        <w:tabs>
          <w:tab w:val="left" w:pos="-1152"/>
          <w:tab w:val="left" w:pos="-720"/>
          <w:tab w:val="left" w:pos="0"/>
          <w:tab w:val="left" w:pos="450"/>
          <w:tab w:val="left" w:pos="990"/>
          <w:tab w:val="left" w:pos="1530"/>
          <w:tab w:val="left" w:pos="2160"/>
        </w:tabs>
        <w:suppressAutoHyphens/>
        <w:jc w:val="center"/>
        <w:rPr>
          <w:b/>
          <w:sz w:val="20"/>
        </w:rPr>
      </w:pPr>
    </w:p>
    <w:p w14:paraId="377E03E8">
      <w:pPr>
        <w:tabs>
          <w:tab w:val="left" w:pos="-1152"/>
          <w:tab w:val="left" w:pos="-720"/>
          <w:tab w:val="left" w:pos="0"/>
          <w:tab w:val="left" w:pos="450"/>
          <w:tab w:val="left" w:pos="990"/>
          <w:tab w:val="left" w:pos="1530"/>
          <w:tab w:val="left" w:pos="2160"/>
        </w:tabs>
        <w:suppressAutoHyphens/>
        <w:jc w:val="center"/>
        <w:rPr>
          <w:b/>
          <w:sz w:val="20"/>
        </w:rPr>
      </w:pPr>
    </w:p>
    <w:p w14:paraId="7868AF93">
      <w:pPr>
        <w:tabs>
          <w:tab w:val="left" w:pos="-1152"/>
          <w:tab w:val="left" w:pos="-720"/>
          <w:tab w:val="left" w:pos="0"/>
          <w:tab w:val="left" w:pos="450"/>
          <w:tab w:val="left" w:pos="990"/>
          <w:tab w:val="left" w:pos="1530"/>
          <w:tab w:val="left" w:pos="2160"/>
        </w:tabs>
        <w:suppressAutoHyphens/>
        <w:jc w:val="center"/>
        <w:rPr>
          <w:b/>
        </w:rPr>
      </w:pPr>
      <w:r>
        <w:rPr>
          <w:b/>
        </w:rPr>
        <w:t>BIDDING DOCUMENT</w:t>
      </w:r>
    </w:p>
    <w:p w14:paraId="63248180">
      <w:pPr>
        <w:tabs>
          <w:tab w:val="left" w:pos="-1152"/>
          <w:tab w:val="left" w:pos="-720"/>
          <w:tab w:val="left" w:pos="0"/>
          <w:tab w:val="left" w:pos="450"/>
          <w:tab w:val="left" w:pos="990"/>
          <w:tab w:val="left" w:pos="1530"/>
          <w:tab w:val="left" w:pos="2160"/>
        </w:tabs>
        <w:suppressAutoHyphens/>
        <w:jc w:val="center"/>
        <w:rPr>
          <w:b/>
        </w:rPr>
      </w:pPr>
      <w:r>
        <w:rPr>
          <w:b/>
        </w:rPr>
        <w:t>VOLUME I</w:t>
      </w:r>
    </w:p>
    <w:p w14:paraId="0A89094F">
      <w:pPr>
        <w:tabs>
          <w:tab w:val="left" w:pos="-1152"/>
          <w:tab w:val="left" w:pos="-720"/>
          <w:tab w:val="left" w:pos="0"/>
          <w:tab w:val="left" w:pos="450"/>
          <w:tab w:val="left" w:pos="990"/>
          <w:tab w:val="left" w:pos="1530"/>
          <w:tab w:val="left" w:pos="2160"/>
        </w:tabs>
        <w:suppressAutoHyphens/>
        <w:jc w:val="both"/>
      </w:pPr>
    </w:p>
    <w:p w14:paraId="4636CE33">
      <w:pPr>
        <w:tabs>
          <w:tab w:val="left" w:pos="1170"/>
          <w:tab w:val="center" w:pos="5233"/>
        </w:tabs>
        <w:suppressAutoHyphens/>
        <w:spacing w:after="120"/>
        <w:jc w:val="center"/>
        <w:rPr>
          <w:b/>
        </w:rPr>
      </w:pPr>
      <w:r>
        <w:rPr>
          <w:b/>
        </w:rPr>
        <w:t>CONTENTS</w:t>
      </w:r>
    </w:p>
    <w:p w14:paraId="3F9164B3">
      <w:pPr>
        <w:tabs>
          <w:tab w:val="left" w:pos="1170"/>
          <w:tab w:val="center" w:pos="5233"/>
        </w:tabs>
        <w:suppressAutoHyphens/>
        <w:ind w:left="2250"/>
        <w:jc w:val="both"/>
      </w:pPr>
      <w:r>
        <w:t>INSTRUCTIONS TO BIDDERS AND BID DATA SHEET</w:t>
      </w:r>
    </w:p>
    <w:p w14:paraId="47D10FA1">
      <w:pPr>
        <w:tabs>
          <w:tab w:val="left" w:pos="1170"/>
          <w:tab w:val="center" w:pos="5233"/>
        </w:tabs>
        <w:suppressAutoHyphens/>
        <w:ind w:left="2250"/>
        <w:jc w:val="both"/>
      </w:pPr>
      <w:r>
        <w:t>EVALUATION AND QUALIFICATION CRITERIA</w:t>
      </w:r>
    </w:p>
    <w:p w14:paraId="3A515CD8">
      <w:pPr>
        <w:tabs>
          <w:tab w:val="left" w:pos="1170"/>
          <w:tab w:val="center" w:pos="5233"/>
        </w:tabs>
        <w:suppressAutoHyphens/>
        <w:ind w:left="2250"/>
        <w:jc w:val="both"/>
      </w:pPr>
      <w:r>
        <w:t>BIDDING FORMS</w:t>
      </w:r>
    </w:p>
    <w:p w14:paraId="5E639DA3">
      <w:pPr>
        <w:tabs>
          <w:tab w:val="left" w:pos="1170"/>
          <w:tab w:val="center" w:pos="5233"/>
        </w:tabs>
        <w:suppressAutoHyphens/>
        <w:ind w:left="2250"/>
        <w:jc w:val="both"/>
      </w:pPr>
      <w:r>
        <w:t>BILLS OF QUANTITIES</w:t>
      </w:r>
    </w:p>
    <w:p w14:paraId="2EA367E2">
      <w:pPr>
        <w:tabs>
          <w:tab w:val="left" w:pos="1170"/>
          <w:tab w:val="center" w:pos="5233"/>
        </w:tabs>
        <w:suppressAutoHyphens/>
        <w:ind w:left="2250"/>
        <w:jc w:val="both"/>
      </w:pPr>
      <w:r>
        <w:t>WORKS REQUIREMENTS</w:t>
      </w:r>
    </w:p>
    <w:p w14:paraId="4DD511A2">
      <w:pPr>
        <w:tabs>
          <w:tab w:val="left" w:pos="1170"/>
          <w:tab w:val="center" w:pos="5233"/>
        </w:tabs>
        <w:suppressAutoHyphens/>
        <w:ind w:left="2250"/>
        <w:jc w:val="both"/>
      </w:pPr>
      <w:r>
        <w:t>GENERAL CONDITIONS OF CONTRACT</w:t>
      </w:r>
    </w:p>
    <w:p w14:paraId="0212471A">
      <w:pPr>
        <w:tabs>
          <w:tab w:val="left" w:pos="1170"/>
          <w:tab w:val="center" w:pos="5233"/>
        </w:tabs>
        <w:suppressAutoHyphens/>
        <w:ind w:left="2250"/>
        <w:jc w:val="both"/>
      </w:pPr>
      <w:r>
        <w:t>PARTICULAR CONDITIONS OF CONTRACT</w:t>
      </w:r>
    </w:p>
    <w:p w14:paraId="123E5C5B">
      <w:pPr>
        <w:tabs>
          <w:tab w:val="left" w:pos="1170"/>
          <w:tab w:val="center" w:pos="5233"/>
        </w:tabs>
        <w:suppressAutoHyphens/>
        <w:ind w:left="2250"/>
        <w:jc w:val="both"/>
      </w:pPr>
      <w:r>
        <w:t>CONTRACT FORMS</w:t>
      </w:r>
    </w:p>
    <w:p w14:paraId="05B5512E">
      <w:pPr>
        <w:tabs>
          <w:tab w:val="left" w:pos="1170"/>
          <w:tab w:val="center" w:pos="5233"/>
        </w:tabs>
        <w:suppressAutoHyphens/>
        <w:ind w:left="2250"/>
        <w:jc w:val="both"/>
        <w:rPr>
          <w:sz w:val="20"/>
          <w:szCs w:val="20"/>
        </w:rPr>
      </w:pPr>
    </w:p>
    <w:p w14:paraId="5CDE6D0C">
      <w:pPr>
        <w:tabs>
          <w:tab w:val="left" w:pos="1170"/>
          <w:tab w:val="center" w:pos="5233"/>
        </w:tabs>
        <w:suppressAutoHyphens/>
        <w:ind w:left="2250"/>
        <w:jc w:val="both"/>
        <w:rPr>
          <w:sz w:val="20"/>
          <w:szCs w:val="20"/>
        </w:rPr>
      </w:pPr>
    </w:p>
    <w:p w14:paraId="17F80E2E">
      <w:pPr>
        <w:tabs>
          <w:tab w:val="left" w:pos="1170"/>
          <w:tab w:val="center" w:pos="5233"/>
        </w:tabs>
        <w:suppressAutoHyphens/>
        <w:ind w:left="2250"/>
        <w:jc w:val="both"/>
        <w:rPr>
          <w:sz w:val="20"/>
          <w:szCs w:val="20"/>
        </w:rPr>
      </w:pPr>
    </w:p>
    <w:p w14:paraId="2244C498">
      <w:pPr>
        <w:tabs>
          <w:tab w:val="left" w:pos="1170"/>
          <w:tab w:val="center" w:pos="5233"/>
        </w:tabs>
        <w:suppressAutoHyphens/>
        <w:ind w:left="2250"/>
        <w:jc w:val="both"/>
        <w:rPr>
          <w:b/>
          <w:sz w:val="28"/>
          <w:szCs w:val="28"/>
          <w:highlight w:val="none"/>
        </w:rPr>
      </w:pPr>
      <w:r>
        <w:rPr>
          <w:b/>
          <w:sz w:val="28"/>
          <w:szCs w:val="28"/>
          <w:highlight w:val="none"/>
        </w:rPr>
        <w:t>Issued on:</w:t>
      </w:r>
      <w:r>
        <w:rPr>
          <w:rFonts w:hint="default"/>
          <w:b/>
          <w:sz w:val="28"/>
          <w:szCs w:val="28"/>
          <w:highlight w:val="none"/>
          <w:lang w:val="en-US"/>
        </w:rPr>
        <w:t>25TH October,</w:t>
      </w:r>
      <w:r>
        <w:rPr>
          <w:b/>
          <w:sz w:val="28"/>
          <w:szCs w:val="28"/>
          <w:highlight w:val="none"/>
        </w:rPr>
        <w:t>2024</w:t>
      </w:r>
    </w:p>
    <w:p w14:paraId="09CDD6C0">
      <w:pPr>
        <w:rPr>
          <w:b/>
          <w:sz w:val="40"/>
          <w:szCs w:val="38"/>
        </w:rPr>
        <w:sectPr>
          <w:headerReference r:id="rId4" w:type="first"/>
          <w:footerReference r:id="rId5" w:type="even"/>
          <w:type w:val="oddPage"/>
          <w:pgSz w:w="12240" w:h="15840"/>
          <w:pgMar w:top="720" w:right="900" w:bottom="432" w:left="1440" w:header="720" w:footer="288" w:gutter="0"/>
          <w:pgNumType w:fmt="lowerRoman"/>
          <w:cols w:space="720" w:num="1"/>
          <w:docGrid w:linePitch="326" w:charSpace="0"/>
        </w:sectPr>
      </w:pPr>
    </w:p>
    <w:p w14:paraId="35697FD9"/>
    <w:p w14:paraId="2B5A7921"/>
    <w:p w14:paraId="48E5C3E6">
      <w:pPr>
        <w:pStyle w:val="56"/>
        <w:rPr>
          <w:rFonts w:ascii="Times New Roman" w:hAnsi="Times New Roman"/>
          <w:szCs w:val="48"/>
        </w:rPr>
      </w:pPr>
      <w:r>
        <w:rPr>
          <w:rFonts w:ascii="Times New Roman" w:hAnsi="Times New Roman"/>
          <w:iCs/>
          <w:szCs w:val="48"/>
        </w:rPr>
        <w:t xml:space="preserve"> </w:t>
      </w:r>
    </w:p>
    <w:p w14:paraId="31993163"/>
    <w:p w14:paraId="5D086CD8"/>
    <w:p w14:paraId="2744780E">
      <w:pPr>
        <w:jc w:val="center"/>
        <w:rPr>
          <w:b/>
          <w:sz w:val="32"/>
          <w:szCs w:val="32"/>
        </w:rPr>
      </w:pPr>
      <w:r>
        <w:rPr>
          <w:b/>
          <w:sz w:val="32"/>
          <w:szCs w:val="32"/>
        </w:rPr>
        <w:t>Table of Contents</w:t>
      </w:r>
    </w:p>
    <w:p w14:paraId="08BE85E9"/>
    <w:p w14:paraId="5FDF125A">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TOC \h \z \t "Subtitle,2,Part,1" </w:instrText>
      </w:r>
      <w:r>
        <w:fldChar w:fldCharType="separate"/>
      </w:r>
      <w:r>
        <w:fldChar w:fldCharType="begin"/>
      </w:r>
      <w:r>
        <w:instrText xml:space="preserve"> HYPERLINK \l "_Toc178543286" </w:instrText>
      </w:r>
      <w:r>
        <w:fldChar w:fldCharType="separate"/>
      </w:r>
      <w:r>
        <w:rPr>
          <w:rStyle w:val="31"/>
        </w:rPr>
        <w:t>PART 1 – Bidding Procedures</w:t>
      </w:r>
      <w:r>
        <w:tab/>
      </w:r>
      <w:r>
        <w:fldChar w:fldCharType="begin"/>
      </w:r>
      <w:r>
        <w:instrText xml:space="preserve"> PAGEREF _Toc178543286 \h </w:instrText>
      </w:r>
      <w:r>
        <w:fldChar w:fldCharType="separate"/>
      </w:r>
      <w:r>
        <w:t>1</w:t>
      </w:r>
      <w:r>
        <w:fldChar w:fldCharType="end"/>
      </w:r>
      <w:r>
        <w:fldChar w:fldCharType="end"/>
      </w:r>
    </w:p>
    <w:p w14:paraId="0BCFE25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"_Toc178543287" </w:instrText>
      </w:r>
      <w:r>
        <w:fldChar w:fldCharType="separate"/>
      </w:r>
      <w:r>
        <w:rPr>
          <w:rStyle w:val="31"/>
        </w:rPr>
        <w:t>Section 1 - Instructions to Bidders</w:t>
      </w:r>
      <w:r>
        <w:tab/>
      </w:r>
      <w:r>
        <w:fldChar w:fldCharType="begin"/>
      </w:r>
      <w:r>
        <w:instrText xml:space="preserve"> PAGEREF _Toc178543287 \h </w:instrText>
      </w:r>
      <w:r>
        <w:fldChar w:fldCharType="separate"/>
      </w:r>
      <w:r>
        <w:t>2</w:t>
      </w:r>
      <w:r>
        <w:fldChar w:fldCharType="end"/>
      </w:r>
      <w:r>
        <w:fldChar w:fldCharType="end"/>
      </w:r>
    </w:p>
    <w:p w14:paraId="412AB65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"_Toc178543288" </w:instrText>
      </w:r>
      <w:r>
        <w:fldChar w:fldCharType="separate"/>
      </w:r>
      <w:r>
        <w:rPr>
          <w:rStyle w:val="31"/>
        </w:rPr>
        <w:t>Section II - Bid Data Sheet (BDS)</w:t>
      </w:r>
      <w:r>
        <w:tab/>
      </w:r>
      <w:r>
        <w:fldChar w:fldCharType="begin"/>
      </w:r>
      <w:r>
        <w:instrText xml:space="preserve"> PAGEREF _Toc178543288 \h </w:instrText>
      </w:r>
      <w:r>
        <w:fldChar w:fldCharType="separate"/>
      </w:r>
      <w:r>
        <w:t>27</w:t>
      </w:r>
      <w:r>
        <w:fldChar w:fldCharType="end"/>
      </w:r>
      <w:r>
        <w:fldChar w:fldCharType="end"/>
      </w:r>
    </w:p>
    <w:p w14:paraId="1EA1EAD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"_Toc178543289" </w:instrText>
      </w:r>
      <w:r>
        <w:fldChar w:fldCharType="separate"/>
      </w:r>
      <w:r>
        <w:rPr>
          <w:rStyle w:val="31"/>
          <w:rFonts w:cs="Arial"/>
        </w:rPr>
        <w:t>Section III - Evaluation and Qualification Criteria</w:t>
      </w:r>
      <w:r>
        <w:tab/>
      </w:r>
      <w:r>
        <w:fldChar w:fldCharType="begin"/>
      </w:r>
      <w:r>
        <w:instrText xml:space="preserve"> PAGEREF _Toc178543289 \h </w:instrText>
      </w:r>
      <w:r>
        <w:fldChar w:fldCharType="separate"/>
      </w:r>
      <w:r>
        <w:t>33</w:t>
      </w:r>
      <w:r>
        <w:fldChar w:fldCharType="end"/>
      </w:r>
      <w:r>
        <w:fldChar w:fldCharType="end"/>
      </w:r>
    </w:p>
    <w:p w14:paraId="44BA2B24">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"_Toc178543290" </w:instrText>
      </w:r>
      <w:r>
        <w:fldChar w:fldCharType="separate"/>
      </w:r>
      <w:r>
        <w:rPr>
          <w:rStyle w:val="31"/>
          <w:rFonts w:cs="Arial"/>
        </w:rPr>
        <w:t>Section IV - Bidding Forms</w:t>
      </w:r>
      <w:r>
        <w:tab/>
      </w:r>
      <w:r>
        <w:fldChar w:fldCharType="begin"/>
      </w:r>
      <w:r>
        <w:instrText xml:space="preserve"> PAGEREF _Toc178543290 \h </w:instrText>
      </w:r>
      <w:r>
        <w:fldChar w:fldCharType="separate"/>
      </w:r>
      <w:r>
        <w:t>52</w:t>
      </w:r>
      <w:r>
        <w:fldChar w:fldCharType="end"/>
      </w:r>
      <w:r>
        <w:fldChar w:fldCharType="end"/>
      </w:r>
    </w:p>
    <w:p w14:paraId="3515EE67">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"_Toc178543291" </w:instrText>
      </w:r>
      <w:r>
        <w:fldChar w:fldCharType="separate"/>
      </w:r>
      <w:r>
        <w:rPr>
          <w:rStyle w:val="31"/>
          <w:rFonts w:cs="Arial"/>
        </w:rPr>
        <w:t xml:space="preserve">Section V - </w:t>
      </w:r>
      <w:r>
        <w:rPr>
          <w:rStyle w:val="31"/>
        </w:rPr>
        <w:t>Eligible Countries</w:t>
      </w:r>
      <w:r>
        <w:tab/>
      </w:r>
      <w:r>
        <w:fldChar w:fldCharType="begin"/>
      </w:r>
      <w:r>
        <w:instrText xml:space="preserve"> PAGEREF _Toc178543291 \h </w:instrText>
      </w:r>
      <w:r>
        <w:fldChar w:fldCharType="separate"/>
      </w:r>
      <w:r>
        <w:t>113</w:t>
      </w:r>
      <w:r>
        <w:fldChar w:fldCharType="end"/>
      </w:r>
      <w:r>
        <w:fldChar w:fldCharType="end"/>
      </w:r>
    </w:p>
    <w:p w14:paraId="2567B598">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"_Toc178543292" </w:instrText>
      </w:r>
      <w:r>
        <w:fldChar w:fldCharType="separate"/>
      </w:r>
      <w:r>
        <w:rPr>
          <w:rStyle w:val="31"/>
        </w:rPr>
        <w:t xml:space="preserve">PART 2 – </w:t>
      </w:r>
      <w:r>
        <w:rPr>
          <w:rStyle w:val="31"/>
          <w:iCs/>
        </w:rPr>
        <w:t>Works</w:t>
      </w:r>
      <w:r>
        <w:rPr>
          <w:rStyle w:val="31"/>
        </w:rPr>
        <w:t xml:space="preserve"> Requirements</w:t>
      </w:r>
      <w:r>
        <w:tab/>
      </w:r>
      <w:r>
        <w:fldChar w:fldCharType="begin"/>
      </w:r>
      <w:r>
        <w:instrText xml:space="preserve"> PAGEREF _Toc178543292 \h </w:instrText>
      </w:r>
      <w:r>
        <w:fldChar w:fldCharType="separate"/>
      </w:r>
      <w:r>
        <w:t>109</w:t>
      </w:r>
      <w:r>
        <w:fldChar w:fldCharType="end"/>
      </w:r>
      <w:r>
        <w:fldChar w:fldCharType="end"/>
      </w:r>
    </w:p>
    <w:p w14:paraId="16AE495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"_Toc178543293" </w:instrText>
      </w:r>
      <w:r>
        <w:fldChar w:fldCharType="separate"/>
      </w:r>
      <w:r>
        <w:rPr>
          <w:rStyle w:val="31"/>
          <w:rFonts w:cs="Arial"/>
        </w:rPr>
        <w:t xml:space="preserve">Section VII - </w:t>
      </w:r>
      <w:r>
        <w:rPr>
          <w:rStyle w:val="31"/>
        </w:rPr>
        <w:t>Works Requirements</w:t>
      </w:r>
      <w:r>
        <w:tab/>
      </w:r>
      <w:r>
        <w:fldChar w:fldCharType="begin"/>
      </w:r>
      <w:r>
        <w:instrText xml:space="preserve"> PAGEREF _Toc178543293 \h </w:instrText>
      </w:r>
      <w:r>
        <w:fldChar w:fldCharType="separate"/>
      </w:r>
      <w:r>
        <w:t>110</w:t>
      </w:r>
      <w:r>
        <w:fldChar w:fldCharType="end"/>
      </w:r>
      <w:r>
        <w:fldChar w:fldCharType="end"/>
      </w:r>
    </w:p>
    <w:p w14:paraId="374015CD">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"_Toc178543294" </w:instrText>
      </w:r>
      <w:r>
        <w:fldChar w:fldCharType="separate"/>
      </w:r>
      <w:r>
        <w:rPr>
          <w:rStyle w:val="31"/>
        </w:rPr>
        <w:t>PART 3 – Conditions of Contract and Contract Forms</w:t>
      </w:r>
      <w:r>
        <w:tab/>
      </w:r>
      <w:r>
        <w:fldChar w:fldCharType="begin"/>
      </w:r>
      <w:r>
        <w:instrText xml:space="preserve"> PAGEREF _Toc178543294 \h </w:instrText>
      </w:r>
      <w:r>
        <w:fldChar w:fldCharType="separate"/>
      </w:r>
      <w:r>
        <w:t>121</w:t>
      </w:r>
      <w:r>
        <w:fldChar w:fldCharType="end"/>
      </w:r>
      <w:r>
        <w:fldChar w:fldCharType="end"/>
      </w:r>
    </w:p>
    <w:p w14:paraId="30911DB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"_Toc178543295" </w:instrText>
      </w:r>
      <w:r>
        <w:fldChar w:fldCharType="separate"/>
      </w:r>
      <w:r>
        <w:rPr>
          <w:rStyle w:val="31"/>
        </w:rPr>
        <w:t>Section VIII.  General Conditions of Contract</w:t>
      </w:r>
      <w:r>
        <w:tab/>
      </w:r>
      <w:r>
        <w:fldChar w:fldCharType="begin"/>
      </w:r>
      <w:r>
        <w:instrText xml:space="preserve"> PAGEREF _Toc178543295 \h </w:instrText>
      </w:r>
      <w:r>
        <w:fldChar w:fldCharType="separate"/>
      </w:r>
      <w:r>
        <w:t>122</w:t>
      </w:r>
      <w:r>
        <w:fldChar w:fldCharType="end"/>
      </w:r>
      <w:r>
        <w:fldChar w:fldCharType="end"/>
      </w:r>
    </w:p>
    <w:p w14:paraId="4A2E7AFB">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"_Toc178543296" </w:instrText>
      </w:r>
      <w:r>
        <w:fldChar w:fldCharType="separate"/>
      </w:r>
      <w:r>
        <w:rPr>
          <w:rStyle w:val="31"/>
        </w:rPr>
        <w:t xml:space="preserve">Section IX.  </w:t>
      </w:r>
      <w:r>
        <w:rPr>
          <w:rStyle w:val="31"/>
          <w:iCs/>
        </w:rPr>
        <w:t xml:space="preserve">Particular </w:t>
      </w:r>
      <w:r>
        <w:rPr>
          <w:rStyle w:val="31"/>
        </w:rPr>
        <w:t>Conditions of Contract</w:t>
      </w:r>
      <w:r>
        <w:tab/>
      </w:r>
      <w:r>
        <w:fldChar w:fldCharType="begin"/>
      </w:r>
      <w:r>
        <w:instrText xml:space="preserve"> PAGEREF _Toc178543296 \h </w:instrText>
      </w:r>
      <w:r>
        <w:fldChar w:fldCharType="separate"/>
      </w:r>
      <w:r>
        <w:t>167</w:t>
      </w:r>
      <w:r>
        <w:fldChar w:fldCharType="end"/>
      </w:r>
      <w:r>
        <w:fldChar w:fldCharType="end"/>
      </w:r>
    </w:p>
    <w:p w14:paraId="7430C62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"_Toc178543297" </w:instrText>
      </w:r>
      <w:r>
        <w:fldChar w:fldCharType="separate"/>
      </w:r>
      <w:r>
        <w:rPr>
          <w:rStyle w:val="31"/>
        </w:rPr>
        <w:t>Section X - Contract Forms</w:t>
      </w:r>
      <w:r>
        <w:tab/>
      </w:r>
      <w:r>
        <w:fldChar w:fldCharType="begin"/>
      </w:r>
      <w:r>
        <w:instrText xml:space="preserve"> PAGEREF _Toc178543297 \h </w:instrText>
      </w:r>
      <w:r>
        <w:fldChar w:fldCharType="separate"/>
      </w:r>
      <w:r>
        <w:t>173</w:t>
      </w:r>
      <w:r>
        <w:fldChar w:fldCharType="end"/>
      </w:r>
      <w:r>
        <w:fldChar w:fldCharType="end"/>
      </w:r>
    </w:p>
    <w:p w14:paraId="5E37F06E">
      <w:r>
        <w:fldChar w:fldCharType="end"/>
      </w:r>
    </w:p>
    <w:p w14:paraId="230F9E14"/>
    <w:p w14:paraId="753DFD57">
      <w:pPr>
        <w:pStyle w:val="158"/>
        <w:sectPr>
          <w:headerReference r:id="rId8" w:type="first"/>
          <w:headerReference r:id="rId6" w:type="default"/>
          <w:headerReference r:id="rId7" w:type="even"/>
          <w:type w:val="oddPage"/>
          <w:pgSz w:w="12240" w:h="15840"/>
          <w:pgMar w:top="1440" w:right="1440" w:bottom="1440" w:left="1800" w:header="720" w:footer="720" w:gutter="0"/>
          <w:paperSrc w:first="15" w:other="15"/>
          <w:pgNumType w:fmt="lowerRoman"/>
          <w:cols w:space="720" w:num="1"/>
          <w:titlePg/>
        </w:sectPr>
      </w:pPr>
    </w:p>
    <w:p w14:paraId="38DDF868">
      <w:pPr>
        <w:pStyle w:val="158"/>
      </w:pPr>
    </w:p>
    <w:p w14:paraId="368F824D">
      <w:pPr>
        <w:pStyle w:val="158"/>
      </w:pPr>
      <w:bookmarkStart w:id="1" w:name="_Toc178543286"/>
      <w:r>
        <w:t>PART 1 – Bidding Procedures</w:t>
      </w:r>
      <w:bookmarkEnd w:id="1"/>
    </w:p>
    <w:p w14:paraId="3A86999E">
      <w:pPr>
        <w:tabs>
          <w:tab w:val="left" w:pos="180"/>
        </w:tabs>
        <w:ind w:left="720" w:right="288" w:hanging="360"/>
        <w:jc w:val="both"/>
        <w:rPr>
          <w:rFonts w:ascii="Arial" w:hAnsi="Arial" w:cs="Arial"/>
          <w:iCs/>
          <w:spacing w:val="-2"/>
          <w:sz w:val="20"/>
        </w:rPr>
      </w:pPr>
    </w:p>
    <w:p w14:paraId="2F4F433F">
      <w:pPr>
        <w:tabs>
          <w:tab w:val="left" w:pos="180"/>
        </w:tabs>
        <w:ind w:left="720" w:right="288" w:hanging="360"/>
        <w:jc w:val="both"/>
        <w:rPr>
          <w:rFonts w:ascii="Arial" w:hAnsi="Arial" w:cs="Arial"/>
          <w:iCs/>
          <w:spacing w:val="-2"/>
          <w:sz w:val="20"/>
        </w:rPr>
        <w:sectPr>
          <w:headerReference r:id="rId9" w:type="first"/>
          <w:type w:val="oddPage"/>
          <w:pgSz w:w="12240" w:h="15840"/>
          <w:pgMar w:top="1440" w:right="1440" w:bottom="1440" w:left="1800" w:header="720" w:footer="720" w:gutter="0"/>
          <w:paperSrc w:first="15" w:other="15"/>
          <w:pgNumType w:start="1"/>
          <w:cols w:space="720" w:num="1"/>
          <w:titlePg/>
        </w:sectPr>
      </w:pPr>
    </w:p>
    <w:p w14:paraId="5AD1DB4F">
      <w:pPr>
        <w:tabs>
          <w:tab w:val="left" w:pos="180"/>
        </w:tabs>
        <w:ind w:left="720" w:right="288" w:hanging="360"/>
        <w:jc w:val="both"/>
        <w:rPr>
          <w:rFonts w:ascii="Arial" w:hAnsi="Arial" w:cs="Arial"/>
          <w:iCs/>
          <w:spacing w:val="-2"/>
          <w:sz w:val="20"/>
        </w:rPr>
      </w:pPr>
    </w:p>
    <w:p w14:paraId="3FD7454F">
      <w:pPr>
        <w:pStyle w:val="54"/>
      </w:pPr>
      <w:bookmarkStart w:id="2" w:name="_Toc178543287"/>
      <w:r>
        <w:t>Section 1 - Instructions to Bidders</w:t>
      </w:r>
      <w:bookmarkEnd w:id="2"/>
    </w:p>
    <w:bookmarkEnd w:id="0"/>
    <w:p w14:paraId="408AB8D9">
      <w:pPr>
        <w:pStyle w:val="15"/>
        <w:ind w:left="180" w:right="288"/>
        <w:jc w:val="center"/>
        <w:rPr>
          <w:b/>
          <w:bCs/>
          <w:sz w:val="24"/>
        </w:rPr>
      </w:pPr>
    </w:p>
    <w:p w14:paraId="24E22BCF">
      <w:pPr>
        <w:pStyle w:val="15"/>
        <w:ind w:left="180" w:right="288"/>
        <w:jc w:val="center"/>
        <w:rPr>
          <w:rFonts w:ascii="Times New Roman" w:hAnsi="Times New Roman" w:cs="Times New Roman"/>
          <w:b/>
          <w:sz w:val="24"/>
        </w:rPr>
      </w:pPr>
      <w:r>
        <w:rPr>
          <w:rFonts w:ascii="Times New Roman" w:hAnsi="Times New Roman" w:cs="Times New Roman"/>
          <w:b/>
          <w:sz w:val="24"/>
        </w:rPr>
        <w:t>Table of Clauses</w:t>
      </w:r>
    </w:p>
    <w:p w14:paraId="13B768E9">
      <w:pPr>
        <w:pStyle w:val="15"/>
        <w:ind w:left="180" w:right="288"/>
        <w:jc w:val="center"/>
        <w:rPr>
          <w:rFonts w:ascii="Times New Roman" w:hAnsi="Times New Roman" w:cs="Times New Roman"/>
          <w:b/>
          <w:bCs/>
          <w:sz w:val="24"/>
        </w:rPr>
      </w:pPr>
    </w:p>
    <w:p w14:paraId="48325CC5">
      <w:pPr>
        <w:pStyle w:val="58"/>
        <w:tabs>
          <w:tab w:val="left" w:pos="720"/>
          <w:tab w:val="right" w:leader="dot" w:pos="8990"/>
        </w:tabs>
        <w:rPr>
          <w:rFonts w:asciiTheme="minorHAnsi" w:hAnsiTheme="minorHAnsi" w:eastAsiaTheme="minorEastAsia" w:cstheme="minorBidi"/>
          <w:b w:val="0"/>
          <w:kern w:val="2"/>
          <w:sz w:val="22"/>
          <w:szCs w:val="22"/>
          <w14:ligatures w14:val="standardContextual"/>
        </w:rPr>
      </w:pPr>
      <w:r>
        <w:rPr>
          <w:b w:val="0"/>
          <w:bCs/>
        </w:rPr>
        <w:fldChar w:fldCharType="begin"/>
      </w:r>
      <w:r>
        <w:rPr>
          <w:b w:val="0"/>
          <w:bCs/>
        </w:rPr>
        <w:instrText xml:space="preserve"> TOC \h \z \t "Subtitle 2,2,S1-Header2,2,Style Style S1-Header1 + Times New Roman 14 pt +1,1" </w:instrText>
      </w:r>
      <w:r>
        <w:rPr>
          <w:b w:val="0"/>
          <w:bCs/>
        </w:rPr>
        <w:fldChar w:fldCharType="separate"/>
      </w:r>
      <w:r>
        <w:fldChar w:fldCharType="begin"/>
      </w:r>
      <w:r>
        <w:instrText xml:space="preserve"> HYPERLINK \l "_Toc178538522" </w:instrText>
      </w:r>
      <w:r>
        <w:fldChar w:fldCharType="separate"/>
      </w:r>
      <w:r>
        <w:rPr>
          <w:rStyle w:val="31"/>
        </w:rPr>
        <w:t>A.</w:t>
      </w:r>
      <w:r>
        <w:rPr>
          <w:rFonts w:asciiTheme="minorHAnsi" w:hAnsiTheme="minorHAnsi" w:eastAsiaTheme="minorEastAsia" w:cstheme="minorBidi"/>
          <w:b w:val="0"/>
          <w:kern w:val="2"/>
          <w:sz w:val="22"/>
          <w:szCs w:val="22"/>
          <w14:ligatures w14:val="standardContextual"/>
        </w:rPr>
        <w:tab/>
      </w:r>
      <w:r>
        <w:rPr>
          <w:rStyle w:val="31"/>
        </w:rPr>
        <w:t>General</w:t>
      </w:r>
      <w:r>
        <w:tab/>
      </w:r>
      <w:r>
        <w:fldChar w:fldCharType="begin"/>
      </w:r>
      <w:r>
        <w:instrText xml:space="preserve"> PAGEREF _Toc178538522 \h </w:instrText>
      </w:r>
      <w:r>
        <w:fldChar w:fldCharType="separate"/>
      </w:r>
      <w:r>
        <w:t>4</w:t>
      </w:r>
      <w:r>
        <w:fldChar w:fldCharType="end"/>
      </w:r>
      <w:r>
        <w:fldChar w:fldCharType="end"/>
      </w:r>
    </w:p>
    <w:p w14:paraId="4F1DD440">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"_Toc178538523" </w:instrText>
      </w:r>
      <w:r>
        <w:fldChar w:fldCharType="separate"/>
      </w:r>
      <w:r>
        <w:rPr>
          <w:rStyle w:val="31"/>
        </w:rPr>
        <w:t>1.</w:t>
      </w:r>
      <w:r>
        <w:rPr>
          <w:rFonts w:asciiTheme="minorHAnsi" w:hAnsiTheme="minorHAnsi" w:eastAsiaTheme="minorEastAsia" w:cstheme="minorBidi"/>
          <w:kern w:val="2"/>
          <w:sz w:val="22"/>
          <w:szCs w:val="22"/>
          <w14:ligatures w14:val="standardContextual"/>
        </w:rPr>
        <w:tab/>
      </w:r>
      <w:r>
        <w:rPr>
          <w:rStyle w:val="31"/>
        </w:rPr>
        <w:t>Scope of Bid</w:t>
      </w:r>
      <w:r>
        <w:tab/>
      </w:r>
      <w:r>
        <w:fldChar w:fldCharType="begin"/>
      </w:r>
      <w:r>
        <w:instrText xml:space="preserve"> PAGEREF _Toc178538523 \h </w:instrText>
      </w:r>
      <w:r>
        <w:fldChar w:fldCharType="separate"/>
      </w:r>
      <w:r>
        <w:t>4</w:t>
      </w:r>
      <w:r>
        <w:fldChar w:fldCharType="end"/>
      </w:r>
      <w:r>
        <w:fldChar w:fldCharType="end"/>
      </w:r>
    </w:p>
    <w:p w14:paraId="46646E3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"_Toc178538524" </w:instrText>
      </w:r>
      <w:r>
        <w:fldChar w:fldCharType="separate"/>
      </w:r>
      <w:r>
        <w:rPr>
          <w:rStyle w:val="31"/>
        </w:rPr>
        <w:t>2.</w:t>
      </w:r>
      <w:r>
        <w:rPr>
          <w:rFonts w:asciiTheme="minorHAnsi" w:hAnsiTheme="minorHAnsi" w:eastAsiaTheme="minorEastAsia" w:cstheme="minorBidi"/>
          <w:kern w:val="2"/>
          <w:sz w:val="22"/>
          <w:szCs w:val="22"/>
          <w14:ligatures w14:val="standardContextual"/>
        </w:rPr>
        <w:tab/>
      </w:r>
      <w:r>
        <w:rPr>
          <w:rStyle w:val="31"/>
        </w:rPr>
        <w:t>Source of Funds</w:t>
      </w:r>
      <w:r>
        <w:tab/>
      </w:r>
      <w:r>
        <w:fldChar w:fldCharType="begin"/>
      </w:r>
      <w:r>
        <w:instrText xml:space="preserve"> PAGEREF _Toc178538524 \h </w:instrText>
      </w:r>
      <w:r>
        <w:fldChar w:fldCharType="separate"/>
      </w:r>
      <w:r>
        <w:t>5</w:t>
      </w:r>
      <w:r>
        <w:fldChar w:fldCharType="end"/>
      </w:r>
      <w:r>
        <w:fldChar w:fldCharType="end"/>
      </w:r>
    </w:p>
    <w:p w14:paraId="15E450EE">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"_Toc178538525" </w:instrText>
      </w:r>
      <w:r>
        <w:fldChar w:fldCharType="separate"/>
      </w:r>
      <w:r>
        <w:rPr>
          <w:rStyle w:val="31"/>
        </w:rPr>
        <w:t>3.</w:t>
      </w:r>
      <w:r>
        <w:rPr>
          <w:rFonts w:asciiTheme="minorHAnsi" w:hAnsiTheme="minorHAnsi" w:eastAsiaTheme="minorEastAsia" w:cstheme="minorBidi"/>
          <w:kern w:val="2"/>
          <w:sz w:val="22"/>
          <w:szCs w:val="22"/>
          <w14:ligatures w14:val="standardContextual"/>
        </w:rPr>
        <w:tab/>
      </w:r>
      <w:r>
        <w:rPr>
          <w:rStyle w:val="31"/>
        </w:rPr>
        <w:t>Corrupt and Fraudulent Practices</w:t>
      </w:r>
      <w:r>
        <w:tab/>
      </w:r>
      <w:r>
        <w:fldChar w:fldCharType="begin"/>
      </w:r>
      <w:r>
        <w:instrText xml:space="preserve"> PAGEREF _Toc178538525 \h </w:instrText>
      </w:r>
      <w:r>
        <w:fldChar w:fldCharType="separate"/>
      </w:r>
      <w:r>
        <w:t>5</w:t>
      </w:r>
      <w:r>
        <w:fldChar w:fldCharType="end"/>
      </w:r>
      <w:r>
        <w:fldChar w:fldCharType="end"/>
      </w:r>
    </w:p>
    <w:p w14:paraId="730168FD">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"_Toc178538526" </w:instrText>
      </w:r>
      <w:r>
        <w:fldChar w:fldCharType="separate"/>
      </w:r>
      <w:r>
        <w:rPr>
          <w:rStyle w:val="31"/>
        </w:rPr>
        <w:t>4.</w:t>
      </w:r>
      <w:r>
        <w:rPr>
          <w:rFonts w:asciiTheme="minorHAnsi" w:hAnsiTheme="minorHAnsi" w:eastAsiaTheme="minorEastAsia" w:cstheme="minorBidi"/>
          <w:kern w:val="2"/>
          <w:sz w:val="22"/>
          <w:szCs w:val="22"/>
          <w14:ligatures w14:val="standardContextual"/>
        </w:rPr>
        <w:tab/>
      </w:r>
      <w:r>
        <w:rPr>
          <w:rStyle w:val="31"/>
        </w:rPr>
        <w:t>Eligible Bidders</w:t>
      </w:r>
      <w:r>
        <w:tab/>
      </w:r>
      <w:r>
        <w:fldChar w:fldCharType="begin"/>
      </w:r>
      <w:r>
        <w:instrText xml:space="preserve"> PAGEREF _Toc178538526 \h </w:instrText>
      </w:r>
      <w:r>
        <w:fldChar w:fldCharType="separate"/>
      </w:r>
      <w:r>
        <w:t>5</w:t>
      </w:r>
      <w:r>
        <w:fldChar w:fldCharType="end"/>
      </w:r>
      <w:r>
        <w:fldChar w:fldCharType="end"/>
      </w:r>
    </w:p>
    <w:p w14:paraId="1825AA6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"_Toc178538527" </w:instrText>
      </w:r>
      <w:r>
        <w:fldChar w:fldCharType="separate"/>
      </w:r>
      <w:r>
        <w:rPr>
          <w:rStyle w:val="31"/>
          <w:iCs/>
        </w:rPr>
        <w:t>5.</w:t>
      </w:r>
      <w:r>
        <w:rPr>
          <w:rFonts w:asciiTheme="minorHAnsi" w:hAnsiTheme="minorHAnsi" w:eastAsiaTheme="minorEastAsia" w:cstheme="minorBidi"/>
          <w:kern w:val="2"/>
          <w:sz w:val="22"/>
          <w:szCs w:val="22"/>
          <w14:ligatures w14:val="standardContextual"/>
        </w:rPr>
        <w:tab/>
      </w:r>
      <w:r>
        <w:rPr>
          <w:rStyle w:val="31"/>
          <w:iCs/>
        </w:rPr>
        <w:t>Eligible Materials, Equipment and Services</w:t>
      </w:r>
      <w:r>
        <w:tab/>
      </w:r>
      <w:r>
        <w:fldChar w:fldCharType="begin"/>
      </w:r>
      <w:r>
        <w:instrText xml:space="preserve"> PAGEREF _Toc178538527 \h </w:instrText>
      </w:r>
      <w:r>
        <w:fldChar w:fldCharType="separate"/>
      </w:r>
      <w:r>
        <w:t>8</w:t>
      </w:r>
      <w:r>
        <w:fldChar w:fldCharType="end"/>
      </w:r>
      <w:r>
        <w:fldChar w:fldCharType="end"/>
      </w:r>
    </w:p>
    <w:p w14:paraId="7806C186">
      <w:pPr>
        <w:pStyle w:val="58"/>
        <w:tabs>
          <w:tab w:val="left" w:pos="720"/>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"_Toc178538528" </w:instrText>
      </w:r>
      <w:r>
        <w:fldChar w:fldCharType="separate"/>
      </w:r>
      <w:r>
        <w:rPr>
          <w:rStyle w:val="31"/>
        </w:rPr>
        <w:t>B.</w:t>
      </w:r>
      <w:r>
        <w:rPr>
          <w:rFonts w:asciiTheme="minorHAnsi" w:hAnsiTheme="minorHAnsi" w:eastAsiaTheme="minorEastAsia" w:cstheme="minorBidi"/>
          <w:b w:val="0"/>
          <w:kern w:val="2"/>
          <w:sz w:val="22"/>
          <w:szCs w:val="22"/>
          <w14:ligatures w14:val="standardContextual"/>
        </w:rPr>
        <w:tab/>
      </w:r>
      <w:r>
        <w:rPr>
          <w:rStyle w:val="31"/>
        </w:rPr>
        <w:t>Contents of Bidding Document</w:t>
      </w:r>
      <w:r>
        <w:tab/>
      </w:r>
      <w:r>
        <w:fldChar w:fldCharType="begin"/>
      </w:r>
      <w:r>
        <w:instrText xml:space="preserve"> PAGEREF _Toc178538528 \h </w:instrText>
      </w:r>
      <w:r>
        <w:fldChar w:fldCharType="separate"/>
      </w:r>
      <w:r>
        <w:t>8</w:t>
      </w:r>
      <w:r>
        <w:fldChar w:fldCharType="end"/>
      </w:r>
      <w:r>
        <w:fldChar w:fldCharType="end"/>
      </w:r>
    </w:p>
    <w:p w14:paraId="363B33E8">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"_Toc178538529" </w:instrText>
      </w:r>
      <w:r>
        <w:fldChar w:fldCharType="separate"/>
      </w:r>
      <w:r>
        <w:rPr>
          <w:rStyle w:val="31"/>
        </w:rPr>
        <w:t>6.</w:t>
      </w:r>
      <w:r>
        <w:rPr>
          <w:rFonts w:asciiTheme="minorHAnsi" w:hAnsiTheme="minorHAnsi" w:eastAsiaTheme="minorEastAsia" w:cstheme="minorBidi"/>
          <w:kern w:val="2"/>
          <w:sz w:val="22"/>
          <w:szCs w:val="22"/>
          <w14:ligatures w14:val="standardContextual"/>
        </w:rPr>
        <w:tab/>
      </w:r>
      <w:r>
        <w:rPr>
          <w:rStyle w:val="31"/>
        </w:rPr>
        <w:t>Sections of Bidding Document</w:t>
      </w:r>
      <w:r>
        <w:tab/>
      </w:r>
      <w:r>
        <w:fldChar w:fldCharType="begin"/>
      </w:r>
      <w:r>
        <w:instrText xml:space="preserve"> PAGEREF _Toc178538529 \h </w:instrText>
      </w:r>
      <w:r>
        <w:fldChar w:fldCharType="separate"/>
      </w:r>
      <w:r>
        <w:t>8</w:t>
      </w:r>
      <w:r>
        <w:fldChar w:fldCharType="end"/>
      </w:r>
      <w:r>
        <w:fldChar w:fldCharType="end"/>
      </w:r>
    </w:p>
    <w:p w14:paraId="1843196F">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"_Toc178538530" </w:instrText>
      </w:r>
      <w:r>
        <w:fldChar w:fldCharType="separate"/>
      </w:r>
      <w:r>
        <w:rPr>
          <w:rStyle w:val="31"/>
        </w:rPr>
        <w:t>7.</w:t>
      </w:r>
      <w:r>
        <w:rPr>
          <w:rFonts w:asciiTheme="minorHAnsi" w:hAnsiTheme="minorHAnsi" w:eastAsiaTheme="minorEastAsia" w:cstheme="minorBidi"/>
          <w:kern w:val="2"/>
          <w:sz w:val="22"/>
          <w:szCs w:val="22"/>
          <w14:ligatures w14:val="standardContextual"/>
        </w:rPr>
        <w:tab/>
      </w:r>
      <w:r>
        <w:rPr>
          <w:rStyle w:val="31"/>
        </w:rPr>
        <w:t>Clarification of Bidding Document, Site Visit, Pre-Bid Meeting</w:t>
      </w:r>
      <w:r>
        <w:tab/>
      </w:r>
      <w:r>
        <w:fldChar w:fldCharType="begin"/>
      </w:r>
      <w:r>
        <w:instrText xml:space="preserve"> PAGEREF _Toc178538530 \h </w:instrText>
      </w:r>
      <w:r>
        <w:fldChar w:fldCharType="separate"/>
      </w:r>
      <w:r>
        <w:t>9</w:t>
      </w:r>
      <w:r>
        <w:fldChar w:fldCharType="end"/>
      </w:r>
      <w:r>
        <w:fldChar w:fldCharType="end"/>
      </w:r>
    </w:p>
    <w:p w14:paraId="61337C1B">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"_Toc178538531" </w:instrText>
      </w:r>
      <w:r>
        <w:fldChar w:fldCharType="separate"/>
      </w:r>
      <w:r>
        <w:rPr>
          <w:rStyle w:val="31"/>
        </w:rPr>
        <w:t>8.</w:t>
      </w:r>
      <w:r>
        <w:rPr>
          <w:rFonts w:asciiTheme="minorHAnsi" w:hAnsiTheme="minorHAnsi" w:eastAsiaTheme="minorEastAsia" w:cstheme="minorBidi"/>
          <w:kern w:val="2"/>
          <w:sz w:val="22"/>
          <w:szCs w:val="22"/>
          <w14:ligatures w14:val="standardContextual"/>
        </w:rPr>
        <w:tab/>
      </w:r>
      <w:r>
        <w:rPr>
          <w:rStyle w:val="31"/>
        </w:rPr>
        <w:t>Amendment of Bidding Document</w:t>
      </w:r>
      <w:r>
        <w:tab/>
      </w:r>
      <w:r>
        <w:fldChar w:fldCharType="begin"/>
      </w:r>
      <w:r>
        <w:instrText xml:space="preserve"> PAGEREF _Toc178538531 \h </w:instrText>
      </w:r>
      <w:r>
        <w:fldChar w:fldCharType="separate"/>
      </w:r>
      <w:r>
        <w:t>10</w:t>
      </w:r>
      <w:r>
        <w:fldChar w:fldCharType="end"/>
      </w:r>
      <w:r>
        <w:fldChar w:fldCharType="end"/>
      </w:r>
    </w:p>
    <w:p w14:paraId="0F2D0E46">
      <w:pPr>
        <w:pStyle w:val="58"/>
        <w:tabs>
          <w:tab w:val="left" w:pos="720"/>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"_Toc178538532" </w:instrText>
      </w:r>
      <w:r>
        <w:fldChar w:fldCharType="separate"/>
      </w:r>
      <w:r>
        <w:rPr>
          <w:rStyle w:val="31"/>
        </w:rPr>
        <w:t>C.</w:t>
      </w:r>
      <w:r>
        <w:rPr>
          <w:rFonts w:asciiTheme="minorHAnsi" w:hAnsiTheme="minorHAnsi" w:eastAsiaTheme="minorEastAsia" w:cstheme="minorBidi"/>
          <w:b w:val="0"/>
          <w:kern w:val="2"/>
          <w:sz w:val="22"/>
          <w:szCs w:val="22"/>
          <w14:ligatures w14:val="standardContextual"/>
        </w:rPr>
        <w:tab/>
      </w:r>
      <w:r>
        <w:rPr>
          <w:rStyle w:val="31"/>
        </w:rPr>
        <w:t>Preparation of Bids</w:t>
      </w:r>
      <w:r>
        <w:tab/>
      </w:r>
      <w:r>
        <w:fldChar w:fldCharType="begin"/>
      </w:r>
      <w:r>
        <w:instrText xml:space="preserve"> PAGEREF _Toc178538532 \h </w:instrText>
      </w:r>
      <w:r>
        <w:fldChar w:fldCharType="separate"/>
      </w:r>
      <w:r>
        <w:t>10</w:t>
      </w:r>
      <w:r>
        <w:fldChar w:fldCharType="end"/>
      </w:r>
      <w:r>
        <w:fldChar w:fldCharType="end"/>
      </w:r>
    </w:p>
    <w:p w14:paraId="4E894D93">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"_Toc178538533" </w:instrText>
      </w:r>
      <w:r>
        <w:fldChar w:fldCharType="separate"/>
      </w:r>
      <w:r>
        <w:rPr>
          <w:rStyle w:val="31"/>
        </w:rPr>
        <w:t>9.</w:t>
      </w:r>
      <w:r>
        <w:rPr>
          <w:rFonts w:asciiTheme="minorHAnsi" w:hAnsiTheme="minorHAnsi" w:eastAsiaTheme="minorEastAsia" w:cstheme="minorBidi"/>
          <w:kern w:val="2"/>
          <w:sz w:val="22"/>
          <w:szCs w:val="22"/>
          <w14:ligatures w14:val="standardContextual"/>
        </w:rPr>
        <w:tab/>
      </w:r>
      <w:r>
        <w:rPr>
          <w:rStyle w:val="31"/>
        </w:rPr>
        <w:t>Cost of Bidding</w:t>
      </w:r>
      <w:r>
        <w:tab/>
      </w:r>
      <w:r>
        <w:fldChar w:fldCharType="begin"/>
      </w:r>
      <w:r>
        <w:instrText xml:space="preserve"> PAGEREF _Toc178538533 \h </w:instrText>
      </w:r>
      <w:r>
        <w:fldChar w:fldCharType="separate"/>
      </w:r>
      <w:r>
        <w:t>10</w:t>
      </w:r>
      <w:r>
        <w:fldChar w:fldCharType="end"/>
      </w:r>
      <w:r>
        <w:fldChar w:fldCharType="end"/>
      </w:r>
    </w:p>
    <w:p w14:paraId="0471D87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"_Toc178538534" </w:instrText>
      </w:r>
      <w:r>
        <w:fldChar w:fldCharType="separate"/>
      </w:r>
      <w:r>
        <w:rPr>
          <w:rStyle w:val="31"/>
        </w:rPr>
        <w:t>10.</w:t>
      </w:r>
      <w:r>
        <w:rPr>
          <w:rFonts w:asciiTheme="minorHAnsi" w:hAnsiTheme="minorHAnsi" w:eastAsiaTheme="minorEastAsia" w:cstheme="minorBidi"/>
          <w:kern w:val="2"/>
          <w:sz w:val="22"/>
          <w:szCs w:val="22"/>
          <w14:ligatures w14:val="standardContextual"/>
        </w:rPr>
        <w:tab/>
      </w:r>
      <w:r>
        <w:rPr>
          <w:rStyle w:val="31"/>
        </w:rPr>
        <w:t>Language of Bid</w:t>
      </w:r>
      <w:r>
        <w:tab/>
      </w:r>
      <w:r>
        <w:fldChar w:fldCharType="begin"/>
      </w:r>
      <w:r>
        <w:instrText xml:space="preserve"> PAGEREF _Toc178538534 \h </w:instrText>
      </w:r>
      <w:r>
        <w:fldChar w:fldCharType="separate"/>
      </w:r>
      <w:r>
        <w:t>10</w:t>
      </w:r>
      <w:r>
        <w:fldChar w:fldCharType="end"/>
      </w:r>
      <w:r>
        <w:fldChar w:fldCharType="end"/>
      </w:r>
    </w:p>
    <w:p w14:paraId="1E89514D">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"_Toc178538535" </w:instrText>
      </w:r>
      <w:r>
        <w:fldChar w:fldCharType="separate"/>
      </w:r>
      <w:r>
        <w:rPr>
          <w:rStyle w:val="31"/>
        </w:rPr>
        <w:t>11.</w:t>
      </w:r>
      <w:r>
        <w:rPr>
          <w:rFonts w:asciiTheme="minorHAnsi" w:hAnsiTheme="minorHAnsi" w:eastAsiaTheme="minorEastAsia" w:cstheme="minorBidi"/>
          <w:kern w:val="2"/>
          <w:sz w:val="22"/>
          <w:szCs w:val="22"/>
          <w14:ligatures w14:val="standardContextual"/>
        </w:rPr>
        <w:tab/>
      </w:r>
      <w:r>
        <w:rPr>
          <w:rStyle w:val="31"/>
        </w:rPr>
        <w:t>Documents Comprising the Bid</w:t>
      </w:r>
      <w:r>
        <w:tab/>
      </w:r>
      <w:r>
        <w:fldChar w:fldCharType="begin"/>
      </w:r>
      <w:r>
        <w:instrText xml:space="preserve"> PAGEREF _Toc178538535 \h </w:instrText>
      </w:r>
      <w:r>
        <w:fldChar w:fldCharType="separate"/>
      </w:r>
      <w:r>
        <w:t>11</w:t>
      </w:r>
      <w:r>
        <w:fldChar w:fldCharType="end"/>
      </w:r>
      <w:r>
        <w:fldChar w:fldCharType="end"/>
      </w:r>
    </w:p>
    <w:p w14:paraId="1500C02E">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"_Toc178538536" </w:instrText>
      </w:r>
      <w:r>
        <w:fldChar w:fldCharType="separate"/>
      </w:r>
      <w:r>
        <w:rPr>
          <w:rStyle w:val="31"/>
        </w:rPr>
        <w:t>12.</w:t>
      </w:r>
      <w:r>
        <w:rPr>
          <w:rFonts w:asciiTheme="minorHAnsi" w:hAnsiTheme="minorHAnsi" w:eastAsiaTheme="minorEastAsia" w:cstheme="minorBidi"/>
          <w:kern w:val="2"/>
          <w:sz w:val="22"/>
          <w:szCs w:val="22"/>
          <w14:ligatures w14:val="standardContextual"/>
        </w:rPr>
        <w:tab/>
      </w:r>
      <w:r>
        <w:rPr>
          <w:rStyle w:val="31"/>
        </w:rPr>
        <w:t>Letter of Bid and Schedules</w:t>
      </w:r>
      <w:r>
        <w:tab/>
      </w:r>
      <w:r>
        <w:fldChar w:fldCharType="begin"/>
      </w:r>
      <w:r>
        <w:instrText xml:space="preserve"> PAGEREF _Toc178538536 \h </w:instrText>
      </w:r>
      <w:r>
        <w:fldChar w:fldCharType="separate"/>
      </w:r>
      <w:r>
        <w:t>11</w:t>
      </w:r>
      <w:r>
        <w:fldChar w:fldCharType="end"/>
      </w:r>
      <w:r>
        <w:fldChar w:fldCharType="end"/>
      </w:r>
    </w:p>
    <w:p w14:paraId="58D969F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"_Toc178538537" </w:instrText>
      </w:r>
      <w:r>
        <w:fldChar w:fldCharType="separate"/>
      </w:r>
      <w:r>
        <w:rPr>
          <w:rStyle w:val="31"/>
        </w:rPr>
        <w:t>13.</w:t>
      </w:r>
      <w:r>
        <w:rPr>
          <w:rFonts w:asciiTheme="minorHAnsi" w:hAnsiTheme="minorHAnsi" w:eastAsiaTheme="minorEastAsia" w:cstheme="minorBidi"/>
          <w:kern w:val="2"/>
          <w:sz w:val="22"/>
          <w:szCs w:val="22"/>
          <w14:ligatures w14:val="standardContextual"/>
        </w:rPr>
        <w:tab/>
      </w:r>
      <w:r>
        <w:rPr>
          <w:rStyle w:val="31"/>
        </w:rPr>
        <w:t>Alternative Bids</w:t>
      </w:r>
      <w:r>
        <w:tab/>
      </w:r>
      <w:r>
        <w:fldChar w:fldCharType="begin"/>
      </w:r>
      <w:r>
        <w:instrText xml:space="preserve"> PAGEREF _Toc178538537 \h </w:instrText>
      </w:r>
      <w:r>
        <w:fldChar w:fldCharType="separate"/>
      </w:r>
      <w:r>
        <w:t>11</w:t>
      </w:r>
      <w:r>
        <w:fldChar w:fldCharType="end"/>
      </w:r>
      <w:r>
        <w:fldChar w:fldCharType="end"/>
      </w:r>
    </w:p>
    <w:p w14:paraId="27C23C7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"_Toc178538538" </w:instrText>
      </w:r>
      <w:r>
        <w:fldChar w:fldCharType="separate"/>
      </w:r>
      <w:r>
        <w:rPr>
          <w:rStyle w:val="31"/>
        </w:rPr>
        <w:t>14.</w:t>
      </w:r>
      <w:r>
        <w:rPr>
          <w:rFonts w:asciiTheme="minorHAnsi" w:hAnsiTheme="minorHAnsi" w:eastAsiaTheme="minorEastAsia" w:cstheme="minorBidi"/>
          <w:kern w:val="2"/>
          <w:sz w:val="22"/>
          <w:szCs w:val="22"/>
          <w14:ligatures w14:val="standardContextual"/>
        </w:rPr>
        <w:tab/>
      </w:r>
      <w:r>
        <w:rPr>
          <w:rStyle w:val="31"/>
        </w:rPr>
        <w:t>Bid Prices and Discounts</w:t>
      </w:r>
      <w:r>
        <w:tab/>
      </w:r>
      <w:r>
        <w:fldChar w:fldCharType="begin"/>
      </w:r>
      <w:r>
        <w:instrText xml:space="preserve"> PAGEREF _Toc178538538 \h </w:instrText>
      </w:r>
      <w:r>
        <w:fldChar w:fldCharType="separate"/>
      </w:r>
      <w:r>
        <w:t>12</w:t>
      </w:r>
      <w:r>
        <w:fldChar w:fldCharType="end"/>
      </w:r>
      <w:r>
        <w:fldChar w:fldCharType="end"/>
      </w:r>
    </w:p>
    <w:p w14:paraId="619642A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"_Toc178538539" </w:instrText>
      </w:r>
      <w:r>
        <w:fldChar w:fldCharType="separate"/>
      </w:r>
      <w:r>
        <w:rPr>
          <w:rStyle w:val="31"/>
        </w:rPr>
        <w:t>15.</w:t>
      </w:r>
      <w:r>
        <w:rPr>
          <w:rFonts w:asciiTheme="minorHAnsi" w:hAnsiTheme="minorHAnsi" w:eastAsiaTheme="minorEastAsia" w:cstheme="minorBidi"/>
          <w:kern w:val="2"/>
          <w:sz w:val="22"/>
          <w:szCs w:val="22"/>
          <w14:ligatures w14:val="standardContextual"/>
        </w:rPr>
        <w:tab/>
      </w:r>
      <w:r>
        <w:rPr>
          <w:rStyle w:val="31"/>
        </w:rPr>
        <w:t>Currencies of Bid and Payment</w:t>
      </w:r>
      <w:r>
        <w:tab/>
      </w:r>
      <w:r>
        <w:fldChar w:fldCharType="begin"/>
      </w:r>
      <w:r>
        <w:instrText xml:space="preserve"> PAGEREF _Toc178538539 \h </w:instrText>
      </w:r>
      <w:r>
        <w:fldChar w:fldCharType="separate"/>
      </w:r>
      <w:r>
        <w:t>13</w:t>
      </w:r>
      <w:r>
        <w:fldChar w:fldCharType="end"/>
      </w:r>
      <w:r>
        <w:fldChar w:fldCharType="end"/>
      </w:r>
    </w:p>
    <w:p w14:paraId="5C87B498">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"_Toc178538540" </w:instrText>
      </w:r>
      <w:r>
        <w:fldChar w:fldCharType="separate"/>
      </w:r>
      <w:r>
        <w:rPr>
          <w:rStyle w:val="31"/>
        </w:rPr>
        <w:t>16.</w:t>
      </w:r>
      <w:r>
        <w:rPr>
          <w:rFonts w:asciiTheme="minorHAnsi" w:hAnsiTheme="minorHAnsi" w:eastAsiaTheme="minorEastAsia" w:cstheme="minorBidi"/>
          <w:kern w:val="2"/>
          <w:sz w:val="22"/>
          <w:szCs w:val="22"/>
          <w14:ligatures w14:val="standardContextual"/>
        </w:rPr>
        <w:tab/>
      </w:r>
      <w:r>
        <w:rPr>
          <w:rStyle w:val="31"/>
        </w:rPr>
        <w:t>Documents Comprising the Technical Proposal</w:t>
      </w:r>
      <w:r>
        <w:tab/>
      </w:r>
      <w:r>
        <w:fldChar w:fldCharType="begin"/>
      </w:r>
      <w:r>
        <w:instrText xml:space="preserve"> PAGEREF _Toc178538540 \h </w:instrText>
      </w:r>
      <w:r>
        <w:fldChar w:fldCharType="separate"/>
      </w:r>
      <w:r>
        <w:t>13</w:t>
      </w:r>
      <w:r>
        <w:fldChar w:fldCharType="end"/>
      </w:r>
      <w:r>
        <w:fldChar w:fldCharType="end"/>
      </w:r>
    </w:p>
    <w:p w14:paraId="5D28005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"_Toc178538541" </w:instrText>
      </w:r>
      <w:r>
        <w:fldChar w:fldCharType="separate"/>
      </w:r>
      <w:r>
        <w:rPr>
          <w:rStyle w:val="31"/>
        </w:rPr>
        <w:t>17.</w:t>
      </w:r>
      <w:r>
        <w:rPr>
          <w:rFonts w:asciiTheme="minorHAnsi" w:hAnsiTheme="minorHAnsi" w:eastAsiaTheme="minorEastAsia" w:cstheme="minorBidi"/>
          <w:kern w:val="2"/>
          <w:sz w:val="22"/>
          <w:szCs w:val="22"/>
          <w14:ligatures w14:val="standardContextual"/>
        </w:rPr>
        <w:tab/>
      </w:r>
      <w:r>
        <w:rPr>
          <w:rStyle w:val="31"/>
        </w:rPr>
        <w:t>Documents Establishing the Qualifications of the Bidder</w:t>
      </w:r>
      <w:r>
        <w:tab/>
      </w:r>
      <w:r>
        <w:fldChar w:fldCharType="begin"/>
      </w:r>
      <w:r>
        <w:instrText xml:space="preserve"> PAGEREF _Toc178538541 \h </w:instrText>
      </w:r>
      <w:r>
        <w:fldChar w:fldCharType="separate"/>
      </w:r>
      <w:r>
        <w:t>13</w:t>
      </w:r>
      <w:r>
        <w:fldChar w:fldCharType="end"/>
      </w:r>
      <w:r>
        <w:fldChar w:fldCharType="end"/>
      </w:r>
    </w:p>
    <w:p w14:paraId="62A1CA44">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"_Toc178538542" </w:instrText>
      </w:r>
      <w:r>
        <w:fldChar w:fldCharType="separate"/>
      </w:r>
      <w:r>
        <w:rPr>
          <w:rStyle w:val="31"/>
        </w:rPr>
        <w:t>18.</w:t>
      </w:r>
      <w:r>
        <w:rPr>
          <w:rFonts w:asciiTheme="minorHAnsi" w:hAnsiTheme="minorHAnsi" w:eastAsiaTheme="minorEastAsia" w:cstheme="minorBidi"/>
          <w:kern w:val="2"/>
          <w:sz w:val="22"/>
          <w:szCs w:val="22"/>
          <w14:ligatures w14:val="standardContextual"/>
        </w:rPr>
        <w:tab/>
      </w:r>
      <w:r>
        <w:rPr>
          <w:rStyle w:val="31"/>
        </w:rPr>
        <w:t>Period of Validity of Bids</w:t>
      </w:r>
      <w:r>
        <w:tab/>
      </w:r>
      <w:r>
        <w:fldChar w:fldCharType="begin"/>
      </w:r>
      <w:r>
        <w:instrText xml:space="preserve"> PAGEREF _Toc178538542 \h </w:instrText>
      </w:r>
      <w:r>
        <w:fldChar w:fldCharType="separate"/>
      </w:r>
      <w:r>
        <w:t>14</w:t>
      </w:r>
      <w:r>
        <w:fldChar w:fldCharType="end"/>
      </w:r>
      <w:r>
        <w:fldChar w:fldCharType="end"/>
      </w:r>
    </w:p>
    <w:p w14:paraId="73D98989">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"_Toc178538543" </w:instrText>
      </w:r>
      <w:r>
        <w:fldChar w:fldCharType="separate"/>
      </w:r>
      <w:r>
        <w:rPr>
          <w:rStyle w:val="31"/>
        </w:rPr>
        <w:t>19.</w:t>
      </w:r>
      <w:r>
        <w:rPr>
          <w:rFonts w:asciiTheme="minorHAnsi" w:hAnsiTheme="minorHAnsi" w:eastAsiaTheme="minorEastAsia" w:cstheme="minorBidi"/>
          <w:kern w:val="2"/>
          <w:sz w:val="22"/>
          <w:szCs w:val="22"/>
          <w14:ligatures w14:val="standardContextual"/>
        </w:rPr>
        <w:tab/>
      </w:r>
      <w:r>
        <w:rPr>
          <w:rStyle w:val="31"/>
        </w:rPr>
        <w:t>Bid Security</w:t>
      </w:r>
      <w:r>
        <w:tab/>
      </w:r>
      <w:r>
        <w:fldChar w:fldCharType="begin"/>
      </w:r>
      <w:r>
        <w:instrText xml:space="preserve"> PAGEREF _Toc178538543 \h </w:instrText>
      </w:r>
      <w:r>
        <w:fldChar w:fldCharType="separate"/>
      </w:r>
      <w:r>
        <w:t>14</w:t>
      </w:r>
      <w:r>
        <w:fldChar w:fldCharType="end"/>
      </w:r>
      <w:r>
        <w:fldChar w:fldCharType="end"/>
      </w:r>
    </w:p>
    <w:p w14:paraId="7B7E501E">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"_Toc178538544" </w:instrText>
      </w:r>
      <w:r>
        <w:fldChar w:fldCharType="separate"/>
      </w:r>
      <w:r>
        <w:rPr>
          <w:rStyle w:val="31"/>
        </w:rPr>
        <w:t>20.</w:t>
      </w:r>
      <w:r>
        <w:rPr>
          <w:rFonts w:asciiTheme="minorHAnsi" w:hAnsiTheme="minorHAnsi" w:eastAsiaTheme="minorEastAsia" w:cstheme="minorBidi"/>
          <w:kern w:val="2"/>
          <w:sz w:val="22"/>
          <w:szCs w:val="22"/>
          <w14:ligatures w14:val="standardContextual"/>
        </w:rPr>
        <w:tab/>
      </w:r>
      <w:r>
        <w:rPr>
          <w:rStyle w:val="31"/>
        </w:rPr>
        <w:t>Format and Signing of Bid</w:t>
      </w:r>
      <w:r>
        <w:tab/>
      </w:r>
      <w:r>
        <w:fldChar w:fldCharType="begin"/>
      </w:r>
      <w:r>
        <w:instrText xml:space="preserve"> PAGEREF _Toc178538544 \h </w:instrText>
      </w:r>
      <w:r>
        <w:fldChar w:fldCharType="separate"/>
      </w:r>
      <w:r>
        <w:t>16</w:t>
      </w:r>
      <w:r>
        <w:fldChar w:fldCharType="end"/>
      </w:r>
      <w:r>
        <w:fldChar w:fldCharType="end"/>
      </w:r>
    </w:p>
    <w:p w14:paraId="37D478C6">
      <w:pPr>
        <w:pStyle w:val="58"/>
        <w:tabs>
          <w:tab w:val="left" w:pos="720"/>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"_Toc178538545" </w:instrText>
      </w:r>
      <w:r>
        <w:fldChar w:fldCharType="separate"/>
      </w:r>
      <w:r>
        <w:rPr>
          <w:rStyle w:val="31"/>
        </w:rPr>
        <w:t>D.</w:t>
      </w:r>
      <w:r>
        <w:rPr>
          <w:rFonts w:asciiTheme="minorHAnsi" w:hAnsiTheme="minorHAnsi" w:eastAsiaTheme="minorEastAsia" w:cstheme="minorBidi"/>
          <w:b w:val="0"/>
          <w:kern w:val="2"/>
          <w:sz w:val="22"/>
          <w:szCs w:val="22"/>
          <w14:ligatures w14:val="standardContextual"/>
        </w:rPr>
        <w:tab/>
      </w:r>
      <w:r>
        <w:rPr>
          <w:rStyle w:val="31"/>
        </w:rPr>
        <w:t>Submission and Opening of Bids</w:t>
      </w:r>
      <w:r>
        <w:tab/>
      </w:r>
      <w:r>
        <w:fldChar w:fldCharType="begin"/>
      </w:r>
      <w:r>
        <w:instrText xml:space="preserve"> PAGEREF _Toc178538545 \h </w:instrText>
      </w:r>
      <w:r>
        <w:fldChar w:fldCharType="separate"/>
      </w:r>
      <w:r>
        <w:t>16</w:t>
      </w:r>
      <w:r>
        <w:fldChar w:fldCharType="end"/>
      </w:r>
      <w:r>
        <w:fldChar w:fldCharType="end"/>
      </w:r>
    </w:p>
    <w:p w14:paraId="6D2A10BB">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"_Toc178538546" </w:instrText>
      </w:r>
      <w:r>
        <w:fldChar w:fldCharType="separate"/>
      </w:r>
      <w:r>
        <w:rPr>
          <w:rStyle w:val="31"/>
        </w:rPr>
        <w:t>21.</w:t>
      </w:r>
      <w:r>
        <w:rPr>
          <w:rFonts w:asciiTheme="minorHAnsi" w:hAnsiTheme="minorHAnsi" w:eastAsiaTheme="minorEastAsia" w:cstheme="minorBidi"/>
          <w:kern w:val="2"/>
          <w:sz w:val="22"/>
          <w:szCs w:val="22"/>
          <w14:ligatures w14:val="standardContextual"/>
        </w:rPr>
        <w:tab/>
      </w:r>
      <w:r>
        <w:rPr>
          <w:rStyle w:val="31"/>
        </w:rPr>
        <w:t>Sealing and Marking of Bids</w:t>
      </w:r>
      <w:r>
        <w:tab/>
      </w:r>
      <w:r>
        <w:fldChar w:fldCharType="begin"/>
      </w:r>
      <w:r>
        <w:instrText xml:space="preserve"> PAGEREF _Toc178538546 \h </w:instrText>
      </w:r>
      <w:r>
        <w:fldChar w:fldCharType="separate"/>
      </w:r>
      <w:r>
        <w:t>17</w:t>
      </w:r>
      <w:r>
        <w:fldChar w:fldCharType="end"/>
      </w:r>
      <w:r>
        <w:fldChar w:fldCharType="end"/>
      </w:r>
    </w:p>
    <w:p w14:paraId="01D0B6BF">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"_Toc178538547" </w:instrText>
      </w:r>
      <w:r>
        <w:fldChar w:fldCharType="separate"/>
      </w:r>
      <w:r>
        <w:rPr>
          <w:rStyle w:val="31"/>
        </w:rPr>
        <w:t>22.</w:t>
      </w:r>
      <w:r>
        <w:rPr>
          <w:rFonts w:asciiTheme="minorHAnsi" w:hAnsiTheme="minorHAnsi" w:eastAsiaTheme="minorEastAsia" w:cstheme="minorBidi"/>
          <w:kern w:val="2"/>
          <w:sz w:val="22"/>
          <w:szCs w:val="22"/>
          <w14:ligatures w14:val="standardContextual"/>
        </w:rPr>
        <w:tab/>
      </w:r>
      <w:r>
        <w:rPr>
          <w:rStyle w:val="31"/>
        </w:rPr>
        <w:t>Deadline for Submission of Bids</w:t>
      </w:r>
      <w:r>
        <w:tab/>
      </w:r>
      <w:r>
        <w:fldChar w:fldCharType="begin"/>
      </w:r>
      <w:r>
        <w:instrText xml:space="preserve"> PAGEREF _Toc178538547 \h </w:instrText>
      </w:r>
      <w:r>
        <w:fldChar w:fldCharType="separate"/>
      </w:r>
      <w:r>
        <w:t>17</w:t>
      </w:r>
      <w:r>
        <w:fldChar w:fldCharType="end"/>
      </w:r>
      <w:r>
        <w:fldChar w:fldCharType="end"/>
      </w:r>
    </w:p>
    <w:p w14:paraId="3EFF6493">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"_Toc178538548" </w:instrText>
      </w:r>
      <w:r>
        <w:fldChar w:fldCharType="separate"/>
      </w:r>
      <w:r>
        <w:rPr>
          <w:rStyle w:val="31"/>
        </w:rPr>
        <w:t>23.</w:t>
      </w:r>
      <w:r>
        <w:rPr>
          <w:rFonts w:asciiTheme="minorHAnsi" w:hAnsiTheme="minorHAnsi" w:eastAsiaTheme="minorEastAsia" w:cstheme="minorBidi"/>
          <w:kern w:val="2"/>
          <w:sz w:val="22"/>
          <w:szCs w:val="22"/>
          <w14:ligatures w14:val="standardContextual"/>
        </w:rPr>
        <w:tab/>
      </w:r>
      <w:r>
        <w:rPr>
          <w:rStyle w:val="31"/>
        </w:rPr>
        <w:t>Late Bids</w:t>
      </w:r>
      <w:r>
        <w:tab/>
      </w:r>
      <w:r>
        <w:fldChar w:fldCharType="begin"/>
      </w:r>
      <w:r>
        <w:instrText xml:space="preserve"> PAGEREF _Toc178538548 \h </w:instrText>
      </w:r>
      <w:r>
        <w:fldChar w:fldCharType="separate"/>
      </w:r>
      <w:r>
        <w:t>17</w:t>
      </w:r>
      <w:r>
        <w:fldChar w:fldCharType="end"/>
      </w:r>
      <w:r>
        <w:fldChar w:fldCharType="end"/>
      </w:r>
    </w:p>
    <w:p w14:paraId="66C2352B">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"_Toc178538549" </w:instrText>
      </w:r>
      <w:r>
        <w:fldChar w:fldCharType="separate"/>
      </w:r>
      <w:r>
        <w:rPr>
          <w:rStyle w:val="31"/>
        </w:rPr>
        <w:t>24.</w:t>
      </w:r>
      <w:r>
        <w:rPr>
          <w:rFonts w:asciiTheme="minorHAnsi" w:hAnsiTheme="minorHAnsi" w:eastAsiaTheme="minorEastAsia" w:cstheme="minorBidi"/>
          <w:kern w:val="2"/>
          <w:sz w:val="22"/>
          <w:szCs w:val="22"/>
          <w14:ligatures w14:val="standardContextual"/>
        </w:rPr>
        <w:tab/>
      </w:r>
      <w:r>
        <w:rPr>
          <w:rStyle w:val="31"/>
        </w:rPr>
        <w:t>Withdrawal, Substitution, and Modification of Bids</w:t>
      </w:r>
      <w:r>
        <w:tab/>
      </w:r>
      <w:r>
        <w:fldChar w:fldCharType="begin"/>
      </w:r>
      <w:r>
        <w:instrText xml:space="preserve"> PAGEREF _Toc178538549 \h </w:instrText>
      </w:r>
      <w:r>
        <w:fldChar w:fldCharType="separate"/>
      </w:r>
      <w:r>
        <w:t>17</w:t>
      </w:r>
      <w:r>
        <w:fldChar w:fldCharType="end"/>
      </w:r>
      <w:r>
        <w:fldChar w:fldCharType="end"/>
      </w:r>
    </w:p>
    <w:p w14:paraId="437E9454">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"_Toc178538550" </w:instrText>
      </w:r>
      <w:r>
        <w:fldChar w:fldCharType="separate"/>
      </w:r>
      <w:r>
        <w:rPr>
          <w:rStyle w:val="31"/>
        </w:rPr>
        <w:t>25.</w:t>
      </w:r>
      <w:r>
        <w:rPr>
          <w:rFonts w:asciiTheme="minorHAnsi" w:hAnsiTheme="minorHAnsi" w:eastAsiaTheme="minorEastAsia" w:cstheme="minorBidi"/>
          <w:kern w:val="2"/>
          <w:sz w:val="22"/>
          <w:szCs w:val="22"/>
          <w14:ligatures w14:val="standardContextual"/>
        </w:rPr>
        <w:tab/>
      </w:r>
      <w:r>
        <w:rPr>
          <w:rStyle w:val="31"/>
        </w:rPr>
        <w:t>Bid Opening</w:t>
      </w:r>
      <w:r>
        <w:tab/>
      </w:r>
      <w:r>
        <w:fldChar w:fldCharType="begin"/>
      </w:r>
      <w:r>
        <w:instrText xml:space="preserve"> PAGEREF _Toc178538550 \h </w:instrText>
      </w:r>
      <w:r>
        <w:fldChar w:fldCharType="separate"/>
      </w:r>
      <w:r>
        <w:t>18</w:t>
      </w:r>
      <w:r>
        <w:fldChar w:fldCharType="end"/>
      </w:r>
      <w:r>
        <w:fldChar w:fldCharType="end"/>
      </w:r>
    </w:p>
    <w:p w14:paraId="6A0D2EF5">
      <w:pPr>
        <w:pStyle w:val="58"/>
        <w:tabs>
          <w:tab w:val="left" w:pos="720"/>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"_Toc178538551" </w:instrText>
      </w:r>
      <w:r>
        <w:fldChar w:fldCharType="separate"/>
      </w:r>
      <w:r>
        <w:rPr>
          <w:rStyle w:val="31"/>
        </w:rPr>
        <w:t>E.</w:t>
      </w:r>
      <w:r>
        <w:rPr>
          <w:rFonts w:asciiTheme="minorHAnsi" w:hAnsiTheme="minorHAnsi" w:eastAsiaTheme="minorEastAsia" w:cstheme="minorBidi"/>
          <w:b w:val="0"/>
          <w:kern w:val="2"/>
          <w:sz w:val="22"/>
          <w:szCs w:val="22"/>
          <w14:ligatures w14:val="standardContextual"/>
        </w:rPr>
        <w:tab/>
      </w:r>
      <w:r>
        <w:rPr>
          <w:rStyle w:val="31"/>
        </w:rPr>
        <w:t>Evaluation and Comparison of Bids</w:t>
      </w:r>
      <w:r>
        <w:tab/>
      </w:r>
      <w:r>
        <w:fldChar w:fldCharType="begin"/>
      </w:r>
      <w:r>
        <w:instrText xml:space="preserve"> PAGEREF _Toc178538551 \h </w:instrText>
      </w:r>
      <w:r>
        <w:fldChar w:fldCharType="separate"/>
      </w:r>
      <w:r>
        <w:t>19</w:t>
      </w:r>
      <w:r>
        <w:fldChar w:fldCharType="end"/>
      </w:r>
      <w:r>
        <w:fldChar w:fldCharType="end"/>
      </w:r>
    </w:p>
    <w:p w14:paraId="16CF620B">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"_Toc178538552" </w:instrText>
      </w:r>
      <w:r>
        <w:fldChar w:fldCharType="separate"/>
      </w:r>
      <w:r>
        <w:rPr>
          <w:rStyle w:val="31"/>
        </w:rPr>
        <w:t>26.</w:t>
      </w:r>
      <w:r>
        <w:rPr>
          <w:rFonts w:asciiTheme="minorHAnsi" w:hAnsiTheme="minorHAnsi" w:eastAsiaTheme="minorEastAsia" w:cstheme="minorBidi"/>
          <w:kern w:val="2"/>
          <w:sz w:val="22"/>
          <w:szCs w:val="22"/>
          <w14:ligatures w14:val="standardContextual"/>
        </w:rPr>
        <w:tab/>
      </w:r>
      <w:r>
        <w:rPr>
          <w:rStyle w:val="31"/>
        </w:rPr>
        <w:t>Confidentiality</w:t>
      </w:r>
      <w:r>
        <w:tab/>
      </w:r>
      <w:r>
        <w:fldChar w:fldCharType="begin"/>
      </w:r>
      <w:r>
        <w:instrText xml:space="preserve"> PAGEREF _Toc178538552 \h </w:instrText>
      </w:r>
      <w:r>
        <w:fldChar w:fldCharType="separate"/>
      </w:r>
      <w:r>
        <w:t>19</w:t>
      </w:r>
      <w:r>
        <w:fldChar w:fldCharType="end"/>
      </w:r>
      <w:r>
        <w:fldChar w:fldCharType="end"/>
      </w:r>
    </w:p>
    <w:p w14:paraId="2CF10F3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"_Toc178538553" </w:instrText>
      </w:r>
      <w:r>
        <w:fldChar w:fldCharType="separate"/>
      </w:r>
      <w:r>
        <w:rPr>
          <w:rStyle w:val="31"/>
        </w:rPr>
        <w:t>27.</w:t>
      </w:r>
      <w:r>
        <w:rPr>
          <w:rFonts w:asciiTheme="minorHAnsi" w:hAnsiTheme="minorHAnsi" w:eastAsiaTheme="minorEastAsia" w:cstheme="minorBidi"/>
          <w:kern w:val="2"/>
          <w:sz w:val="22"/>
          <w:szCs w:val="22"/>
          <w14:ligatures w14:val="standardContextual"/>
        </w:rPr>
        <w:tab/>
      </w:r>
      <w:r>
        <w:rPr>
          <w:rStyle w:val="31"/>
        </w:rPr>
        <w:t>Clarification of Bids</w:t>
      </w:r>
      <w:r>
        <w:tab/>
      </w:r>
      <w:r>
        <w:fldChar w:fldCharType="begin"/>
      </w:r>
      <w:r>
        <w:instrText xml:space="preserve"> PAGEREF _Toc178538553 \h </w:instrText>
      </w:r>
      <w:r>
        <w:fldChar w:fldCharType="separate"/>
      </w:r>
      <w:r>
        <w:t>19</w:t>
      </w:r>
      <w:r>
        <w:fldChar w:fldCharType="end"/>
      </w:r>
      <w:r>
        <w:fldChar w:fldCharType="end"/>
      </w:r>
    </w:p>
    <w:p w14:paraId="36E0CAC7">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"_Toc178538554" </w:instrText>
      </w:r>
      <w:r>
        <w:fldChar w:fldCharType="separate"/>
      </w:r>
      <w:r>
        <w:rPr>
          <w:rStyle w:val="31"/>
        </w:rPr>
        <w:t>28.</w:t>
      </w:r>
      <w:r>
        <w:rPr>
          <w:rFonts w:asciiTheme="minorHAnsi" w:hAnsiTheme="minorHAnsi" w:eastAsiaTheme="minorEastAsia" w:cstheme="minorBidi"/>
          <w:kern w:val="2"/>
          <w:sz w:val="22"/>
          <w:szCs w:val="22"/>
          <w14:ligatures w14:val="standardContextual"/>
        </w:rPr>
        <w:tab/>
      </w:r>
      <w:r>
        <w:rPr>
          <w:rStyle w:val="31"/>
        </w:rPr>
        <w:t>Deviations, Reservations, and Omissions</w:t>
      </w:r>
      <w:r>
        <w:tab/>
      </w:r>
      <w:r>
        <w:fldChar w:fldCharType="begin"/>
      </w:r>
      <w:r>
        <w:instrText xml:space="preserve"> PAGEREF _Toc178538554 \h </w:instrText>
      </w:r>
      <w:r>
        <w:fldChar w:fldCharType="separate"/>
      </w:r>
      <w:r>
        <w:t>20</w:t>
      </w:r>
      <w:r>
        <w:fldChar w:fldCharType="end"/>
      </w:r>
      <w:r>
        <w:fldChar w:fldCharType="end"/>
      </w:r>
    </w:p>
    <w:p w14:paraId="68D0176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"_Toc178538555" </w:instrText>
      </w:r>
      <w:r>
        <w:fldChar w:fldCharType="separate"/>
      </w:r>
      <w:r>
        <w:rPr>
          <w:rStyle w:val="31"/>
        </w:rPr>
        <w:t>29.</w:t>
      </w:r>
      <w:r>
        <w:rPr>
          <w:rFonts w:asciiTheme="minorHAnsi" w:hAnsiTheme="minorHAnsi" w:eastAsiaTheme="minorEastAsia" w:cstheme="minorBidi"/>
          <w:kern w:val="2"/>
          <w:sz w:val="22"/>
          <w:szCs w:val="22"/>
          <w14:ligatures w14:val="standardContextual"/>
        </w:rPr>
        <w:tab/>
      </w:r>
      <w:r>
        <w:rPr>
          <w:rStyle w:val="31"/>
        </w:rPr>
        <w:t>Determination of Responsiveness</w:t>
      </w:r>
      <w:r>
        <w:tab/>
      </w:r>
      <w:r>
        <w:fldChar w:fldCharType="begin"/>
      </w:r>
      <w:r>
        <w:instrText xml:space="preserve"> PAGEREF _Toc178538555 \h </w:instrText>
      </w:r>
      <w:r>
        <w:fldChar w:fldCharType="separate"/>
      </w:r>
      <w:r>
        <w:t>20</w:t>
      </w:r>
      <w:r>
        <w:fldChar w:fldCharType="end"/>
      </w:r>
      <w:r>
        <w:fldChar w:fldCharType="end"/>
      </w:r>
    </w:p>
    <w:p w14:paraId="121F6FFD">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"_Toc178538556" </w:instrText>
      </w:r>
      <w:r>
        <w:fldChar w:fldCharType="separate"/>
      </w:r>
      <w:r>
        <w:rPr>
          <w:rStyle w:val="31"/>
        </w:rPr>
        <w:t>30.</w:t>
      </w:r>
      <w:r>
        <w:rPr>
          <w:rFonts w:asciiTheme="minorHAnsi" w:hAnsiTheme="minorHAnsi" w:eastAsiaTheme="minorEastAsia" w:cstheme="minorBidi"/>
          <w:kern w:val="2"/>
          <w:sz w:val="22"/>
          <w:szCs w:val="22"/>
          <w14:ligatures w14:val="standardContextual"/>
        </w:rPr>
        <w:tab/>
      </w:r>
      <w:r>
        <w:rPr>
          <w:rStyle w:val="31"/>
        </w:rPr>
        <w:t>Nonconformities, Errors, and Omissions</w:t>
      </w:r>
      <w:r>
        <w:tab/>
      </w:r>
      <w:r>
        <w:fldChar w:fldCharType="begin"/>
      </w:r>
      <w:r>
        <w:instrText xml:space="preserve"> PAGEREF _Toc178538556 \h </w:instrText>
      </w:r>
      <w:r>
        <w:fldChar w:fldCharType="separate"/>
      </w:r>
      <w:r>
        <w:t>21</w:t>
      </w:r>
      <w:r>
        <w:fldChar w:fldCharType="end"/>
      </w:r>
      <w:r>
        <w:fldChar w:fldCharType="end"/>
      </w:r>
    </w:p>
    <w:p w14:paraId="5B180A03">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"_Toc178538557" </w:instrText>
      </w:r>
      <w:r>
        <w:fldChar w:fldCharType="separate"/>
      </w:r>
      <w:r>
        <w:rPr>
          <w:rStyle w:val="31"/>
        </w:rPr>
        <w:t>31.</w:t>
      </w:r>
      <w:r>
        <w:rPr>
          <w:rFonts w:asciiTheme="minorHAnsi" w:hAnsiTheme="minorHAnsi" w:eastAsiaTheme="minorEastAsia" w:cstheme="minorBidi"/>
          <w:kern w:val="2"/>
          <w:sz w:val="22"/>
          <w:szCs w:val="22"/>
          <w14:ligatures w14:val="standardContextual"/>
        </w:rPr>
        <w:tab/>
      </w:r>
      <w:r>
        <w:rPr>
          <w:rStyle w:val="31"/>
        </w:rPr>
        <w:t>Correction of Arithmetical Errors</w:t>
      </w:r>
      <w:r>
        <w:tab/>
      </w:r>
      <w:r>
        <w:fldChar w:fldCharType="begin"/>
      </w:r>
      <w:r>
        <w:instrText xml:space="preserve"> PAGEREF _Toc178538557 \h </w:instrText>
      </w:r>
      <w:r>
        <w:fldChar w:fldCharType="separate"/>
      </w:r>
      <w:r>
        <w:t>21</w:t>
      </w:r>
      <w:r>
        <w:fldChar w:fldCharType="end"/>
      </w:r>
      <w:r>
        <w:fldChar w:fldCharType="end"/>
      </w:r>
    </w:p>
    <w:p w14:paraId="4444EB68">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"_Toc178538558" </w:instrText>
      </w:r>
      <w:r>
        <w:fldChar w:fldCharType="separate"/>
      </w:r>
      <w:r>
        <w:rPr>
          <w:rStyle w:val="31"/>
        </w:rPr>
        <w:t>32.</w:t>
      </w:r>
      <w:r>
        <w:rPr>
          <w:rFonts w:asciiTheme="minorHAnsi" w:hAnsiTheme="minorHAnsi" w:eastAsiaTheme="minorEastAsia" w:cstheme="minorBidi"/>
          <w:kern w:val="2"/>
          <w:sz w:val="22"/>
          <w:szCs w:val="22"/>
          <w14:ligatures w14:val="standardContextual"/>
        </w:rPr>
        <w:tab/>
      </w:r>
      <w:r>
        <w:rPr>
          <w:rStyle w:val="31"/>
        </w:rPr>
        <w:t>Conversion to Single Currency</w:t>
      </w:r>
      <w:r>
        <w:tab/>
      </w:r>
      <w:r>
        <w:fldChar w:fldCharType="begin"/>
      </w:r>
      <w:r>
        <w:instrText xml:space="preserve"> PAGEREF _Toc178538558 \h </w:instrText>
      </w:r>
      <w:r>
        <w:fldChar w:fldCharType="separate"/>
      </w:r>
      <w:r>
        <w:t>22</w:t>
      </w:r>
      <w:r>
        <w:fldChar w:fldCharType="end"/>
      </w:r>
      <w:r>
        <w:fldChar w:fldCharType="end"/>
      </w:r>
    </w:p>
    <w:p w14:paraId="2307D837">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"_Toc178538559" </w:instrText>
      </w:r>
      <w:r>
        <w:fldChar w:fldCharType="separate"/>
      </w:r>
      <w:r>
        <w:rPr>
          <w:rStyle w:val="31"/>
        </w:rPr>
        <w:t>33.</w:t>
      </w:r>
      <w:r>
        <w:rPr>
          <w:rFonts w:asciiTheme="minorHAnsi" w:hAnsiTheme="minorHAnsi" w:eastAsiaTheme="minorEastAsia" w:cstheme="minorBidi"/>
          <w:kern w:val="2"/>
          <w:sz w:val="22"/>
          <w:szCs w:val="22"/>
          <w14:ligatures w14:val="standardContextual"/>
        </w:rPr>
        <w:tab/>
      </w:r>
      <w:r>
        <w:rPr>
          <w:rStyle w:val="31"/>
        </w:rPr>
        <w:t>Margin of Preference</w:t>
      </w:r>
      <w:r>
        <w:tab/>
      </w:r>
      <w:r>
        <w:fldChar w:fldCharType="begin"/>
      </w:r>
      <w:r>
        <w:instrText xml:space="preserve"> PAGEREF _Toc178538559 \h </w:instrText>
      </w:r>
      <w:r>
        <w:fldChar w:fldCharType="separate"/>
      </w:r>
      <w:r>
        <w:t>22</w:t>
      </w:r>
      <w:r>
        <w:fldChar w:fldCharType="end"/>
      </w:r>
      <w:r>
        <w:fldChar w:fldCharType="end"/>
      </w:r>
    </w:p>
    <w:p w14:paraId="7EFE6AE0">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"_Toc178538560" </w:instrText>
      </w:r>
      <w:r>
        <w:fldChar w:fldCharType="separate"/>
      </w:r>
      <w:r>
        <w:rPr>
          <w:rStyle w:val="31"/>
        </w:rPr>
        <w:t>34.</w:t>
      </w:r>
      <w:r>
        <w:rPr>
          <w:rFonts w:asciiTheme="minorHAnsi" w:hAnsiTheme="minorHAnsi" w:eastAsiaTheme="minorEastAsia" w:cstheme="minorBidi"/>
          <w:kern w:val="2"/>
          <w:sz w:val="22"/>
          <w:szCs w:val="22"/>
          <w14:ligatures w14:val="standardContextual"/>
        </w:rPr>
        <w:tab/>
      </w:r>
      <w:r>
        <w:rPr>
          <w:rStyle w:val="31"/>
        </w:rPr>
        <w:t>Subcontractors</w:t>
      </w:r>
      <w:r>
        <w:tab/>
      </w:r>
      <w:r>
        <w:fldChar w:fldCharType="begin"/>
      </w:r>
      <w:r>
        <w:instrText xml:space="preserve"> PAGEREF _Toc178538560 \h </w:instrText>
      </w:r>
      <w:r>
        <w:fldChar w:fldCharType="separate"/>
      </w:r>
      <w:r>
        <w:t>22</w:t>
      </w:r>
      <w:r>
        <w:fldChar w:fldCharType="end"/>
      </w:r>
      <w:r>
        <w:fldChar w:fldCharType="end"/>
      </w:r>
    </w:p>
    <w:p w14:paraId="01571CB9">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"_Toc178538561" </w:instrText>
      </w:r>
      <w:r>
        <w:fldChar w:fldCharType="separate"/>
      </w:r>
      <w:r>
        <w:rPr>
          <w:rStyle w:val="31"/>
        </w:rPr>
        <w:t>35.</w:t>
      </w:r>
      <w:r>
        <w:rPr>
          <w:rFonts w:asciiTheme="minorHAnsi" w:hAnsiTheme="minorHAnsi" w:eastAsiaTheme="minorEastAsia" w:cstheme="minorBidi"/>
          <w:kern w:val="2"/>
          <w:sz w:val="22"/>
          <w:szCs w:val="22"/>
          <w14:ligatures w14:val="standardContextual"/>
        </w:rPr>
        <w:tab/>
      </w:r>
      <w:r>
        <w:rPr>
          <w:rStyle w:val="31"/>
        </w:rPr>
        <w:t>Evaluation of Bids</w:t>
      </w:r>
      <w:r>
        <w:tab/>
      </w:r>
      <w:r>
        <w:fldChar w:fldCharType="begin"/>
      </w:r>
      <w:r>
        <w:instrText xml:space="preserve"> PAGEREF _Toc178538561 \h </w:instrText>
      </w:r>
      <w:r>
        <w:fldChar w:fldCharType="separate"/>
      </w:r>
      <w:r>
        <w:t>22</w:t>
      </w:r>
      <w:r>
        <w:fldChar w:fldCharType="end"/>
      </w:r>
      <w:r>
        <w:fldChar w:fldCharType="end"/>
      </w:r>
    </w:p>
    <w:p w14:paraId="05F596BD">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"_Toc178538562" </w:instrText>
      </w:r>
      <w:r>
        <w:fldChar w:fldCharType="separate"/>
      </w:r>
      <w:r>
        <w:rPr>
          <w:rStyle w:val="31"/>
        </w:rPr>
        <w:t>36.</w:t>
      </w:r>
      <w:r>
        <w:rPr>
          <w:rFonts w:asciiTheme="minorHAnsi" w:hAnsiTheme="minorHAnsi" w:eastAsiaTheme="minorEastAsia" w:cstheme="minorBidi"/>
          <w:kern w:val="2"/>
          <w:sz w:val="22"/>
          <w:szCs w:val="22"/>
          <w14:ligatures w14:val="standardContextual"/>
        </w:rPr>
        <w:tab/>
      </w:r>
      <w:r>
        <w:rPr>
          <w:rStyle w:val="31"/>
        </w:rPr>
        <w:t>Comparison of Bids</w:t>
      </w:r>
      <w:r>
        <w:tab/>
      </w:r>
      <w:r>
        <w:fldChar w:fldCharType="begin"/>
      </w:r>
      <w:r>
        <w:instrText xml:space="preserve"> PAGEREF _Toc178538562 \h </w:instrText>
      </w:r>
      <w:r>
        <w:fldChar w:fldCharType="separate"/>
      </w:r>
      <w:r>
        <w:t>23</w:t>
      </w:r>
      <w:r>
        <w:fldChar w:fldCharType="end"/>
      </w:r>
      <w:r>
        <w:fldChar w:fldCharType="end"/>
      </w:r>
    </w:p>
    <w:p w14:paraId="39A4869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"_Toc178538563" </w:instrText>
      </w:r>
      <w:r>
        <w:fldChar w:fldCharType="separate"/>
      </w:r>
      <w:r>
        <w:rPr>
          <w:rStyle w:val="31"/>
        </w:rPr>
        <w:t>37.</w:t>
      </w:r>
      <w:r>
        <w:rPr>
          <w:rFonts w:asciiTheme="minorHAnsi" w:hAnsiTheme="minorHAnsi" w:eastAsiaTheme="minorEastAsia" w:cstheme="minorBidi"/>
          <w:kern w:val="2"/>
          <w:sz w:val="22"/>
          <w:szCs w:val="22"/>
          <w14:ligatures w14:val="standardContextual"/>
        </w:rPr>
        <w:tab/>
      </w:r>
      <w:r>
        <w:rPr>
          <w:rStyle w:val="31"/>
        </w:rPr>
        <w:t>Qualification of the Bidder</w:t>
      </w:r>
      <w:r>
        <w:tab/>
      </w:r>
      <w:r>
        <w:fldChar w:fldCharType="begin"/>
      </w:r>
      <w:r>
        <w:instrText xml:space="preserve"> PAGEREF _Toc178538563 \h </w:instrText>
      </w:r>
      <w:r>
        <w:fldChar w:fldCharType="separate"/>
      </w:r>
      <w:r>
        <w:t>23</w:t>
      </w:r>
      <w:r>
        <w:fldChar w:fldCharType="end"/>
      </w:r>
      <w:r>
        <w:fldChar w:fldCharType="end"/>
      </w:r>
    </w:p>
    <w:p w14:paraId="77CCEB9D">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"_Toc178538564" </w:instrText>
      </w:r>
      <w:r>
        <w:fldChar w:fldCharType="separate"/>
      </w:r>
      <w:r>
        <w:rPr>
          <w:rStyle w:val="31"/>
        </w:rPr>
        <w:t>38.</w:t>
      </w:r>
      <w:r>
        <w:rPr>
          <w:rFonts w:asciiTheme="minorHAnsi" w:hAnsiTheme="minorHAnsi" w:eastAsiaTheme="minorEastAsia" w:cstheme="minorBidi"/>
          <w:kern w:val="2"/>
          <w:sz w:val="22"/>
          <w:szCs w:val="22"/>
          <w14:ligatures w14:val="standardContextual"/>
        </w:rPr>
        <w:tab/>
      </w:r>
      <w:r>
        <w:rPr>
          <w:rStyle w:val="31"/>
          <w:iCs/>
        </w:rPr>
        <w:t xml:space="preserve">Employer’s </w:t>
      </w:r>
      <w:r>
        <w:rPr>
          <w:rStyle w:val="31"/>
        </w:rPr>
        <w:t>Right to Accept Any Bid, and to Reject Any or All Bids</w:t>
      </w:r>
      <w:r>
        <w:tab/>
      </w:r>
      <w:r>
        <w:fldChar w:fldCharType="begin"/>
      </w:r>
      <w:r>
        <w:instrText xml:space="preserve"> PAGEREF _Toc178538564 \h </w:instrText>
      </w:r>
      <w:r>
        <w:fldChar w:fldCharType="separate"/>
      </w:r>
      <w:r>
        <w:t>24</w:t>
      </w:r>
      <w:r>
        <w:fldChar w:fldCharType="end"/>
      </w:r>
      <w:r>
        <w:fldChar w:fldCharType="end"/>
      </w:r>
    </w:p>
    <w:p w14:paraId="0B77D7EE">
      <w:pPr>
        <w:pStyle w:val="58"/>
        <w:tabs>
          <w:tab w:val="left" w:pos="720"/>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"_Toc178538565" </w:instrText>
      </w:r>
      <w:r>
        <w:fldChar w:fldCharType="separate"/>
      </w:r>
      <w:r>
        <w:rPr>
          <w:rStyle w:val="31"/>
        </w:rPr>
        <w:t>F.</w:t>
      </w:r>
      <w:r>
        <w:rPr>
          <w:rFonts w:asciiTheme="minorHAnsi" w:hAnsiTheme="minorHAnsi" w:eastAsiaTheme="minorEastAsia" w:cstheme="minorBidi"/>
          <w:b w:val="0"/>
          <w:kern w:val="2"/>
          <w:sz w:val="22"/>
          <w:szCs w:val="22"/>
          <w14:ligatures w14:val="standardContextual"/>
        </w:rPr>
        <w:tab/>
      </w:r>
      <w:r>
        <w:rPr>
          <w:rStyle w:val="31"/>
        </w:rPr>
        <w:t>Award of Contract</w:t>
      </w:r>
      <w:r>
        <w:tab/>
      </w:r>
      <w:r>
        <w:fldChar w:fldCharType="begin"/>
      </w:r>
      <w:r>
        <w:instrText xml:space="preserve"> PAGEREF _Toc178538565 \h </w:instrText>
      </w:r>
      <w:r>
        <w:fldChar w:fldCharType="separate"/>
      </w:r>
      <w:r>
        <w:t>24</w:t>
      </w:r>
      <w:r>
        <w:fldChar w:fldCharType="end"/>
      </w:r>
      <w:r>
        <w:fldChar w:fldCharType="end"/>
      </w:r>
    </w:p>
    <w:p w14:paraId="0FA37C89">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"_Toc178538566" </w:instrText>
      </w:r>
      <w:r>
        <w:fldChar w:fldCharType="separate"/>
      </w:r>
      <w:r>
        <w:rPr>
          <w:rStyle w:val="31"/>
        </w:rPr>
        <w:t>39.</w:t>
      </w:r>
      <w:r>
        <w:rPr>
          <w:rFonts w:asciiTheme="minorHAnsi" w:hAnsiTheme="minorHAnsi" w:eastAsiaTheme="minorEastAsia" w:cstheme="minorBidi"/>
          <w:kern w:val="2"/>
          <w:sz w:val="22"/>
          <w:szCs w:val="22"/>
          <w14:ligatures w14:val="standardContextual"/>
        </w:rPr>
        <w:tab/>
      </w:r>
      <w:r>
        <w:rPr>
          <w:rStyle w:val="31"/>
        </w:rPr>
        <w:t>Award Criteria</w:t>
      </w:r>
      <w:r>
        <w:tab/>
      </w:r>
      <w:r>
        <w:fldChar w:fldCharType="begin"/>
      </w:r>
      <w:r>
        <w:instrText xml:space="preserve"> PAGEREF _Toc178538566 \h </w:instrText>
      </w:r>
      <w:r>
        <w:fldChar w:fldCharType="separate"/>
      </w:r>
      <w:r>
        <w:t>24</w:t>
      </w:r>
      <w:r>
        <w:fldChar w:fldCharType="end"/>
      </w:r>
      <w:r>
        <w:fldChar w:fldCharType="end"/>
      </w:r>
    </w:p>
    <w:p w14:paraId="0DED5AA8">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"_Toc178538567" </w:instrText>
      </w:r>
      <w:r>
        <w:fldChar w:fldCharType="separate"/>
      </w:r>
      <w:r>
        <w:rPr>
          <w:rStyle w:val="31"/>
        </w:rPr>
        <w:t>40.</w:t>
      </w:r>
      <w:r>
        <w:rPr>
          <w:rFonts w:asciiTheme="minorHAnsi" w:hAnsiTheme="minorHAnsi" w:eastAsiaTheme="minorEastAsia" w:cstheme="minorBidi"/>
          <w:kern w:val="2"/>
          <w:sz w:val="22"/>
          <w:szCs w:val="22"/>
          <w14:ligatures w14:val="standardContextual"/>
        </w:rPr>
        <w:tab/>
      </w:r>
      <w:r>
        <w:rPr>
          <w:rStyle w:val="31"/>
        </w:rPr>
        <w:t>Notification of Award</w:t>
      </w:r>
      <w:r>
        <w:tab/>
      </w:r>
      <w:r>
        <w:fldChar w:fldCharType="begin"/>
      </w:r>
      <w:r>
        <w:instrText xml:space="preserve"> PAGEREF _Toc178538567 \h </w:instrText>
      </w:r>
      <w:r>
        <w:fldChar w:fldCharType="separate"/>
      </w:r>
      <w:r>
        <w:t>24</w:t>
      </w:r>
      <w:r>
        <w:fldChar w:fldCharType="end"/>
      </w:r>
      <w:r>
        <w:fldChar w:fldCharType="end"/>
      </w:r>
    </w:p>
    <w:p w14:paraId="65BB8C10">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"_Toc178538568" </w:instrText>
      </w:r>
      <w:r>
        <w:fldChar w:fldCharType="separate"/>
      </w:r>
      <w:r>
        <w:rPr>
          <w:rStyle w:val="31"/>
        </w:rPr>
        <w:t>41.</w:t>
      </w:r>
      <w:r>
        <w:rPr>
          <w:rFonts w:asciiTheme="minorHAnsi" w:hAnsiTheme="minorHAnsi" w:eastAsiaTheme="minorEastAsia" w:cstheme="minorBidi"/>
          <w:kern w:val="2"/>
          <w:sz w:val="22"/>
          <w:szCs w:val="22"/>
          <w14:ligatures w14:val="standardContextual"/>
        </w:rPr>
        <w:tab/>
      </w:r>
      <w:r>
        <w:rPr>
          <w:rStyle w:val="31"/>
        </w:rPr>
        <w:t>Signing of Contract</w:t>
      </w:r>
      <w:r>
        <w:tab/>
      </w:r>
      <w:r>
        <w:fldChar w:fldCharType="begin"/>
      </w:r>
      <w:r>
        <w:instrText xml:space="preserve"> PAGEREF _Toc178538568 \h </w:instrText>
      </w:r>
      <w:r>
        <w:fldChar w:fldCharType="separate"/>
      </w:r>
      <w:r>
        <w:t>26</w:t>
      </w:r>
      <w:r>
        <w:fldChar w:fldCharType="end"/>
      </w:r>
      <w:r>
        <w:fldChar w:fldCharType="end"/>
      </w:r>
    </w:p>
    <w:p w14:paraId="66F92205">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"_Toc178538569" </w:instrText>
      </w:r>
      <w:r>
        <w:fldChar w:fldCharType="separate"/>
      </w:r>
      <w:r>
        <w:rPr>
          <w:rStyle w:val="31"/>
        </w:rPr>
        <w:t>42.</w:t>
      </w:r>
      <w:r>
        <w:rPr>
          <w:rFonts w:asciiTheme="minorHAnsi" w:hAnsiTheme="minorHAnsi" w:eastAsiaTheme="minorEastAsia" w:cstheme="minorBidi"/>
          <w:kern w:val="2"/>
          <w:sz w:val="22"/>
          <w:szCs w:val="22"/>
          <w14:ligatures w14:val="standardContextual"/>
        </w:rPr>
        <w:tab/>
      </w:r>
      <w:r>
        <w:rPr>
          <w:rStyle w:val="31"/>
        </w:rPr>
        <w:t>Performance Security</w:t>
      </w:r>
      <w:r>
        <w:tab/>
      </w:r>
      <w:r>
        <w:fldChar w:fldCharType="begin"/>
      </w:r>
      <w:r>
        <w:instrText xml:space="preserve"> PAGEREF _Toc178538569 \h </w:instrText>
      </w:r>
      <w:r>
        <w:fldChar w:fldCharType="separate"/>
      </w:r>
      <w:r>
        <w:t>26</w:t>
      </w:r>
      <w:r>
        <w:fldChar w:fldCharType="end"/>
      </w:r>
      <w:r>
        <w:fldChar w:fldCharType="end"/>
      </w:r>
    </w:p>
    <w:p w14:paraId="7E9AFC58">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"_Toc178538570" </w:instrText>
      </w:r>
      <w:r>
        <w:fldChar w:fldCharType="separate"/>
      </w:r>
      <w:r>
        <w:rPr>
          <w:rStyle w:val="31"/>
        </w:rPr>
        <w:t>43.</w:t>
      </w:r>
      <w:r>
        <w:rPr>
          <w:rFonts w:asciiTheme="minorHAnsi" w:hAnsiTheme="minorHAnsi" w:eastAsiaTheme="minorEastAsia" w:cstheme="minorBidi"/>
          <w:kern w:val="2"/>
          <w:sz w:val="22"/>
          <w:szCs w:val="22"/>
          <w14:ligatures w14:val="standardContextual"/>
        </w:rPr>
        <w:tab/>
      </w:r>
      <w:r>
        <w:rPr>
          <w:rStyle w:val="31"/>
        </w:rPr>
        <w:t>Adjudicator</w:t>
      </w:r>
      <w:r>
        <w:tab/>
      </w:r>
      <w:r>
        <w:fldChar w:fldCharType="begin"/>
      </w:r>
      <w:r>
        <w:instrText xml:space="preserve"> PAGEREF _Toc178538570 \h </w:instrText>
      </w:r>
      <w:r>
        <w:fldChar w:fldCharType="separate"/>
      </w:r>
      <w:r>
        <w:t>26</w:t>
      </w:r>
      <w:r>
        <w:fldChar w:fldCharType="end"/>
      </w:r>
      <w:r>
        <w:fldChar w:fldCharType="end"/>
      </w:r>
    </w:p>
    <w:p w14:paraId="4B24F9F9">
      <w:pPr>
        <w:pStyle w:val="15"/>
        <w:ind w:left="180" w:right="288"/>
        <w:jc w:val="center"/>
        <w:rPr>
          <w:rFonts w:ascii="Times New Roman" w:hAnsi="Times New Roman" w:cs="Times New Roman"/>
          <w:b/>
          <w:bCs/>
          <w:sz w:val="24"/>
        </w:rPr>
      </w:pPr>
      <w:r>
        <w:rPr>
          <w:rFonts w:ascii="Times New Roman" w:hAnsi="Times New Roman" w:cs="Times New Roman"/>
          <w:b/>
          <w:bCs/>
          <w:sz w:val="24"/>
        </w:rPr>
        <w:fldChar w:fldCharType="end"/>
      </w:r>
    </w:p>
    <w:p w14:paraId="64969FF8"/>
    <w:p w14:paraId="0183D71F">
      <w:pPr>
        <w:jc w:val="center"/>
        <w:outlineLvl w:val="0"/>
        <w:rPr>
          <w:rFonts w:cs="Arial"/>
          <w:sz w:val="28"/>
        </w:rPr>
      </w:pPr>
    </w:p>
    <w:p w14:paraId="39E07490"/>
    <w:p w14:paraId="72E489E8">
      <w:pPr>
        <w:spacing w:before="240" w:after="360"/>
        <w:jc w:val="center"/>
        <w:rPr>
          <w:b/>
          <w:sz w:val="36"/>
          <w:szCs w:val="36"/>
        </w:rPr>
      </w:pPr>
      <w:bookmarkStart w:id="3" w:name="_Hlt438532663"/>
      <w:bookmarkEnd w:id="3"/>
      <w:bookmarkStart w:id="4" w:name="_Toc438266923"/>
      <w:bookmarkStart w:id="5" w:name="_Toc438366664"/>
      <w:bookmarkStart w:id="6" w:name="_Toc438267877"/>
      <w:r>
        <w:br w:type="page"/>
      </w:r>
      <w:r>
        <w:rPr>
          <w:b/>
          <w:sz w:val="36"/>
          <w:szCs w:val="36"/>
        </w:rPr>
        <w:t>Section I - Instructions to Bidders</w:t>
      </w:r>
      <w:bookmarkEnd w:id="4"/>
      <w:bookmarkEnd w:id="5"/>
      <w:bookmarkEnd w:id="6"/>
    </w:p>
    <w:tbl>
      <w:tblPr>
        <w:tblStyle w:val="12"/>
        <w:tblW w:w="9450" w:type="dxa"/>
        <w:jc w:val="center"/>
        <w:tblLayout w:type="fixed"/>
        <w:tblCellMar>
          <w:top w:w="0" w:type="dxa"/>
          <w:left w:w="108" w:type="dxa"/>
          <w:bottom w:w="0" w:type="dxa"/>
          <w:right w:w="108" w:type="dxa"/>
        </w:tblCellMar>
      </w:tblPr>
      <w:tblGrid>
        <w:gridCol w:w="2430"/>
        <w:gridCol w:w="7020"/>
      </w:tblGrid>
      <w:tr w14:paraId="38C164D0">
        <w:trPr>
          <w:cantSplit/>
          <w:jc w:val="center"/>
        </w:trPr>
        <w:tc>
          <w:tcPr>
            <w:tcW w:w="9450" w:type="dxa"/>
            <w:gridSpan w:val="2"/>
            <w:vAlign w:val="center"/>
          </w:tcPr>
          <w:p w14:paraId="448B8D88">
            <w:pPr>
              <w:pStyle w:val="167"/>
            </w:pPr>
            <w:bookmarkStart w:id="7" w:name="_Toc461939616"/>
            <w:bookmarkStart w:id="8" w:name="_Toc438733963"/>
            <w:bookmarkStart w:id="9" w:name="_Toc97371001"/>
            <w:bookmarkStart w:id="10" w:name="_Toc178538522"/>
            <w:bookmarkStart w:id="11" w:name="_Toc438962045"/>
            <w:bookmarkStart w:id="12" w:name="_Toc438438819"/>
            <w:bookmarkStart w:id="13" w:name="_Toc438532553"/>
            <w:r>
              <w:t>General</w:t>
            </w:r>
            <w:bookmarkEnd w:id="7"/>
            <w:bookmarkEnd w:id="8"/>
            <w:bookmarkEnd w:id="9"/>
            <w:bookmarkEnd w:id="10"/>
            <w:bookmarkEnd w:id="11"/>
            <w:bookmarkEnd w:id="12"/>
            <w:bookmarkEnd w:id="13"/>
          </w:p>
        </w:tc>
      </w:tr>
      <w:tr w14:paraId="314A2F23">
        <w:tblPrEx>
          <w:tblCellMar>
            <w:top w:w="0" w:type="dxa"/>
            <w:left w:w="108" w:type="dxa"/>
            <w:bottom w:w="0" w:type="dxa"/>
            <w:right w:w="108" w:type="dxa"/>
          </w:tblCellMar>
        </w:tblPrEx>
        <w:trPr>
          <w:jc w:val="center"/>
        </w:trPr>
        <w:tc>
          <w:tcPr>
            <w:tcW w:w="2430" w:type="dxa"/>
          </w:tcPr>
          <w:p w14:paraId="6E454132">
            <w:pPr>
              <w:pStyle w:val="143"/>
            </w:pPr>
            <w:bookmarkStart w:id="14" w:name="_Toc178538523"/>
            <w:bookmarkStart w:id="15" w:name="_Toc139863103"/>
            <w:bookmarkStart w:id="16" w:name="_Toc97371002"/>
            <w:r>
              <w:t>Scope of Bid</w:t>
            </w:r>
            <w:bookmarkEnd w:id="14"/>
            <w:bookmarkEnd w:id="15"/>
            <w:bookmarkEnd w:id="16"/>
          </w:p>
        </w:tc>
        <w:tc>
          <w:tcPr>
            <w:tcW w:w="7020" w:type="dxa"/>
          </w:tcPr>
          <w:p w14:paraId="71E31FDC">
            <w:pPr>
              <w:pStyle w:val="69"/>
            </w:pPr>
            <w:r>
              <w:t xml:space="preserve">In connection with the Invitation for Bids </w:t>
            </w:r>
            <w:r>
              <w:rPr>
                <w:rStyle w:val="171"/>
                <w:lang w:val="en-US"/>
              </w:rPr>
              <w:t>specified in the Bid Data Sheet (BDS)</w:t>
            </w:r>
            <w:r>
              <w:t xml:space="preserve">, the Employer, as </w:t>
            </w:r>
            <w:r>
              <w:rPr>
                <w:b/>
              </w:rPr>
              <w:t>specified in the BDS</w:t>
            </w:r>
            <w:r>
              <w:t xml:space="preserve">, issues these Bidding Documents for the procurement of the Works as specified in Section VII, Works Requirements. The name, identification, and number of lots (contracts) of this bidding are </w:t>
            </w:r>
            <w:r>
              <w:rPr>
                <w:b/>
              </w:rPr>
              <w:t>specified in the BDS</w:t>
            </w:r>
            <w:r>
              <w:t>.</w:t>
            </w:r>
          </w:p>
        </w:tc>
      </w:tr>
      <w:tr w14:paraId="0A6D73FF">
        <w:tblPrEx>
          <w:tblCellMar>
            <w:top w:w="0" w:type="dxa"/>
            <w:left w:w="108" w:type="dxa"/>
            <w:bottom w:w="0" w:type="dxa"/>
            <w:right w:w="108" w:type="dxa"/>
          </w:tblCellMar>
        </w:tblPrEx>
        <w:trPr>
          <w:jc w:val="center"/>
        </w:trPr>
        <w:tc>
          <w:tcPr>
            <w:tcW w:w="2430" w:type="dxa"/>
          </w:tcPr>
          <w:p w14:paraId="05FF2111">
            <w:pPr>
              <w:spacing w:before="180" w:after="180"/>
            </w:pPr>
          </w:p>
        </w:tc>
        <w:tc>
          <w:tcPr>
            <w:tcW w:w="7020" w:type="dxa"/>
          </w:tcPr>
          <w:p w14:paraId="27A44A5D">
            <w:pPr>
              <w:pStyle w:val="146"/>
            </w:pPr>
            <w:r>
              <w:t>Throughout this Bidding Document:</w:t>
            </w:r>
          </w:p>
          <w:p w14:paraId="64C5ACAC">
            <w:pPr>
              <w:pStyle w:val="70"/>
              <w:numPr>
                <w:ilvl w:val="0"/>
                <w:numId w:val="0"/>
              </w:numPr>
              <w:ind w:left="927" w:hanging="450"/>
              <w:rPr>
                <w:szCs w:val="24"/>
              </w:rPr>
            </w:pPr>
            <w:r>
              <w:rPr>
                <w:szCs w:val="24"/>
              </w:rPr>
              <w:t>(a) the term “in writing” means communicated in written form and delivered against receipt;</w:t>
            </w:r>
          </w:p>
          <w:p w14:paraId="0E7E28FD">
            <w:pPr>
              <w:pStyle w:val="70"/>
              <w:numPr>
                <w:ilvl w:val="0"/>
                <w:numId w:val="0"/>
              </w:numPr>
              <w:ind w:left="927" w:hanging="423"/>
              <w:rPr>
                <w:szCs w:val="24"/>
              </w:rPr>
            </w:pPr>
            <w:r>
              <w:rPr>
                <w:szCs w:val="24"/>
              </w:rPr>
              <w:t>(b)</w:t>
            </w:r>
            <w:r>
              <w:rPr>
                <w:szCs w:val="24"/>
              </w:rPr>
              <w:tab/>
            </w:r>
            <w:r>
              <w:rPr>
                <w:szCs w:val="24"/>
              </w:rPr>
              <w:t xml:space="preserve">except where the context requires otherwise, words indicating the singular also include the plural and words indicating the plural also include the singular; </w:t>
            </w:r>
          </w:p>
          <w:p w14:paraId="18F737F9">
            <w:pPr>
              <w:pStyle w:val="70"/>
              <w:numPr>
                <w:ilvl w:val="0"/>
                <w:numId w:val="0"/>
              </w:numPr>
              <w:ind w:left="927" w:hanging="423"/>
              <w:rPr>
                <w:szCs w:val="24"/>
              </w:rPr>
            </w:pPr>
            <w:r>
              <w:rPr>
                <w:szCs w:val="24"/>
              </w:rPr>
              <w:t>(c)</w:t>
            </w:r>
            <w:r>
              <w:rPr>
                <w:szCs w:val="24"/>
              </w:rPr>
              <w:tab/>
            </w:r>
            <w:r>
              <w:rPr>
                <w:szCs w:val="24"/>
              </w:rPr>
              <w:t>“day” means calendar day; and</w:t>
            </w:r>
          </w:p>
          <w:p w14:paraId="5F2AF890">
            <w:pPr>
              <w:pStyle w:val="70"/>
              <w:numPr>
                <w:ilvl w:val="0"/>
                <w:numId w:val="31"/>
              </w:numPr>
              <w:rPr>
                <w:color w:val="000000" w:themeColor="text1"/>
                <w14:textFill>
                  <w14:solidFill>
                    <w14:schemeClr w14:val="tx1"/>
                  </w14:solidFill>
                </w14:textFill>
              </w:rPr>
            </w:pPr>
            <w:r>
              <w:rPr>
                <w:color w:val="000000"/>
              </w:rPr>
              <w:t xml:space="preserve"> </w:t>
            </w:r>
            <w:r>
              <w:rPr>
                <w:b/>
              </w:rPr>
              <w:t>“ES”</w:t>
            </w:r>
            <w:r>
              <w:rPr>
                <w:color w:val="000000" w:themeColor="text1"/>
                <w14:textFill>
                  <w14:solidFill>
                    <w14:schemeClr w14:val="tx1"/>
                  </w14:solidFill>
                </w14:textFill>
              </w:rPr>
              <w:t xml:space="preserve"> means environmental and social (including Sexual Exploitation, and Abuse (SEA) and Sexual Harassment (SH));</w:t>
            </w:r>
          </w:p>
          <w:p w14:paraId="0E8E937E">
            <w:pPr>
              <w:pStyle w:val="70"/>
              <w:numPr>
                <w:ilvl w:val="0"/>
                <w:numId w:val="31"/>
              </w:numPr>
              <w:ind w:left="1085" w:hanging="540"/>
              <w:rPr>
                <w:color w:val="000000" w:themeColor="text1"/>
                <w14:textFill>
                  <w14:solidFill>
                    <w14:schemeClr w14:val="tx1"/>
                  </w14:solidFill>
                </w14:textFill>
              </w:rPr>
            </w:pPr>
            <w:r>
              <w:rPr>
                <w:b/>
              </w:rPr>
              <w:t>“Sexual Exploitation and Abuse”</w:t>
            </w:r>
            <w:r>
              <w:rPr>
                <w:color w:val="000000" w:themeColor="text1"/>
                <w14:textFill>
                  <w14:solidFill>
                    <w14:schemeClr w14:val="tx1"/>
                  </w14:solidFill>
                </w14:textFill>
              </w:rPr>
              <w:t xml:space="preserve"> “(SEA)” means the following:</w:t>
            </w:r>
          </w:p>
          <w:p w14:paraId="0EBD00D3">
            <w:pPr>
              <w:autoSpaceDE w:val="0"/>
              <w:autoSpaceDN w:val="0"/>
              <w:spacing w:after="120"/>
              <w:ind w:left="1152" w:firstLine="18"/>
              <w:jc w:val="both"/>
            </w:pPr>
            <w:r>
              <w:rPr>
                <w:b/>
                <w:szCs w:val="20"/>
              </w:rPr>
              <w:t>“Sexual Exploitation”</w:t>
            </w:r>
            <w:r>
              <w:rPr>
                <w:color w:val="000000" w:themeColor="text1"/>
                <w14:textFill>
                  <w14:solidFill>
                    <w14:schemeClr w14:val="tx1"/>
                  </w14:solidFill>
                </w14:textFill>
              </w:rPr>
              <w:t xml:space="preserve"> is defined as any actual or attempted abuse of position of vulnerability, differential power or trust, for sexual purposes, including, but not limited to, profiting monetarily, socially or politically from the sexual exploitation of another</w:t>
            </w:r>
            <w:r>
              <w:t xml:space="preserve">; </w:t>
            </w:r>
          </w:p>
          <w:p w14:paraId="03D54D09">
            <w:pPr>
              <w:pStyle w:val="184"/>
              <w:numPr>
                <w:ilvl w:val="0"/>
                <w:numId w:val="0"/>
              </w:numPr>
              <w:tabs>
                <w:tab w:val="clear" w:pos="972"/>
                <w:tab w:val="clear" w:pos="1008"/>
              </w:tabs>
              <w:spacing w:before="120" w:after="120"/>
              <w:ind w:left="1173"/>
              <w:rPr>
                <w:color w:val="000000" w:themeColor="text1"/>
                <w:lang w:val="en-US"/>
                <w14:textFill>
                  <w14:solidFill>
                    <w14:schemeClr w14:val="tx1"/>
                  </w14:solidFill>
                </w14:textFill>
              </w:rPr>
            </w:pPr>
            <w:r>
              <w:rPr>
                <w:b/>
                <w:lang w:val="en-US"/>
              </w:rPr>
              <w:t>“Sexual Abuse”</w:t>
            </w:r>
            <w:r>
              <w:rPr>
                <w:lang w:val="en-US"/>
              </w:rPr>
              <w:t xml:space="preserve"> is defined as </w:t>
            </w:r>
            <w:r>
              <w:rPr>
                <w:color w:val="000000" w:themeColor="text1"/>
                <w:lang w:val="en-US"/>
                <w14:textFill>
                  <w14:solidFill>
                    <w14:schemeClr w14:val="tx1"/>
                  </w14:solidFill>
                </w14:textFill>
              </w:rPr>
              <w:t xml:space="preserve">the actual or threatened physical intrusion of a sexual nature, whether by force or under unequal or coercive conditions; </w:t>
            </w:r>
          </w:p>
          <w:p w14:paraId="28F91675">
            <w:pPr>
              <w:pStyle w:val="70"/>
              <w:numPr>
                <w:ilvl w:val="0"/>
                <w:numId w:val="31"/>
              </w:numPr>
              <w:ind w:left="1085" w:hanging="540"/>
              <w:rPr>
                <w:color w:val="000000" w:themeColor="text1"/>
                <w14:textFill>
                  <w14:solidFill>
                    <w14:schemeClr w14:val="tx1"/>
                  </w14:solidFill>
                </w14:textFill>
              </w:rPr>
            </w:pPr>
            <w:r>
              <w:rPr>
                <w:b/>
              </w:rPr>
              <w:t>“Sexual Harassment”</w:t>
            </w:r>
            <w:r>
              <w:rPr>
                <w:color w:val="000000" w:themeColor="text1"/>
                <w14:textFill>
                  <w14:solidFill>
                    <w14:schemeClr w14:val="tx1"/>
                  </w14:solidFill>
                </w14:textFill>
              </w:rPr>
              <w:t xml:space="preserve"> “(SH)” is defined as </w:t>
            </w:r>
            <w:r>
              <w:t>unwelcome sexual advances, requests for sexual favors, and other verbal or physical conduct of a sexual nature by the Contractor’s Personnel with other Contractor’s or Employer’s Personnel;</w:t>
            </w:r>
          </w:p>
          <w:p w14:paraId="76DF4537">
            <w:pPr>
              <w:pStyle w:val="70"/>
              <w:numPr>
                <w:ilvl w:val="0"/>
                <w:numId w:val="31"/>
              </w:numPr>
              <w:ind w:left="1085" w:hanging="540"/>
              <w:rPr>
                <w:color w:val="000000" w:themeColor="text1"/>
                <w14:textFill>
                  <w14:solidFill>
                    <w14:schemeClr w14:val="tx1"/>
                  </w14:solidFill>
                </w14:textFill>
              </w:rPr>
            </w:pPr>
            <w:r>
              <w:rPr>
                <w:b/>
              </w:rPr>
              <w:t>“Contractor’s Personnel”</w:t>
            </w:r>
            <w:r>
              <w:rPr>
                <w:color w:val="000000" w:themeColor="text1"/>
                <w14:textFill>
                  <w14:solidFill>
                    <w14:schemeClr w14:val="tx1"/>
                  </w14:solidFill>
                </w14:textFill>
              </w:rPr>
              <w:t xml:space="preserve"> is as defined in Sub- Clause 1 (ii) of the General Conditions of Contract; and</w:t>
            </w:r>
          </w:p>
          <w:p w14:paraId="6E6F5074">
            <w:pPr>
              <w:pStyle w:val="70"/>
              <w:numPr>
                <w:ilvl w:val="0"/>
                <w:numId w:val="31"/>
              </w:numPr>
              <w:ind w:left="1085" w:hanging="540"/>
              <w:rPr>
                <w:color w:val="000000" w:themeColor="text1"/>
                <w14:textFill>
                  <w14:solidFill>
                    <w14:schemeClr w14:val="tx1"/>
                  </w14:solidFill>
                </w14:textFill>
              </w:rPr>
            </w:pPr>
            <w:r>
              <w:rPr>
                <w:b/>
              </w:rPr>
              <w:t>“Employer’s personnel”</w:t>
            </w:r>
            <w:r>
              <w:rPr>
                <w:color w:val="000000" w:themeColor="text1"/>
                <w14:textFill>
                  <w14:solidFill>
                    <w14:schemeClr w14:val="tx1"/>
                  </w14:solidFill>
                </w14:textFill>
              </w:rPr>
              <w:t xml:space="preserve"> is as defined in GCC Sub-Clause 1 (nn) of the General Conditions of Contract.</w:t>
            </w:r>
          </w:p>
          <w:p w14:paraId="3F6E6D8C">
            <w:pPr>
              <w:pStyle w:val="70"/>
              <w:numPr>
                <w:ilvl w:val="0"/>
                <w:numId w:val="0"/>
              </w:numPr>
              <w:ind w:left="927" w:hanging="423"/>
              <w:rPr>
                <w:szCs w:val="24"/>
              </w:rPr>
            </w:pPr>
            <w:r>
              <w:t>A non-exhaustive list of (i) behaviors which constitute SEA and (ii) behaviors which constitute SH is attached to the Code of Conduct form in Section IV</w:t>
            </w:r>
            <w:r>
              <w:rPr>
                <w:color w:val="000000"/>
              </w:rPr>
              <w:t>.</w:t>
            </w:r>
          </w:p>
        </w:tc>
      </w:tr>
      <w:tr w14:paraId="6B978920">
        <w:tblPrEx>
          <w:tblCellMar>
            <w:top w:w="0" w:type="dxa"/>
            <w:left w:w="108" w:type="dxa"/>
            <w:bottom w:w="0" w:type="dxa"/>
            <w:right w:w="108" w:type="dxa"/>
          </w:tblCellMar>
        </w:tblPrEx>
        <w:trPr>
          <w:jc w:val="center"/>
        </w:trPr>
        <w:tc>
          <w:tcPr>
            <w:tcW w:w="2430" w:type="dxa"/>
          </w:tcPr>
          <w:p w14:paraId="2407B2D6">
            <w:pPr>
              <w:pStyle w:val="143"/>
            </w:pPr>
            <w:bookmarkStart w:id="17" w:name="_Toc438530847"/>
            <w:bookmarkEnd w:id="17"/>
            <w:bookmarkStart w:id="18" w:name="_Toc438532555"/>
            <w:bookmarkEnd w:id="18"/>
            <w:bookmarkStart w:id="19" w:name="_Toc438907205"/>
            <w:bookmarkStart w:id="20" w:name="_Toc438907006"/>
            <w:bookmarkStart w:id="21" w:name="_Toc178538524"/>
            <w:bookmarkStart w:id="22" w:name="_Toc438438821"/>
            <w:bookmarkStart w:id="23" w:name="_Toc438532556"/>
            <w:bookmarkStart w:id="24" w:name="_Toc139863104"/>
            <w:bookmarkStart w:id="25" w:name="_Toc97371003"/>
            <w:bookmarkStart w:id="26" w:name="_Toc438733965"/>
            <w:r>
              <w:t>Source of Funds</w:t>
            </w:r>
            <w:bookmarkEnd w:id="19"/>
            <w:bookmarkEnd w:id="20"/>
            <w:bookmarkEnd w:id="21"/>
            <w:bookmarkEnd w:id="22"/>
            <w:bookmarkEnd w:id="23"/>
            <w:bookmarkEnd w:id="24"/>
            <w:bookmarkEnd w:id="25"/>
            <w:bookmarkEnd w:id="26"/>
          </w:p>
        </w:tc>
        <w:tc>
          <w:tcPr>
            <w:tcW w:w="7020" w:type="dxa"/>
          </w:tcPr>
          <w:p w14:paraId="5664943B">
            <w:pPr>
              <w:pStyle w:val="146"/>
            </w:pPr>
            <w:r>
              <w:t xml:space="preserve">The Borrower or Recipient (hereinafter called “Borrower”) </w:t>
            </w:r>
            <w:r>
              <w:rPr>
                <w:b/>
              </w:rPr>
              <w:t>specified in the BDS</w:t>
            </w:r>
            <w:r>
              <w:t xml:space="preserve"> has received or has applied for financing (hereinafter called “funds”) from the International Bank for Reconstruction and Development or the International Development Association (hereinafter called “the Bank”) in an amount </w:t>
            </w:r>
            <w:r>
              <w:rPr>
                <w:b/>
              </w:rPr>
              <w:t>specified in the BDS</w:t>
            </w:r>
            <w:r>
              <w:t>, toward the project named</w:t>
            </w:r>
            <w:r>
              <w:rPr>
                <w:b/>
              </w:rPr>
              <w:t xml:space="preserve"> in the BDS</w:t>
            </w:r>
            <w:r>
              <w:t xml:space="preserve">. The Borrower intends to apply a portion of the funds to eligible payments under the contract(s) for which these Bidding Documents are issued. </w:t>
            </w:r>
          </w:p>
        </w:tc>
      </w:tr>
      <w:tr w14:paraId="1E751B93">
        <w:tblPrEx>
          <w:tblCellMar>
            <w:top w:w="0" w:type="dxa"/>
            <w:left w:w="108" w:type="dxa"/>
            <w:bottom w:w="0" w:type="dxa"/>
            <w:right w:w="108" w:type="dxa"/>
          </w:tblCellMar>
        </w:tblPrEx>
        <w:trPr>
          <w:jc w:val="center"/>
        </w:trPr>
        <w:tc>
          <w:tcPr>
            <w:tcW w:w="2430" w:type="dxa"/>
          </w:tcPr>
          <w:p w14:paraId="2F748DD5">
            <w:pPr>
              <w:spacing w:before="180" w:after="180"/>
            </w:pPr>
            <w:bookmarkStart w:id="27" w:name="_Toc438532557"/>
            <w:bookmarkEnd w:id="27"/>
          </w:p>
        </w:tc>
        <w:tc>
          <w:tcPr>
            <w:tcW w:w="7020" w:type="dxa"/>
          </w:tcPr>
          <w:p w14:paraId="2571EBF0">
            <w:pPr>
              <w:pStyle w:val="146"/>
              <w:rPr>
                <w:i/>
                <w:iCs/>
              </w:rPr>
            </w:pPr>
            <w:r>
              <w:t xml:space="preserve">Payment by the Bank will be made only at the request of the Borrower and upon approval by the Bank, and will be subject, in all respects, to the terms and conditions of the Loan (or other financing) Agreement. The Loan (or other financing) Agreement prohibits a withdrawal from the Loan (or other financing) account for the purpose of any payment to persons or entities, or for any import of goods, if such payment or import, to the knowledge of the Bank, is prohibited by a decision of the United Nations Security Council taken under Chapter VII of the Charter of the United Nations. No party other than the Borrower shall derive any rights from the Loan (or other financing) Agreement or have any claim to the proceeds of the Loan (or other financing). </w:t>
            </w:r>
          </w:p>
        </w:tc>
      </w:tr>
      <w:tr w14:paraId="3F2DA9AD">
        <w:tblPrEx>
          <w:tblCellMar>
            <w:top w:w="0" w:type="dxa"/>
            <w:left w:w="108" w:type="dxa"/>
            <w:bottom w:w="0" w:type="dxa"/>
            <w:right w:w="108" w:type="dxa"/>
          </w:tblCellMar>
        </w:tblPrEx>
        <w:trPr>
          <w:jc w:val="center"/>
        </w:trPr>
        <w:tc>
          <w:tcPr>
            <w:tcW w:w="2430" w:type="dxa"/>
          </w:tcPr>
          <w:p w14:paraId="0DAF9186">
            <w:pPr>
              <w:pStyle w:val="143"/>
            </w:pPr>
            <w:bookmarkStart w:id="28" w:name="_Toc438532558"/>
            <w:bookmarkEnd w:id="28"/>
            <w:bookmarkStart w:id="29" w:name="_Toc438002631"/>
            <w:r>
              <w:br w:type="page"/>
            </w:r>
            <w:bookmarkEnd w:id="29"/>
            <w:bookmarkStart w:id="30" w:name="_Toc178538525"/>
            <w:r>
              <w:t>Corrupt and Fraudulent Practices</w:t>
            </w:r>
            <w:bookmarkEnd w:id="30"/>
          </w:p>
        </w:tc>
        <w:tc>
          <w:tcPr>
            <w:tcW w:w="7020" w:type="dxa"/>
          </w:tcPr>
          <w:p w14:paraId="236E8139">
            <w:pPr>
              <w:pStyle w:val="146"/>
              <w:ind w:right="117"/>
            </w:pPr>
            <w:r>
              <w:t>The Bank requires compliance with its policy in regard to corrupt and fraudulent practices as set forth in Section VI.</w:t>
            </w:r>
          </w:p>
          <w:p w14:paraId="61601C61">
            <w:pPr>
              <w:pStyle w:val="146"/>
              <w:ind w:right="117"/>
              <w:rPr>
                <w:i/>
              </w:rPr>
            </w:pPr>
            <w:r>
              <w:t>In further pursuance of this policy, Bidders shall permit and shall cause their agents (whether declared or not), sub-contractors, sub-consultants, service providers, suppliers, and personnel, to permit the Bank to inspect all accounts, records and other documents relating to any prequalification process, bid submission, and contract performance (in the case of award), and to have them audited by auditors appointed by the Bank.</w:t>
            </w:r>
          </w:p>
        </w:tc>
      </w:tr>
      <w:tr w14:paraId="0902E24F">
        <w:tblPrEx>
          <w:tblCellMar>
            <w:top w:w="0" w:type="dxa"/>
            <w:left w:w="108" w:type="dxa"/>
            <w:bottom w:w="0" w:type="dxa"/>
            <w:right w:w="108" w:type="dxa"/>
          </w:tblCellMar>
        </w:tblPrEx>
        <w:trPr>
          <w:jc w:val="center"/>
        </w:trPr>
        <w:tc>
          <w:tcPr>
            <w:tcW w:w="2430" w:type="dxa"/>
          </w:tcPr>
          <w:p w14:paraId="55D33607">
            <w:pPr>
              <w:pStyle w:val="143"/>
            </w:pPr>
            <w:bookmarkStart w:id="31" w:name="_Toc178538526"/>
            <w:bookmarkStart w:id="32" w:name="_Toc438532560"/>
            <w:bookmarkStart w:id="33" w:name="_Toc139863106"/>
            <w:bookmarkStart w:id="34" w:name="_Toc438438823"/>
            <w:bookmarkStart w:id="35" w:name="_Toc438733967"/>
            <w:bookmarkStart w:id="36" w:name="_Toc438907008"/>
            <w:bookmarkStart w:id="37" w:name="_Toc97371005"/>
            <w:bookmarkStart w:id="38" w:name="_Toc438907207"/>
            <w:r>
              <w:t>Eligible Bidders</w:t>
            </w:r>
            <w:bookmarkEnd w:id="31"/>
            <w:bookmarkEnd w:id="32"/>
            <w:bookmarkEnd w:id="33"/>
            <w:bookmarkEnd w:id="34"/>
            <w:bookmarkEnd w:id="35"/>
            <w:bookmarkEnd w:id="36"/>
            <w:bookmarkEnd w:id="37"/>
            <w:bookmarkEnd w:id="38"/>
          </w:p>
          <w:p w14:paraId="22CC7EC4">
            <w:pPr>
              <w:pStyle w:val="68"/>
              <w:numPr>
                <w:ilvl w:val="0"/>
                <w:numId w:val="0"/>
              </w:numPr>
              <w:spacing w:after="120"/>
              <w:ind w:left="432" w:hanging="432"/>
              <w:rPr>
                <w:rFonts w:ascii="Times New Roman" w:hAnsi="Times New Roman"/>
                <w:sz w:val="24"/>
                <w:szCs w:val="24"/>
              </w:rPr>
            </w:pPr>
          </w:p>
          <w:p w14:paraId="1A27DEFA">
            <w:pPr>
              <w:pStyle w:val="68"/>
              <w:numPr>
                <w:ilvl w:val="0"/>
                <w:numId w:val="0"/>
              </w:numPr>
              <w:spacing w:after="120"/>
              <w:ind w:left="432" w:hanging="432"/>
              <w:rPr>
                <w:rFonts w:ascii="Times New Roman" w:hAnsi="Times New Roman"/>
                <w:b w:val="0"/>
                <w:bCs/>
                <w:sz w:val="24"/>
                <w:szCs w:val="24"/>
              </w:rPr>
            </w:pPr>
          </w:p>
        </w:tc>
        <w:tc>
          <w:tcPr>
            <w:tcW w:w="7020" w:type="dxa"/>
          </w:tcPr>
          <w:p w14:paraId="06A1D206">
            <w:pPr>
              <w:pStyle w:val="146"/>
            </w:pPr>
            <w:r>
              <w:t xml:space="preserve">A Bidder may be a firm that is a private entity, or a government-owned entity—subject to ITB 4.5—or any combination of them in the form of a joint venture (JV), under an existing agreement, or with the intent to enter into such an agreement supported by a letter of intent. In the case of a joint venture, all members shall be jointly and severally liable for the execution of the Contract in accordance with the Contract terms. The JV shall nominate a Representative who shall have the authority to conduct all business for and on behalf of any and all the members of the JV during the bidding process and, in the event the JV is awarded the Contract, during contract execution. </w:t>
            </w:r>
            <w:r>
              <w:rPr>
                <w:b/>
                <w:bCs/>
              </w:rPr>
              <w:t xml:space="preserve">Unless specified </w:t>
            </w:r>
            <w:r>
              <w:rPr>
                <w:b/>
              </w:rPr>
              <w:t>in the BDS</w:t>
            </w:r>
            <w:r>
              <w:t xml:space="preserve">, there is no limit on the number of members in a JV. </w:t>
            </w:r>
          </w:p>
        </w:tc>
      </w:tr>
      <w:tr w14:paraId="5B9A9DBA">
        <w:tblPrEx>
          <w:tblCellMar>
            <w:top w:w="0" w:type="dxa"/>
            <w:left w:w="108" w:type="dxa"/>
            <w:bottom w:w="0" w:type="dxa"/>
            <w:right w:w="108" w:type="dxa"/>
          </w:tblCellMar>
        </w:tblPrEx>
        <w:trPr>
          <w:jc w:val="center"/>
        </w:trPr>
        <w:tc>
          <w:tcPr>
            <w:tcW w:w="2430" w:type="dxa"/>
          </w:tcPr>
          <w:p w14:paraId="4EB0B808">
            <w:pPr>
              <w:pStyle w:val="68"/>
              <w:numPr>
                <w:ilvl w:val="0"/>
                <w:numId w:val="0"/>
              </w:numPr>
              <w:spacing w:after="120"/>
              <w:rPr>
                <w:rFonts w:ascii="Times New Roman" w:hAnsi="Times New Roman"/>
                <w:i/>
                <w:sz w:val="24"/>
                <w:szCs w:val="24"/>
              </w:rPr>
            </w:pPr>
          </w:p>
        </w:tc>
        <w:tc>
          <w:tcPr>
            <w:tcW w:w="7020" w:type="dxa"/>
          </w:tcPr>
          <w:p w14:paraId="6C90E1BF">
            <w:pPr>
              <w:pStyle w:val="144"/>
              <w:rPr>
                <w:rFonts w:cs="Times New Roman"/>
                <w:i w:val="0"/>
              </w:rPr>
            </w:pPr>
            <w:r>
              <w:rPr>
                <w:rFonts w:cs="Times New Roman"/>
                <w:i w:val="0"/>
              </w:rPr>
              <w:t xml:space="preserve">A Bidder shall not have a conflict of interest.  All Bidders found to have a conflict of interest shall be disqualified.  A Bidder may be considered to have a conflict of interest for the purpose of this bidding process, if the Bidder: </w:t>
            </w:r>
          </w:p>
          <w:p w14:paraId="0D314A3C">
            <w:pPr>
              <w:pStyle w:val="70"/>
            </w:pPr>
            <w:r>
              <w:t>directly or indirectly controls, is controlled by or is under common control with another Bidder; or</w:t>
            </w:r>
          </w:p>
          <w:p w14:paraId="36F99E5D">
            <w:pPr>
              <w:pStyle w:val="70"/>
            </w:pPr>
            <w:r>
              <w:t>receives or has received any direct or indirect subsidy from another Bidder; or</w:t>
            </w:r>
          </w:p>
          <w:p w14:paraId="213D22F7">
            <w:pPr>
              <w:pStyle w:val="70"/>
            </w:pPr>
            <w:r>
              <w:t>has the same legal representative as another Bidder; or</w:t>
            </w:r>
          </w:p>
          <w:p w14:paraId="417314A7">
            <w:pPr>
              <w:pStyle w:val="70"/>
            </w:pPr>
            <w:r>
              <w:t>has a relationship with another Bidder, directly or through common third parties, that puts it in a position to influence the bid of another Bidder, or influence the decisions of the Employer regarding this bidding process; or</w:t>
            </w:r>
          </w:p>
          <w:p w14:paraId="76EC29F9">
            <w:pPr>
              <w:pStyle w:val="70"/>
            </w:pPr>
            <w:r>
              <w:t xml:space="preserve">participates in more than one bid in this bidding process. Participation by a Bidder in more than one Bid will result in the disqualification of all Bids in which such Bidder is involved.  However, this does not limit the inclusion of the same subcontractor in more than one bid; or </w:t>
            </w:r>
          </w:p>
          <w:p w14:paraId="5D133775">
            <w:pPr>
              <w:pStyle w:val="70"/>
            </w:pPr>
            <w:r>
              <w:t>or any of its affiliates participated as a consultant in the preparation of the design or technical specifications of the works that are the subject of the bid; or</w:t>
            </w:r>
          </w:p>
          <w:p w14:paraId="4543630A">
            <w:pPr>
              <w:pStyle w:val="70"/>
            </w:pPr>
            <w:r>
              <w:rPr>
                <w:bCs/>
              </w:rPr>
              <w:t>or any of its affiliates has been hired (or is proposed to be hired) by the Employer or Borrower as Engineer for the Contract implementation</w:t>
            </w:r>
            <w:r>
              <w:t>;</w:t>
            </w:r>
          </w:p>
          <w:p w14:paraId="453B40D0">
            <w:pPr>
              <w:pStyle w:val="70"/>
            </w:pPr>
            <w:r>
              <w:t>would be providing goods, works, or non-consulting services resulting from or directly related to consulting services for the preparation or implementation of the project specified in the BDS ITB 2.1 that it provided or were provided by any affiliate that directly or indirectly controls, is controlled by, or is under common control with that firm;</w:t>
            </w:r>
          </w:p>
          <w:p w14:paraId="0D323EA9">
            <w:pPr>
              <w:pStyle w:val="70"/>
            </w:pPr>
            <w:r>
              <w:t>has a close business or family relationship with a professional staff of the Borrower (or of the project implementing agency, or of a recipient of a part of the loan) who: (i) are directly or indirectly involved in the preparation of the bidding documents or specifications of the contract, and/or the bid evaluation process of such contract; or (ii) would be involved in the implementation or supervision of such contract unless</w:t>
            </w:r>
            <w:r>
              <w:rPr>
                <w:b/>
              </w:rPr>
              <w:t xml:space="preserve"> </w:t>
            </w:r>
            <w:r>
              <w:t>the conflict stemming from such relationship has been resolved in a manner acceptable to the Bank throughout the procurement process and execution of the contract.</w:t>
            </w:r>
          </w:p>
        </w:tc>
      </w:tr>
      <w:tr w14:paraId="541FB194">
        <w:tblPrEx>
          <w:tblCellMar>
            <w:top w:w="0" w:type="dxa"/>
            <w:left w:w="108" w:type="dxa"/>
            <w:bottom w:w="0" w:type="dxa"/>
            <w:right w:w="108" w:type="dxa"/>
          </w:tblCellMar>
        </w:tblPrEx>
        <w:trPr>
          <w:jc w:val="center"/>
        </w:trPr>
        <w:tc>
          <w:tcPr>
            <w:tcW w:w="2430" w:type="dxa"/>
          </w:tcPr>
          <w:p w14:paraId="55A1DB96">
            <w:pPr>
              <w:pStyle w:val="68"/>
              <w:numPr>
                <w:ilvl w:val="0"/>
                <w:numId w:val="0"/>
              </w:numPr>
              <w:spacing w:after="120"/>
              <w:rPr>
                <w:rFonts w:ascii="Times New Roman" w:hAnsi="Times New Roman"/>
                <w:i/>
                <w:sz w:val="24"/>
                <w:szCs w:val="24"/>
              </w:rPr>
            </w:pPr>
          </w:p>
        </w:tc>
        <w:tc>
          <w:tcPr>
            <w:tcW w:w="7020" w:type="dxa"/>
          </w:tcPr>
          <w:p w14:paraId="3D71DC5D">
            <w:pPr>
              <w:pStyle w:val="69"/>
              <w:rPr>
                <w:rFonts w:cs="Times New Roman"/>
              </w:rPr>
            </w:pPr>
            <w:r>
              <w:rPr>
                <w:bCs/>
              </w:rPr>
              <w:t>A Bidder may have the nationality of any country, subject to the restrictions pursuant to ITB 4.7. A Bidder shall be deemed to have the nationality of a country if the Bidder is constituted, incorporated or registered in and operates in conformity with the provisions of the laws of that country, as evidenced by its articles of incorporation (or equivalent documents of constitution or association) and its registration documents, as the case may be.  This criterion also shall apply to the determination of the nationality of proposed sub-contractors or sub-consultants for any part of the Contract including related Services.</w:t>
            </w:r>
            <w:r>
              <w:rPr>
                <w:rFonts w:cs="Times New Roman"/>
              </w:rPr>
              <w:t xml:space="preserve"> </w:t>
            </w:r>
          </w:p>
        </w:tc>
      </w:tr>
      <w:tr w14:paraId="4177DCC7">
        <w:tblPrEx>
          <w:tblCellMar>
            <w:top w:w="0" w:type="dxa"/>
            <w:left w:w="108" w:type="dxa"/>
            <w:bottom w:w="0" w:type="dxa"/>
            <w:right w:w="108" w:type="dxa"/>
          </w:tblCellMar>
        </w:tblPrEx>
        <w:trPr>
          <w:jc w:val="center"/>
        </w:trPr>
        <w:tc>
          <w:tcPr>
            <w:tcW w:w="2430" w:type="dxa"/>
          </w:tcPr>
          <w:p w14:paraId="5EEC53C7">
            <w:pPr>
              <w:pStyle w:val="68"/>
              <w:numPr>
                <w:ilvl w:val="0"/>
                <w:numId w:val="0"/>
              </w:numPr>
              <w:spacing w:after="120"/>
              <w:rPr>
                <w:rFonts w:ascii="Times New Roman" w:hAnsi="Times New Roman"/>
                <w:i/>
                <w:sz w:val="24"/>
                <w:szCs w:val="24"/>
              </w:rPr>
            </w:pPr>
          </w:p>
        </w:tc>
        <w:tc>
          <w:tcPr>
            <w:tcW w:w="7020" w:type="dxa"/>
          </w:tcPr>
          <w:p w14:paraId="2B56F168">
            <w:pPr>
              <w:pStyle w:val="69"/>
              <w:spacing w:after="240"/>
              <w:rPr>
                <w:rFonts w:cs="Times New Roman"/>
              </w:rPr>
            </w:pPr>
            <w:r>
              <w:t xml:space="preserve">A </w:t>
            </w:r>
            <w:r>
              <w:rPr>
                <w:bCs/>
              </w:rPr>
              <w:t xml:space="preserve">Bidder that has been sanctioned by the Bank in accordance with the above ITB 3.1, including in accordance with the Bank’s Guidelines on Preventing and Combating Corruption in Projects Financed by IBRD Loans and IDA Credits and Grants (“Anti-Corruption Guidelines”), shall be ineligible to be prequalified for, bid for, or be awarded a Bank-financed contract or benefit from a Bank-financed contract, financially or otherwise, during such period of time as the Bank shall have determined. The list of debarred firms and individuals is available at the electronic address </w:t>
            </w:r>
            <w:r>
              <w:rPr>
                <w:b/>
                <w:bCs/>
              </w:rPr>
              <w:t>specified in the BDS</w:t>
            </w:r>
            <w:r>
              <w:rPr>
                <w:rFonts w:cs="Times New Roman"/>
              </w:rPr>
              <w:t>.</w:t>
            </w:r>
          </w:p>
        </w:tc>
      </w:tr>
      <w:tr w14:paraId="0C3D3C89">
        <w:tblPrEx>
          <w:tblCellMar>
            <w:top w:w="0" w:type="dxa"/>
            <w:left w:w="108" w:type="dxa"/>
            <w:bottom w:w="0" w:type="dxa"/>
            <w:right w:w="108" w:type="dxa"/>
          </w:tblCellMar>
        </w:tblPrEx>
        <w:trPr>
          <w:jc w:val="center"/>
        </w:trPr>
        <w:tc>
          <w:tcPr>
            <w:tcW w:w="2430" w:type="dxa"/>
          </w:tcPr>
          <w:p w14:paraId="2E5D8866">
            <w:pPr>
              <w:pStyle w:val="68"/>
              <w:numPr>
                <w:ilvl w:val="0"/>
                <w:numId w:val="0"/>
              </w:numPr>
              <w:spacing w:after="120"/>
              <w:rPr>
                <w:rFonts w:ascii="Times New Roman" w:hAnsi="Times New Roman"/>
                <w:i/>
                <w:sz w:val="24"/>
                <w:szCs w:val="24"/>
              </w:rPr>
            </w:pPr>
          </w:p>
        </w:tc>
        <w:tc>
          <w:tcPr>
            <w:tcW w:w="7020" w:type="dxa"/>
          </w:tcPr>
          <w:p w14:paraId="55467D2E">
            <w:pPr>
              <w:pStyle w:val="69"/>
              <w:spacing w:after="240"/>
              <w:rPr>
                <w:rFonts w:cs="Times New Roman"/>
              </w:rPr>
            </w:pPr>
            <w:r>
              <w:t xml:space="preserve">Bidders that are </w:t>
            </w:r>
            <w:r>
              <w:rPr>
                <w:spacing w:val="-4"/>
              </w:rPr>
              <w:t xml:space="preserve">Government-owned enterprises or institutions in the Employer’s Country may participate only if they can establish that they (i) are legally and financially autonomous (ii) operate under commercial law, and (iii) </w:t>
            </w:r>
            <w:r>
              <w:rPr>
                <w:spacing w:val="-5"/>
              </w:rPr>
              <w:t>are not dependent agencies of the Employer. To be eligible, a government-owned enterprise or institution shall establish to the Bank’s satisfaction, through all relevant documents, including its Charter and other information the Bank may request, that it: (i) is a legal entity separate from the government (ii) does not currently receive substantial subsidies or budget support; (iii) operates like any commercial enterprise, and, inter alia, is not obliged to pass on its surplus to the government, can acquire rights and liabilities, borrow funds and be liable for repayment of its debts, and can be declared bankrupt; and (iv) is not bidding for a contract to be awarded by the department or agency of the government which under their applicable laws or regulations is the reporting or supervisory authority of the enterprise or has the ability to exercise influence or control over the enterprise or institution</w:t>
            </w:r>
            <w:r>
              <w:rPr>
                <w:rFonts w:cs="Times New Roman"/>
              </w:rPr>
              <w:t>.</w:t>
            </w:r>
          </w:p>
        </w:tc>
      </w:tr>
      <w:tr w14:paraId="2AF3E221">
        <w:tblPrEx>
          <w:tblCellMar>
            <w:top w:w="0" w:type="dxa"/>
            <w:left w:w="108" w:type="dxa"/>
            <w:bottom w:w="0" w:type="dxa"/>
            <w:right w:w="108" w:type="dxa"/>
          </w:tblCellMar>
        </w:tblPrEx>
        <w:trPr>
          <w:trHeight w:val="1116" w:hRule="atLeast"/>
          <w:jc w:val="center"/>
        </w:trPr>
        <w:tc>
          <w:tcPr>
            <w:tcW w:w="2430" w:type="dxa"/>
          </w:tcPr>
          <w:p w14:paraId="2447F9AF">
            <w:pPr>
              <w:pStyle w:val="68"/>
              <w:numPr>
                <w:ilvl w:val="0"/>
                <w:numId w:val="0"/>
              </w:numPr>
              <w:spacing w:after="120"/>
              <w:rPr>
                <w:rFonts w:ascii="Times New Roman" w:hAnsi="Times New Roman"/>
                <w:i/>
                <w:sz w:val="24"/>
                <w:szCs w:val="24"/>
              </w:rPr>
            </w:pPr>
          </w:p>
        </w:tc>
        <w:tc>
          <w:tcPr>
            <w:tcW w:w="7020" w:type="dxa"/>
          </w:tcPr>
          <w:p w14:paraId="784284F7">
            <w:pPr>
              <w:pStyle w:val="69"/>
              <w:spacing w:after="240"/>
              <w:rPr>
                <w:rFonts w:cs="Times New Roman"/>
              </w:rPr>
            </w:pPr>
            <w:r>
              <w:t>A Bidder shall not be under suspension from bidding by the Employer as the result of the operation of a Bid–Securing Declaration</w:t>
            </w:r>
            <w:r>
              <w:rPr>
                <w:rFonts w:cs="Times New Roman"/>
              </w:rPr>
              <w:t>.</w:t>
            </w:r>
          </w:p>
        </w:tc>
      </w:tr>
      <w:tr w14:paraId="2ECE1184">
        <w:tblPrEx>
          <w:tblCellMar>
            <w:top w:w="0" w:type="dxa"/>
            <w:left w:w="108" w:type="dxa"/>
            <w:bottom w:w="0" w:type="dxa"/>
            <w:right w:w="108" w:type="dxa"/>
          </w:tblCellMar>
        </w:tblPrEx>
        <w:trPr>
          <w:jc w:val="center"/>
        </w:trPr>
        <w:tc>
          <w:tcPr>
            <w:tcW w:w="2430" w:type="dxa"/>
          </w:tcPr>
          <w:p w14:paraId="6936E321">
            <w:pPr>
              <w:pStyle w:val="68"/>
              <w:numPr>
                <w:ilvl w:val="0"/>
                <w:numId w:val="0"/>
              </w:numPr>
              <w:spacing w:after="120"/>
              <w:rPr>
                <w:rFonts w:ascii="Times New Roman" w:hAnsi="Times New Roman"/>
                <w:i/>
                <w:sz w:val="24"/>
                <w:szCs w:val="24"/>
              </w:rPr>
            </w:pPr>
          </w:p>
        </w:tc>
        <w:tc>
          <w:tcPr>
            <w:tcW w:w="7020" w:type="dxa"/>
          </w:tcPr>
          <w:p w14:paraId="79B44C57">
            <w:pPr>
              <w:pStyle w:val="69"/>
              <w:spacing w:after="240"/>
            </w:pPr>
            <w:r>
              <w:t>Firms and individuals may be ineligible if so indicated in Section V and (a) as a matter of law or official regulations, the Borrower’s country prohibits commercial relations with that country, provided that the Bank is satisfied that such exclusion does not preclude effective competition for the supply of goods or the contracting of works or services required; or (b) by an act of compliance with a decision of the United Nations Security Council taken under Chapter VII of the Charter of the United Nations, the Borrower’s country prohibits any import of goods or contracting of works or services from that country, or any payments to any country, person, or entity in that country.</w:t>
            </w:r>
          </w:p>
          <w:p w14:paraId="14E1A044">
            <w:pPr>
              <w:pStyle w:val="69"/>
              <w:spacing w:after="240"/>
            </w:pPr>
            <w:r>
              <w:t>A Bidder shall provide such evidence of eligibility satisfactory to the Employer, as the Employer shall reasonably request.</w:t>
            </w:r>
          </w:p>
        </w:tc>
      </w:tr>
      <w:tr w14:paraId="18710498">
        <w:tblPrEx>
          <w:tblCellMar>
            <w:top w:w="0" w:type="dxa"/>
            <w:left w:w="108" w:type="dxa"/>
            <w:bottom w:w="0" w:type="dxa"/>
            <w:right w:w="108" w:type="dxa"/>
          </w:tblCellMar>
        </w:tblPrEx>
        <w:trPr>
          <w:cantSplit/>
          <w:jc w:val="center"/>
        </w:trPr>
        <w:tc>
          <w:tcPr>
            <w:tcW w:w="2430" w:type="dxa"/>
          </w:tcPr>
          <w:p w14:paraId="3282D35D">
            <w:pPr>
              <w:pStyle w:val="143"/>
              <w:rPr>
                <w:iCs/>
              </w:rPr>
            </w:pPr>
            <w:bookmarkStart w:id="39" w:name="_Toc438532563"/>
            <w:bookmarkEnd w:id="39"/>
            <w:bookmarkStart w:id="40" w:name="_Toc438532562"/>
            <w:bookmarkEnd w:id="40"/>
            <w:bookmarkStart w:id="41" w:name="_Toc438532565"/>
            <w:bookmarkEnd w:id="41"/>
            <w:bookmarkStart w:id="42" w:name="_Toc438532564"/>
            <w:bookmarkEnd w:id="42"/>
            <w:bookmarkStart w:id="43" w:name="_Toc438532567"/>
            <w:bookmarkEnd w:id="43"/>
            <w:bookmarkStart w:id="44" w:name="_Toc438532561"/>
            <w:bookmarkEnd w:id="44"/>
            <w:bookmarkStart w:id="45" w:name="_Toc438907208"/>
            <w:bookmarkStart w:id="46" w:name="_Toc97371006"/>
            <w:bookmarkStart w:id="47" w:name="_Toc178538527"/>
            <w:bookmarkStart w:id="48" w:name="_Toc438532568"/>
            <w:bookmarkStart w:id="49" w:name="_Toc438438824"/>
            <w:bookmarkStart w:id="50" w:name="_Toc438733968"/>
            <w:bookmarkStart w:id="51" w:name="_Toc139863107"/>
            <w:bookmarkStart w:id="52" w:name="_Toc438907009"/>
            <w:r>
              <w:rPr>
                <w:iCs/>
              </w:rPr>
              <w:t>Eligible Materials, Equipment and Services</w:t>
            </w:r>
            <w:bookmarkEnd w:id="45"/>
            <w:bookmarkEnd w:id="46"/>
            <w:bookmarkEnd w:id="47"/>
            <w:bookmarkEnd w:id="48"/>
            <w:bookmarkEnd w:id="49"/>
            <w:bookmarkEnd w:id="50"/>
            <w:bookmarkEnd w:id="51"/>
            <w:bookmarkEnd w:id="52"/>
          </w:p>
        </w:tc>
        <w:tc>
          <w:tcPr>
            <w:tcW w:w="7020" w:type="dxa"/>
          </w:tcPr>
          <w:p w14:paraId="5FF36B87">
            <w:pPr>
              <w:pStyle w:val="69"/>
              <w:rPr>
                <w:rFonts w:cs="Times New Roman"/>
                <w:iCs/>
              </w:rPr>
            </w:pPr>
            <w:r>
              <w:rPr>
                <w:rFonts w:cs="Times New Roman"/>
                <w:iCs/>
              </w:rPr>
              <w:t xml:space="preserve">The materials, equipment and services to be supplied under the Contract </w:t>
            </w:r>
            <w:r>
              <w:t xml:space="preserve">and financed by the Bank may have their origin in any country subject to the restrictions specified in Section V, Eligible Countries, and all expenditures under the Contract will not contravene such restrictions. </w:t>
            </w:r>
            <w:r>
              <w:rPr>
                <w:rFonts w:cs="Times New Roman"/>
                <w:iCs/>
              </w:rPr>
              <w:t>At the Employer’s request, Bidders may be required to provide evidence of the origin of materials, equipment and services.</w:t>
            </w:r>
          </w:p>
        </w:tc>
      </w:tr>
      <w:tr w14:paraId="598620F0">
        <w:tblPrEx>
          <w:tblCellMar>
            <w:top w:w="0" w:type="dxa"/>
            <w:left w:w="108" w:type="dxa"/>
            <w:bottom w:w="0" w:type="dxa"/>
            <w:right w:w="108" w:type="dxa"/>
          </w:tblCellMar>
        </w:tblPrEx>
        <w:trPr>
          <w:cantSplit/>
          <w:jc w:val="center"/>
        </w:trPr>
        <w:tc>
          <w:tcPr>
            <w:tcW w:w="9450" w:type="dxa"/>
            <w:gridSpan w:val="2"/>
          </w:tcPr>
          <w:p w14:paraId="42C9F9EF">
            <w:pPr>
              <w:pStyle w:val="167"/>
            </w:pPr>
            <w:bookmarkStart w:id="53" w:name="_Toc438532569"/>
            <w:bookmarkEnd w:id="53"/>
            <w:bookmarkStart w:id="54" w:name="_Toc438532572"/>
            <w:bookmarkEnd w:id="54"/>
            <w:bookmarkStart w:id="55" w:name="_Toc438962051"/>
            <w:bookmarkStart w:id="56" w:name="_Toc461939617"/>
            <w:bookmarkStart w:id="57" w:name="_Toc438733969"/>
            <w:bookmarkStart w:id="58" w:name="_Toc438532573"/>
            <w:bookmarkStart w:id="59" w:name="_Toc438438825"/>
            <w:bookmarkStart w:id="60" w:name="_Toc178538528"/>
            <w:bookmarkStart w:id="61" w:name="_Toc97371007"/>
            <w:r>
              <w:t xml:space="preserve">Contents of </w:t>
            </w:r>
            <w:bookmarkEnd w:id="55"/>
            <w:bookmarkEnd w:id="56"/>
            <w:bookmarkEnd w:id="57"/>
            <w:bookmarkEnd w:id="58"/>
            <w:bookmarkEnd w:id="59"/>
            <w:r>
              <w:t>Bidding Document</w:t>
            </w:r>
            <w:bookmarkEnd w:id="60"/>
            <w:bookmarkEnd w:id="61"/>
          </w:p>
        </w:tc>
      </w:tr>
      <w:tr w14:paraId="7C57658B">
        <w:tblPrEx>
          <w:tblCellMar>
            <w:top w:w="0" w:type="dxa"/>
            <w:left w:w="108" w:type="dxa"/>
            <w:bottom w:w="0" w:type="dxa"/>
            <w:right w:w="108" w:type="dxa"/>
          </w:tblCellMar>
        </w:tblPrEx>
        <w:trPr>
          <w:jc w:val="center"/>
        </w:trPr>
        <w:tc>
          <w:tcPr>
            <w:tcW w:w="2430" w:type="dxa"/>
          </w:tcPr>
          <w:p w14:paraId="09AA6C3C">
            <w:pPr>
              <w:pStyle w:val="143"/>
            </w:pPr>
            <w:bookmarkStart w:id="62" w:name="_Toc438532574"/>
            <w:bookmarkStart w:id="63" w:name="_Toc438438826"/>
            <w:bookmarkStart w:id="64" w:name="_Toc438907010"/>
            <w:bookmarkStart w:id="65" w:name="_Toc438733970"/>
            <w:bookmarkStart w:id="66" w:name="_Toc438907209"/>
            <w:bookmarkStart w:id="67" w:name="_Toc178538529"/>
            <w:bookmarkStart w:id="68" w:name="_Toc97371008"/>
            <w:bookmarkStart w:id="69" w:name="_Toc139863108"/>
            <w:r>
              <w:t xml:space="preserve">Sections of </w:t>
            </w:r>
            <w:bookmarkEnd w:id="62"/>
            <w:bookmarkEnd w:id="63"/>
            <w:bookmarkEnd w:id="64"/>
            <w:bookmarkEnd w:id="65"/>
            <w:bookmarkEnd w:id="66"/>
            <w:r>
              <w:t>Bidding Document</w:t>
            </w:r>
            <w:bookmarkEnd w:id="67"/>
            <w:bookmarkEnd w:id="68"/>
            <w:bookmarkEnd w:id="69"/>
          </w:p>
        </w:tc>
        <w:tc>
          <w:tcPr>
            <w:tcW w:w="7020" w:type="dxa"/>
          </w:tcPr>
          <w:p w14:paraId="6A06F37D">
            <w:pPr>
              <w:pStyle w:val="69"/>
              <w:rPr>
                <w:rFonts w:cs="Times New Roman"/>
              </w:rPr>
            </w:pPr>
            <w:r>
              <w:rPr>
                <w:rFonts w:cs="Times New Roman"/>
              </w:rPr>
              <w:t xml:space="preserve">The Bidding Document consist of Parts </w:t>
            </w:r>
            <w:r>
              <w:rPr>
                <w:rStyle w:val="145"/>
                <w:rFonts w:cs="Times New Roman"/>
                <w:i w:val="0"/>
              </w:rPr>
              <w:t>1, 2</w:t>
            </w:r>
            <w:r>
              <w:rPr>
                <w:rFonts w:cs="Times New Roman"/>
                <w:i/>
              </w:rPr>
              <w:t xml:space="preserve">, </w:t>
            </w:r>
            <w:r>
              <w:rPr>
                <w:rFonts w:cs="Times New Roman"/>
              </w:rPr>
              <w:t>and</w:t>
            </w:r>
            <w:r>
              <w:rPr>
                <w:rFonts w:cs="Times New Roman"/>
                <w:i/>
              </w:rPr>
              <w:t xml:space="preserve"> </w:t>
            </w:r>
            <w:r>
              <w:rPr>
                <w:rStyle w:val="145"/>
                <w:rFonts w:cs="Times New Roman"/>
                <w:i w:val="0"/>
              </w:rPr>
              <w:t>3</w:t>
            </w:r>
            <w:r>
              <w:rPr>
                <w:rFonts w:cs="Times New Roman"/>
                <w:i/>
              </w:rPr>
              <w:t>,</w:t>
            </w:r>
            <w:r>
              <w:rPr>
                <w:rFonts w:cs="Times New Roman"/>
              </w:rPr>
              <w:t xml:space="preserve"> which include all the Sections specified below, and which should be read in conjunction with any Addenda issued in accordance with ITB 8.</w:t>
            </w:r>
          </w:p>
          <w:p w14:paraId="27B7FD5F">
            <w:pPr>
              <w:tabs>
                <w:tab w:val="left" w:pos="1422"/>
              </w:tabs>
              <w:ind w:left="522"/>
              <w:rPr>
                <w:b/>
              </w:rPr>
            </w:pPr>
            <w:r>
              <w:rPr>
                <w:b/>
              </w:rPr>
              <w:t>PART 1</w:t>
            </w:r>
            <w:r>
              <w:rPr>
                <w:b/>
              </w:rPr>
              <w:tab/>
            </w:r>
            <w:r>
              <w:rPr>
                <w:b/>
              </w:rPr>
              <w:t>Bidding Procedures</w:t>
            </w:r>
          </w:p>
          <w:p w14:paraId="587FDBC2">
            <w:pPr>
              <w:ind w:left="2457" w:hanging="1035"/>
            </w:pPr>
            <w:r>
              <w:t>Section I - Instructions to Bidders (ITB)</w:t>
            </w:r>
          </w:p>
          <w:p w14:paraId="3C1E8ECC">
            <w:pPr>
              <w:ind w:left="2457" w:hanging="1035"/>
            </w:pPr>
            <w:r>
              <w:t>Section II - Bid Data Sheet (BDS)</w:t>
            </w:r>
          </w:p>
          <w:p w14:paraId="7B590278">
            <w:pPr>
              <w:ind w:left="2457" w:hanging="1035"/>
            </w:pPr>
            <w:r>
              <w:t xml:space="preserve">Section III - Evaluation and Qualification Criteria </w:t>
            </w:r>
          </w:p>
          <w:p w14:paraId="20C0B80C">
            <w:pPr>
              <w:ind w:left="2457" w:hanging="1035"/>
            </w:pPr>
            <w:r>
              <w:t xml:space="preserve">Section IV - Bidding Forms </w:t>
            </w:r>
          </w:p>
          <w:p w14:paraId="1C6160FB">
            <w:pPr>
              <w:spacing w:after="60"/>
              <w:ind w:left="2457" w:hanging="1035"/>
            </w:pPr>
            <w:r>
              <w:t xml:space="preserve">Section V - Eligible Countries </w:t>
            </w:r>
          </w:p>
          <w:p w14:paraId="5ED22EA2">
            <w:pPr>
              <w:spacing w:after="60"/>
              <w:ind w:left="2457" w:hanging="1035"/>
            </w:pPr>
            <w:r>
              <w:t xml:space="preserve">Section VI – Bank Policy-Corrupt and Fraudulent Practices </w:t>
            </w:r>
          </w:p>
          <w:p w14:paraId="4053F88F">
            <w:pPr>
              <w:tabs>
                <w:tab w:val="left" w:pos="1422"/>
              </w:tabs>
              <w:ind w:left="522"/>
              <w:rPr>
                <w:iCs/>
              </w:rPr>
            </w:pPr>
            <w:r>
              <w:rPr>
                <w:b/>
              </w:rPr>
              <w:t>PART 2</w:t>
            </w:r>
            <w:r>
              <w:rPr>
                <w:b/>
              </w:rPr>
              <w:tab/>
            </w:r>
            <w:r>
              <w:rPr>
                <w:b/>
              </w:rPr>
              <w:t>Works Requirements</w:t>
            </w:r>
          </w:p>
          <w:p w14:paraId="70735B84">
            <w:pPr>
              <w:spacing w:after="60"/>
              <w:ind w:left="2457" w:hanging="1035"/>
            </w:pPr>
            <w:r>
              <w:t xml:space="preserve">Section VII - </w:t>
            </w:r>
            <w:r>
              <w:rPr>
                <w:bCs/>
              </w:rPr>
              <w:t>Works Requirements</w:t>
            </w:r>
            <w:r>
              <w:t xml:space="preserve"> </w:t>
            </w:r>
          </w:p>
          <w:p w14:paraId="148AC16E">
            <w:pPr>
              <w:tabs>
                <w:tab w:val="left" w:pos="1422"/>
              </w:tabs>
              <w:ind w:left="522"/>
              <w:rPr>
                <w:b/>
              </w:rPr>
            </w:pPr>
            <w:r>
              <w:rPr>
                <w:b/>
              </w:rPr>
              <w:t>PART 3</w:t>
            </w:r>
            <w:r>
              <w:rPr>
                <w:b/>
              </w:rPr>
              <w:tab/>
            </w:r>
            <w:r>
              <w:rPr>
                <w:b/>
              </w:rPr>
              <w:t>Conditions of Contract and Contract Forms</w:t>
            </w:r>
          </w:p>
          <w:p w14:paraId="2A2B50C9">
            <w:pPr>
              <w:ind w:left="2457" w:hanging="1035"/>
            </w:pPr>
            <w:r>
              <w:t>Section VIII - General Conditions of Contract (GCC)</w:t>
            </w:r>
          </w:p>
          <w:p w14:paraId="5AC6EEDB">
            <w:pPr>
              <w:ind w:left="2457" w:hanging="1035"/>
            </w:pPr>
            <w:r>
              <w:t>Section IX - Particular Conditions of Contract (PCC)</w:t>
            </w:r>
          </w:p>
          <w:p w14:paraId="1CC63E79">
            <w:pPr>
              <w:spacing w:after="60"/>
              <w:ind w:left="2463" w:hanging="1037"/>
            </w:pPr>
            <w:r>
              <w:t xml:space="preserve">Section X - Contract Forms </w:t>
            </w:r>
          </w:p>
        </w:tc>
      </w:tr>
      <w:tr w14:paraId="510EE803">
        <w:tblPrEx>
          <w:tblCellMar>
            <w:top w:w="0" w:type="dxa"/>
            <w:left w:w="108" w:type="dxa"/>
            <w:bottom w:w="0" w:type="dxa"/>
            <w:right w:w="108" w:type="dxa"/>
          </w:tblCellMar>
        </w:tblPrEx>
        <w:trPr>
          <w:jc w:val="center"/>
        </w:trPr>
        <w:tc>
          <w:tcPr>
            <w:tcW w:w="2430" w:type="dxa"/>
          </w:tcPr>
          <w:p w14:paraId="3FDF918A">
            <w:pPr>
              <w:pStyle w:val="68"/>
              <w:numPr>
                <w:ilvl w:val="0"/>
                <w:numId w:val="0"/>
              </w:numPr>
              <w:spacing w:after="120"/>
              <w:rPr>
                <w:rFonts w:ascii="Times New Roman" w:hAnsi="Times New Roman"/>
                <w:sz w:val="24"/>
                <w:szCs w:val="24"/>
              </w:rPr>
            </w:pPr>
          </w:p>
        </w:tc>
        <w:tc>
          <w:tcPr>
            <w:tcW w:w="7020" w:type="dxa"/>
          </w:tcPr>
          <w:p w14:paraId="7EDF2156">
            <w:pPr>
              <w:pStyle w:val="69"/>
              <w:rPr>
                <w:rFonts w:cs="Times New Roman"/>
              </w:rPr>
            </w:pPr>
            <w:r>
              <w:rPr>
                <w:rFonts w:cs="Times New Roman"/>
              </w:rPr>
              <w:t xml:space="preserve">The Invitation for Bids issued by the </w:t>
            </w:r>
            <w:r>
              <w:rPr>
                <w:rStyle w:val="145"/>
                <w:rFonts w:cs="Times New Roman"/>
                <w:i w:val="0"/>
              </w:rPr>
              <w:t>Employer</w:t>
            </w:r>
            <w:r>
              <w:rPr>
                <w:rFonts w:cs="Times New Roman"/>
              </w:rPr>
              <w:t xml:space="preserve"> is not part of the Bidding Document.</w:t>
            </w:r>
          </w:p>
        </w:tc>
      </w:tr>
      <w:tr w14:paraId="2DE2524F">
        <w:tblPrEx>
          <w:tblCellMar>
            <w:top w:w="0" w:type="dxa"/>
            <w:left w:w="108" w:type="dxa"/>
            <w:bottom w:w="0" w:type="dxa"/>
            <w:right w:w="108" w:type="dxa"/>
          </w:tblCellMar>
        </w:tblPrEx>
        <w:trPr>
          <w:jc w:val="center"/>
        </w:trPr>
        <w:tc>
          <w:tcPr>
            <w:tcW w:w="2430" w:type="dxa"/>
          </w:tcPr>
          <w:p w14:paraId="43E79A06">
            <w:pPr>
              <w:pStyle w:val="68"/>
              <w:numPr>
                <w:ilvl w:val="0"/>
                <w:numId w:val="0"/>
              </w:numPr>
              <w:spacing w:after="120"/>
              <w:rPr>
                <w:rFonts w:ascii="Times New Roman" w:hAnsi="Times New Roman"/>
                <w:sz w:val="24"/>
                <w:szCs w:val="24"/>
              </w:rPr>
            </w:pPr>
          </w:p>
        </w:tc>
        <w:tc>
          <w:tcPr>
            <w:tcW w:w="7020" w:type="dxa"/>
          </w:tcPr>
          <w:p w14:paraId="270CB757">
            <w:pPr>
              <w:pStyle w:val="69"/>
              <w:rPr>
                <w:rFonts w:cs="Times New Roman"/>
              </w:rPr>
            </w:pPr>
            <w:r>
              <w:t>Unless obtained directly from the Employer, the Employer is not responsible for the completeness of the Bidding Documents, responses to requests for clarification, the minutes of the pre-Bid meeting (if any), or Addenda to the Bidding Documents in accordance with ITB 8. In case of any contradiction, documents obtained directly from the Employer shall prevail</w:t>
            </w:r>
            <w:r>
              <w:rPr>
                <w:rFonts w:cs="Times New Roman"/>
              </w:rPr>
              <w:t>.</w:t>
            </w:r>
          </w:p>
        </w:tc>
      </w:tr>
      <w:tr w14:paraId="2F0D62FB">
        <w:tblPrEx>
          <w:tblCellMar>
            <w:top w:w="0" w:type="dxa"/>
            <w:left w:w="108" w:type="dxa"/>
            <w:bottom w:w="0" w:type="dxa"/>
            <w:right w:w="108" w:type="dxa"/>
          </w:tblCellMar>
        </w:tblPrEx>
        <w:trPr>
          <w:jc w:val="center"/>
        </w:trPr>
        <w:tc>
          <w:tcPr>
            <w:tcW w:w="2430" w:type="dxa"/>
          </w:tcPr>
          <w:p w14:paraId="5E7C6209">
            <w:pPr>
              <w:pStyle w:val="68"/>
              <w:numPr>
                <w:ilvl w:val="0"/>
                <w:numId w:val="0"/>
              </w:numPr>
              <w:spacing w:after="120"/>
              <w:rPr>
                <w:rFonts w:ascii="Times New Roman" w:hAnsi="Times New Roman"/>
                <w:sz w:val="24"/>
                <w:szCs w:val="24"/>
              </w:rPr>
            </w:pPr>
          </w:p>
        </w:tc>
        <w:tc>
          <w:tcPr>
            <w:tcW w:w="7020" w:type="dxa"/>
          </w:tcPr>
          <w:p w14:paraId="64C9DC18">
            <w:pPr>
              <w:pStyle w:val="69"/>
              <w:rPr>
                <w:rFonts w:cs="Times New Roman"/>
              </w:rPr>
            </w:pPr>
            <w:r>
              <w:t>The Bidder is expected to examine all instructions, forms, terms, and specifications in the Bidding Documents</w:t>
            </w:r>
            <w:r>
              <w:rPr>
                <w:spacing w:val="-2"/>
              </w:rPr>
              <w:t xml:space="preserve"> </w:t>
            </w:r>
            <w:r>
              <w:t>and to furnish with its bid all information and documentation as is required by the Bidding Documents</w:t>
            </w:r>
            <w:r>
              <w:rPr>
                <w:rFonts w:cs="Times New Roman"/>
              </w:rPr>
              <w:t>.</w:t>
            </w:r>
          </w:p>
        </w:tc>
      </w:tr>
      <w:tr w14:paraId="19C3485C">
        <w:tblPrEx>
          <w:tblCellMar>
            <w:top w:w="0" w:type="dxa"/>
            <w:left w:w="108" w:type="dxa"/>
            <w:bottom w:w="0" w:type="dxa"/>
            <w:right w:w="108" w:type="dxa"/>
          </w:tblCellMar>
        </w:tblPrEx>
        <w:trPr>
          <w:cantSplit/>
          <w:jc w:val="center"/>
        </w:trPr>
        <w:tc>
          <w:tcPr>
            <w:tcW w:w="2430" w:type="dxa"/>
          </w:tcPr>
          <w:p w14:paraId="2F9AFDFE">
            <w:pPr>
              <w:pStyle w:val="143"/>
            </w:pPr>
            <w:bookmarkStart w:id="70" w:name="_Toc438907011"/>
            <w:bookmarkStart w:id="71" w:name="_Toc438907210"/>
            <w:bookmarkStart w:id="72" w:name="_Toc438733971"/>
            <w:bookmarkStart w:id="73" w:name="_Toc438438827"/>
            <w:bookmarkStart w:id="74" w:name="_Toc438532575"/>
            <w:bookmarkStart w:id="75" w:name="_Toc97371009"/>
            <w:bookmarkStart w:id="76" w:name="_Toc178538530"/>
            <w:bookmarkStart w:id="77" w:name="_Toc139863109"/>
            <w:r>
              <w:t>Clarification of Bidding Document</w:t>
            </w:r>
            <w:bookmarkEnd w:id="70"/>
            <w:bookmarkEnd w:id="71"/>
            <w:bookmarkEnd w:id="72"/>
            <w:bookmarkEnd w:id="73"/>
            <w:bookmarkEnd w:id="74"/>
            <w:r>
              <w:t>, Site Visit, Pre-Bid Meeting</w:t>
            </w:r>
            <w:bookmarkEnd w:id="75"/>
            <w:bookmarkEnd w:id="76"/>
            <w:bookmarkEnd w:id="77"/>
          </w:p>
        </w:tc>
        <w:tc>
          <w:tcPr>
            <w:tcW w:w="7020" w:type="dxa"/>
          </w:tcPr>
          <w:p w14:paraId="680EC5B3">
            <w:pPr>
              <w:pStyle w:val="69"/>
              <w:rPr>
                <w:rFonts w:cs="Times New Roman"/>
              </w:rPr>
            </w:pPr>
            <w:r>
              <w:rPr>
                <w:rFonts w:cs="Times New Roman"/>
              </w:rPr>
              <w:t xml:space="preserve">A Bidder requiring any clarification of the Bidding Document shall contact the </w:t>
            </w:r>
            <w:r>
              <w:rPr>
                <w:rStyle w:val="145"/>
                <w:rFonts w:cs="Times New Roman"/>
                <w:i w:val="0"/>
              </w:rPr>
              <w:t>Employer</w:t>
            </w:r>
            <w:r>
              <w:rPr>
                <w:rFonts w:cs="Times New Roman"/>
              </w:rPr>
              <w:t xml:space="preserve"> in writing at the </w:t>
            </w:r>
            <w:r>
              <w:rPr>
                <w:rStyle w:val="145"/>
                <w:rFonts w:cs="Times New Roman"/>
                <w:i w:val="0"/>
              </w:rPr>
              <w:t>Employer</w:t>
            </w:r>
            <w:r>
              <w:rPr>
                <w:rFonts w:cs="Times New Roman"/>
              </w:rPr>
              <w:t xml:space="preserve">’s address </w:t>
            </w:r>
            <w:r>
              <w:rPr>
                <w:rFonts w:cs="Times New Roman"/>
                <w:b/>
              </w:rPr>
              <w:t>specified in the BDS</w:t>
            </w:r>
            <w:r>
              <w:rPr>
                <w:rFonts w:cs="Times New Roman"/>
              </w:rPr>
              <w:t xml:space="preserve"> or raise its inquiries during the pre-bid meeting if provided for in accordance with ITB 7.4. The </w:t>
            </w:r>
            <w:r>
              <w:rPr>
                <w:rStyle w:val="145"/>
                <w:rFonts w:cs="Times New Roman"/>
                <w:i w:val="0"/>
              </w:rPr>
              <w:t>Employer</w:t>
            </w:r>
            <w:r>
              <w:rPr>
                <w:rFonts w:cs="Times New Roman"/>
              </w:rPr>
              <w:t xml:space="preserve"> will respond in writing to any request for clarification, provided that such request is received prior to the deadline for submission of bids within a period </w:t>
            </w:r>
            <w:r>
              <w:rPr>
                <w:rFonts w:cs="Times New Roman"/>
                <w:b/>
              </w:rPr>
              <w:t>specified in the BDS</w:t>
            </w:r>
            <w:r>
              <w:rPr>
                <w:rFonts w:cs="Times New Roman"/>
              </w:rPr>
              <w:t xml:space="preserve">.  The </w:t>
            </w:r>
            <w:r>
              <w:rPr>
                <w:rStyle w:val="145"/>
                <w:rFonts w:cs="Times New Roman"/>
                <w:i w:val="0"/>
              </w:rPr>
              <w:t>Employer</w:t>
            </w:r>
            <w:r>
              <w:rPr>
                <w:rFonts w:cs="Times New Roman"/>
              </w:rPr>
              <w:t xml:space="preserve"> shall forward copies of its response to all Bidders who have acquired the Bidding Documents in accordance with ITB 6.3, including a description of the inquiry but without identifying its source. </w:t>
            </w:r>
            <w:r>
              <w:rPr>
                <w:b/>
              </w:rPr>
              <w:t>If so specified in the BDS</w:t>
            </w:r>
            <w:r>
              <w:t xml:space="preserve">, the Employer shall also promptly publish its response at the web page identified in the BDS. Should the clarification result in changes to the essential elements of the Bidding Documents, the Employer shall amend the Bidding Documents </w:t>
            </w:r>
            <w:r>
              <w:rPr>
                <w:rFonts w:cs="Times New Roman"/>
              </w:rPr>
              <w:t>following the procedure under ITB 8 and ITB 22.2.</w:t>
            </w:r>
          </w:p>
        </w:tc>
      </w:tr>
      <w:tr w14:paraId="1308BD67">
        <w:tblPrEx>
          <w:tblCellMar>
            <w:top w:w="0" w:type="dxa"/>
            <w:left w:w="108" w:type="dxa"/>
            <w:bottom w:w="0" w:type="dxa"/>
            <w:right w:w="108" w:type="dxa"/>
          </w:tblCellMar>
        </w:tblPrEx>
        <w:trPr>
          <w:jc w:val="center"/>
        </w:trPr>
        <w:tc>
          <w:tcPr>
            <w:tcW w:w="2430" w:type="dxa"/>
          </w:tcPr>
          <w:p w14:paraId="73BBAD36">
            <w:pPr>
              <w:pStyle w:val="68"/>
              <w:numPr>
                <w:ilvl w:val="0"/>
                <w:numId w:val="0"/>
              </w:numPr>
              <w:spacing w:before="180" w:after="180"/>
              <w:rPr>
                <w:rFonts w:ascii="Times New Roman" w:hAnsi="Times New Roman"/>
                <w:sz w:val="24"/>
                <w:szCs w:val="24"/>
              </w:rPr>
            </w:pPr>
          </w:p>
        </w:tc>
        <w:tc>
          <w:tcPr>
            <w:tcW w:w="7020" w:type="dxa"/>
          </w:tcPr>
          <w:p w14:paraId="01F0EEE0">
            <w:pPr>
              <w:pStyle w:val="146"/>
            </w:pPr>
            <w:r>
              <w:t>The Bidder is advised to visit and examine the Site of Works and its surroundings and obtain for itself on its own responsibility all information that may be necessary for preparing the bid and entering into a contract for construction of the Works. The costs of visiting the Site shall be at the Bidder’s own expense.</w:t>
            </w:r>
          </w:p>
        </w:tc>
      </w:tr>
      <w:tr w14:paraId="3496510D">
        <w:tblPrEx>
          <w:tblCellMar>
            <w:top w:w="0" w:type="dxa"/>
            <w:left w:w="108" w:type="dxa"/>
            <w:bottom w:w="0" w:type="dxa"/>
            <w:right w:w="108" w:type="dxa"/>
          </w:tblCellMar>
        </w:tblPrEx>
        <w:trPr>
          <w:jc w:val="center"/>
        </w:trPr>
        <w:tc>
          <w:tcPr>
            <w:tcW w:w="2430" w:type="dxa"/>
          </w:tcPr>
          <w:p w14:paraId="5156CA79">
            <w:pPr>
              <w:pStyle w:val="68"/>
              <w:numPr>
                <w:ilvl w:val="0"/>
                <w:numId w:val="0"/>
              </w:numPr>
              <w:spacing w:before="180" w:after="180"/>
              <w:rPr>
                <w:rFonts w:ascii="Times New Roman" w:hAnsi="Times New Roman"/>
                <w:sz w:val="24"/>
                <w:szCs w:val="24"/>
              </w:rPr>
            </w:pPr>
          </w:p>
        </w:tc>
        <w:tc>
          <w:tcPr>
            <w:tcW w:w="7020" w:type="dxa"/>
          </w:tcPr>
          <w:p w14:paraId="09A25B54">
            <w:pPr>
              <w:pStyle w:val="69"/>
              <w:rPr>
                <w:rFonts w:cs="Times New Roman"/>
              </w:rPr>
            </w:pPr>
            <w:r>
              <w:rPr>
                <w:rFonts w:cs="Times New Roman"/>
              </w:rPr>
              <w:t xml:space="preserve">The Bidder and any of its personnel or agents will be granted permission by the </w:t>
            </w:r>
            <w:r>
              <w:rPr>
                <w:rStyle w:val="145"/>
                <w:rFonts w:cs="Times New Roman"/>
                <w:i w:val="0"/>
              </w:rPr>
              <w:t>Employer</w:t>
            </w:r>
            <w:r>
              <w:rPr>
                <w:rFonts w:cs="Times New Roman"/>
              </w:rPr>
              <w:t xml:space="preserve"> to enter upon its premises and lands for the purpose of such visit, but only upon the express condition that the Bidder, its personnel, and agents will release and indemnify the </w:t>
            </w:r>
            <w:r>
              <w:rPr>
                <w:rStyle w:val="145"/>
                <w:rFonts w:cs="Times New Roman"/>
                <w:i w:val="0"/>
              </w:rPr>
              <w:t>Employer</w:t>
            </w:r>
            <w:r>
              <w:rPr>
                <w:rFonts w:cs="Times New Roman"/>
              </w:rPr>
              <w:t xml:space="preserve"> and its personnel and agents from and against all liability in respect thereof, and will be responsible for death or personal injury, loss of or damage to property, and any other loss, damage, costs, and expenses incurred as a result of the inspection.</w:t>
            </w:r>
          </w:p>
        </w:tc>
      </w:tr>
      <w:tr w14:paraId="36643312">
        <w:tblPrEx>
          <w:tblCellMar>
            <w:top w:w="0" w:type="dxa"/>
            <w:left w:w="108" w:type="dxa"/>
            <w:bottom w:w="0" w:type="dxa"/>
            <w:right w:w="108" w:type="dxa"/>
          </w:tblCellMar>
        </w:tblPrEx>
        <w:trPr>
          <w:jc w:val="center"/>
        </w:trPr>
        <w:tc>
          <w:tcPr>
            <w:tcW w:w="2430" w:type="dxa"/>
          </w:tcPr>
          <w:p w14:paraId="05B027A8">
            <w:pPr>
              <w:pStyle w:val="68"/>
              <w:numPr>
                <w:ilvl w:val="0"/>
                <w:numId w:val="0"/>
              </w:numPr>
              <w:spacing w:after="120"/>
              <w:rPr>
                <w:rFonts w:ascii="Times New Roman" w:hAnsi="Times New Roman"/>
                <w:sz w:val="24"/>
                <w:szCs w:val="24"/>
              </w:rPr>
            </w:pPr>
            <w:r>
              <w:rPr>
                <w:rFonts w:ascii="Times New Roman" w:hAnsi="Times New Roman"/>
                <w:sz w:val="24"/>
                <w:szCs w:val="24"/>
              </w:rPr>
              <w:t xml:space="preserve"> </w:t>
            </w:r>
          </w:p>
        </w:tc>
        <w:tc>
          <w:tcPr>
            <w:tcW w:w="7020" w:type="dxa"/>
          </w:tcPr>
          <w:p w14:paraId="51EE19E4">
            <w:pPr>
              <w:pStyle w:val="69"/>
              <w:rPr>
                <w:rFonts w:cs="Times New Roman"/>
              </w:rPr>
            </w:pPr>
            <w:r>
              <w:rPr>
                <w:rFonts w:cs="Times New Roman"/>
                <w:b/>
              </w:rPr>
              <w:t>If so specified in the BDS</w:t>
            </w:r>
            <w:r>
              <w:rPr>
                <w:rFonts w:cs="Times New Roman"/>
              </w:rPr>
              <w:t>, the Bidder’s designated representative is invited to attend a pre-bid meeting. The purpose of the meeting will be to clarify issues and to answer questions on any matter that may be raised at that stage.</w:t>
            </w:r>
          </w:p>
        </w:tc>
      </w:tr>
      <w:tr w14:paraId="242E88AE">
        <w:tblPrEx>
          <w:tblCellMar>
            <w:top w:w="0" w:type="dxa"/>
            <w:left w:w="108" w:type="dxa"/>
            <w:bottom w:w="0" w:type="dxa"/>
            <w:right w:w="108" w:type="dxa"/>
          </w:tblCellMar>
        </w:tblPrEx>
        <w:trPr>
          <w:jc w:val="center"/>
        </w:trPr>
        <w:tc>
          <w:tcPr>
            <w:tcW w:w="2430" w:type="dxa"/>
          </w:tcPr>
          <w:p w14:paraId="3D07FAF4">
            <w:pPr>
              <w:pStyle w:val="68"/>
              <w:numPr>
                <w:ilvl w:val="0"/>
                <w:numId w:val="0"/>
              </w:numPr>
              <w:spacing w:after="120"/>
              <w:rPr>
                <w:rFonts w:ascii="Times New Roman" w:hAnsi="Times New Roman"/>
                <w:sz w:val="24"/>
                <w:szCs w:val="24"/>
              </w:rPr>
            </w:pPr>
          </w:p>
        </w:tc>
        <w:tc>
          <w:tcPr>
            <w:tcW w:w="7020" w:type="dxa"/>
          </w:tcPr>
          <w:p w14:paraId="76332C11">
            <w:pPr>
              <w:pStyle w:val="69"/>
              <w:rPr>
                <w:rFonts w:cs="Times New Roman"/>
              </w:rPr>
            </w:pPr>
            <w:r>
              <w:rPr>
                <w:rFonts w:cs="Times New Roman"/>
              </w:rPr>
              <w:t xml:space="preserve">The Bidder is requested, to submit any questions in writing, to reach the </w:t>
            </w:r>
            <w:r>
              <w:rPr>
                <w:rStyle w:val="145"/>
                <w:rFonts w:cs="Times New Roman"/>
                <w:i w:val="0"/>
              </w:rPr>
              <w:t>Employer</w:t>
            </w:r>
            <w:r>
              <w:rPr>
                <w:rFonts w:cs="Times New Roman"/>
              </w:rPr>
              <w:t xml:space="preserve"> not later than one week before the meeting.</w:t>
            </w:r>
          </w:p>
        </w:tc>
      </w:tr>
      <w:tr w14:paraId="550C5832">
        <w:tblPrEx>
          <w:tblCellMar>
            <w:top w:w="0" w:type="dxa"/>
            <w:left w:w="108" w:type="dxa"/>
            <w:bottom w:w="0" w:type="dxa"/>
            <w:right w:w="108" w:type="dxa"/>
          </w:tblCellMar>
        </w:tblPrEx>
        <w:trPr>
          <w:jc w:val="center"/>
        </w:trPr>
        <w:tc>
          <w:tcPr>
            <w:tcW w:w="2430" w:type="dxa"/>
          </w:tcPr>
          <w:p w14:paraId="283E4278">
            <w:pPr>
              <w:pStyle w:val="68"/>
              <w:numPr>
                <w:ilvl w:val="0"/>
                <w:numId w:val="0"/>
              </w:numPr>
              <w:spacing w:after="120"/>
              <w:rPr>
                <w:rFonts w:ascii="Times New Roman" w:hAnsi="Times New Roman"/>
                <w:sz w:val="24"/>
                <w:szCs w:val="24"/>
              </w:rPr>
            </w:pPr>
          </w:p>
        </w:tc>
        <w:tc>
          <w:tcPr>
            <w:tcW w:w="7020" w:type="dxa"/>
          </w:tcPr>
          <w:p w14:paraId="7788C577">
            <w:pPr>
              <w:pStyle w:val="69"/>
              <w:rPr>
                <w:rFonts w:cs="Times New Roman"/>
              </w:rPr>
            </w:pPr>
            <w:r>
              <w:rPr>
                <w:rFonts w:cs="Times New Roman"/>
              </w:rPr>
              <w:t xml:space="preserve">Minutes of the pre-bid meeting, if applicable, including the text of the questions asked by Bidders, without identifying the source, and the responses given, together with any responses prepared after the meeting, will be transmitted promptly to all Bidders who have acquired the Bidding Documents in accordance with ITB 6.3. Any modification to the Bidding Documents that may become necessary as a result of the pre-bid meeting shall be made by the </w:t>
            </w:r>
            <w:r>
              <w:rPr>
                <w:rStyle w:val="145"/>
                <w:rFonts w:cs="Times New Roman"/>
                <w:i w:val="0"/>
              </w:rPr>
              <w:t>Employer</w:t>
            </w:r>
            <w:r>
              <w:rPr>
                <w:rFonts w:cs="Times New Roman"/>
              </w:rPr>
              <w:t xml:space="preserve"> exclusively through the issue of an addendum pursuant to ITB 8 and not through the minutes of the pre-bid meeting. Nonattendance at the pre-bid meeting will not be a cause for disqualification of a Bidder.</w:t>
            </w:r>
          </w:p>
        </w:tc>
      </w:tr>
      <w:tr w14:paraId="4C91D722">
        <w:tblPrEx>
          <w:tblCellMar>
            <w:top w:w="0" w:type="dxa"/>
            <w:left w:w="108" w:type="dxa"/>
            <w:bottom w:w="0" w:type="dxa"/>
            <w:right w:w="108" w:type="dxa"/>
          </w:tblCellMar>
        </w:tblPrEx>
        <w:trPr>
          <w:jc w:val="center"/>
        </w:trPr>
        <w:tc>
          <w:tcPr>
            <w:tcW w:w="2430" w:type="dxa"/>
          </w:tcPr>
          <w:p w14:paraId="55A05AA4">
            <w:pPr>
              <w:pStyle w:val="143"/>
            </w:pPr>
            <w:bookmarkStart w:id="78" w:name="_Toc139863110"/>
            <w:bookmarkStart w:id="79" w:name="_Toc438733972"/>
            <w:bookmarkStart w:id="80" w:name="_Toc438907211"/>
            <w:bookmarkStart w:id="81" w:name="_Toc97371010"/>
            <w:bookmarkStart w:id="82" w:name="_Toc438438828"/>
            <w:bookmarkStart w:id="83" w:name="_Toc178538531"/>
            <w:bookmarkStart w:id="84" w:name="_Toc438907012"/>
            <w:bookmarkStart w:id="85" w:name="_Toc438532576"/>
            <w:r>
              <w:t>Amendment of Bidding Document</w:t>
            </w:r>
            <w:bookmarkEnd w:id="78"/>
            <w:bookmarkEnd w:id="79"/>
            <w:bookmarkEnd w:id="80"/>
            <w:bookmarkEnd w:id="81"/>
            <w:bookmarkEnd w:id="82"/>
            <w:bookmarkEnd w:id="83"/>
            <w:bookmarkEnd w:id="84"/>
            <w:bookmarkEnd w:id="85"/>
          </w:p>
        </w:tc>
        <w:tc>
          <w:tcPr>
            <w:tcW w:w="7020" w:type="dxa"/>
          </w:tcPr>
          <w:p w14:paraId="03C235AD">
            <w:pPr>
              <w:pStyle w:val="69"/>
              <w:rPr>
                <w:rFonts w:cs="Times New Roman"/>
              </w:rPr>
            </w:pPr>
            <w:r>
              <w:rPr>
                <w:rFonts w:cs="Times New Roman"/>
              </w:rPr>
              <w:t xml:space="preserve">At any time prior to the deadline for submission of bids, the </w:t>
            </w:r>
            <w:r>
              <w:rPr>
                <w:rStyle w:val="145"/>
                <w:rFonts w:cs="Times New Roman"/>
                <w:i w:val="0"/>
              </w:rPr>
              <w:t>Employer</w:t>
            </w:r>
            <w:r>
              <w:rPr>
                <w:rFonts w:cs="Times New Roman"/>
              </w:rPr>
              <w:t xml:space="preserve"> may amend the Bidding Documents by issuing addenda. </w:t>
            </w:r>
          </w:p>
        </w:tc>
      </w:tr>
      <w:tr w14:paraId="27EDDEA6">
        <w:tblPrEx>
          <w:tblCellMar>
            <w:top w:w="0" w:type="dxa"/>
            <w:left w:w="108" w:type="dxa"/>
            <w:bottom w:w="0" w:type="dxa"/>
            <w:right w:w="108" w:type="dxa"/>
          </w:tblCellMar>
        </w:tblPrEx>
        <w:trPr>
          <w:jc w:val="center"/>
        </w:trPr>
        <w:tc>
          <w:tcPr>
            <w:tcW w:w="2430" w:type="dxa"/>
          </w:tcPr>
          <w:p w14:paraId="11F7106A">
            <w:pPr>
              <w:pStyle w:val="68"/>
              <w:numPr>
                <w:ilvl w:val="0"/>
                <w:numId w:val="0"/>
              </w:numPr>
              <w:spacing w:after="120"/>
              <w:rPr>
                <w:rFonts w:ascii="Times New Roman" w:hAnsi="Times New Roman"/>
                <w:sz w:val="24"/>
                <w:szCs w:val="24"/>
              </w:rPr>
            </w:pPr>
          </w:p>
        </w:tc>
        <w:tc>
          <w:tcPr>
            <w:tcW w:w="7020" w:type="dxa"/>
          </w:tcPr>
          <w:p w14:paraId="4E3D7CE9">
            <w:pPr>
              <w:pStyle w:val="69"/>
              <w:rPr>
                <w:rFonts w:cs="Times New Roman"/>
              </w:rPr>
            </w:pPr>
            <w:r>
              <w:rPr>
                <w:rFonts w:cs="Times New Roman"/>
              </w:rPr>
              <w:t xml:space="preserve">Any addendum issued shall be part of the Bidding Documents and shall be communicated in writing to all who have obtained the Bidding Document from the </w:t>
            </w:r>
            <w:r>
              <w:rPr>
                <w:rStyle w:val="145"/>
                <w:rFonts w:cs="Times New Roman"/>
                <w:i w:val="0"/>
              </w:rPr>
              <w:t>Employer</w:t>
            </w:r>
            <w:r>
              <w:rPr>
                <w:rFonts w:cs="Times New Roman"/>
              </w:rPr>
              <w:t xml:space="preserve"> in accordance with ITB 6.3. </w:t>
            </w:r>
            <w:r>
              <w:t>The Employer shall also promptly publish the addendum on the Employer’s web page in accordance with ITB 7.1.</w:t>
            </w:r>
          </w:p>
        </w:tc>
      </w:tr>
      <w:tr w14:paraId="7E3E647E">
        <w:tblPrEx>
          <w:tblCellMar>
            <w:top w:w="0" w:type="dxa"/>
            <w:left w:w="108" w:type="dxa"/>
            <w:bottom w:w="0" w:type="dxa"/>
            <w:right w:w="108" w:type="dxa"/>
          </w:tblCellMar>
        </w:tblPrEx>
        <w:trPr>
          <w:jc w:val="center"/>
        </w:trPr>
        <w:tc>
          <w:tcPr>
            <w:tcW w:w="2430" w:type="dxa"/>
          </w:tcPr>
          <w:p w14:paraId="6B833E46">
            <w:pPr>
              <w:pStyle w:val="68"/>
              <w:keepNext/>
              <w:numPr>
                <w:ilvl w:val="0"/>
                <w:numId w:val="0"/>
              </w:numPr>
              <w:spacing w:after="120"/>
              <w:rPr>
                <w:rFonts w:ascii="Times New Roman" w:hAnsi="Times New Roman"/>
                <w:b w:val="0"/>
                <w:sz w:val="24"/>
                <w:szCs w:val="24"/>
              </w:rPr>
            </w:pPr>
          </w:p>
        </w:tc>
        <w:tc>
          <w:tcPr>
            <w:tcW w:w="7020" w:type="dxa"/>
          </w:tcPr>
          <w:p w14:paraId="24F8F792">
            <w:pPr>
              <w:pStyle w:val="69"/>
              <w:rPr>
                <w:rFonts w:cs="Times New Roman"/>
              </w:rPr>
            </w:pPr>
            <w:r>
              <w:rPr>
                <w:rFonts w:cs="Times New Roman"/>
              </w:rPr>
              <w:t xml:space="preserve">To give prospective Bidders reasonable time in which to take an addendum into account in preparing their bids, the </w:t>
            </w:r>
            <w:r>
              <w:rPr>
                <w:rStyle w:val="145"/>
                <w:rFonts w:cs="Times New Roman"/>
                <w:i w:val="0"/>
              </w:rPr>
              <w:t>Employer</w:t>
            </w:r>
            <w:r>
              <w:rPr>
                <w:rFonts w:cs="Times New Roman"/>
              </w:rPr>
              <w:t xml:space="preserve"> may, at its discretion, extend the deadline for the submission of bids, pursuant to ITB 22.2.</w:t>
            </w:r>
          </w:p>
        </w:tc>
      </w:tr>
      <w:tr w14:paraId="79F5410C">
        <w:tblPrEx>
          <w:tblCellMar>
            <w:top w:w="0" w:type="dxa"/>
            <w:left w:w="108" w:type="dxa"/>
            <w:bottom w:w="0" w:type="dxa"/>
            <w:right w:w="108" w:type="dxa"/>
          </w:tblCellMar>
        </w:tblPrEx>
        <w:trPr>
          <w:cantSplit/>
          <w:jc w:val="center"/>
        </w:trPr>
        <w:tc>
          <w:tcPr>
            <w:tcW w:w="9450" w:type="dxa"/>
            <w:gridSpan w:val="2"/>
          </w:tcPr>
          <w:p w14:paraId="3AA2286A">
            <w:pPr>
              <w:pStyle w:val="167"/>
            </w:pPr>
            <w:bookmarkStart w:id="86" w:name="_Toc97371011"/>
            <w:bookmarkStart w:id="87" w:name="_Toc461939618"/>
            <w:bookmarkStart w:id="88" w:name="_Toc438962055"/>
            <w:bookmarkStart w:id="89" w:name="_Toc438438829"/>
            <w:bookmarkStart w:id="90" w:name="_Toc438733973"/>
            <w:bookmarkStart w:id="91" w:name="_Toc438532577"/>
            <w:bookmarkStart w:id="92" w:name="_Toc178538532"/>
            <w:r>
              <w:t>Preparation of Bids</w:t>
            </w:r>
            <w:bookmarkEnd w:id="86"/>
            <w:bookmarkEnd w:id="87"/>
            <w:bookmarkEnd w:id="88"/>
            <w:bookmarkEnd w:id="89"/>
            <w:bookmarkEnd w:id="90"/>
            <w:bookmarkEnd w:id="91"/>
            <w:bookmarkEnd w:id="92"/>
          </w:p>
        </w:tc>
      </w:tr>
      <w:tr w14:paraId="45A01028">
        <w:tblPrEx>
          <w:tblCellMar>
            <w:top w:w="0" w:type="dxa"/>
            <w:left w:w="108" w:type="dxa"/>
            <w:bottom w:w="0" w:type="dxa"/>
            <w:right w:w="108" w:type="dxa"/>
          </w:tblCellMar>
        </w:tblPrEx>
        <w:trPr>
          <w:jc w:val="center"/>
        </w:trPr>
        <w:tc>
          <w:tcPr>
            <w:tcW w:w="2430" w:type="dxa"/>
          </w:tcPr>
          <w:p w14:paraId="50CD61B2">
            <w:pPr>
              <w:pStyle w:val="143"/>
            </w:pPr>
            <w:bookmarkStart w:id="93" w:name="_Toc97371012"/>
            <w:bookmarkStart w:id="94" w:name="_Toc139863111"/>
            <w:bookmarkStart w:id="95" w:name="_Toc438907212"/>
            <w:bookmarkStart w:id="96" w:name="_Toc438532578"/>
            <w:bookmarkStart w:id="97" w:name="_Toc178538533"/>
            <w:bookmarkStart w:id="98" w:name="_Toc438907013"/>
            <w:bookmarkStart w:id="99" w:name="_Toc438733974"/>
            <w:bookmarkStart w:id="100" w:name="_Toc438438830"/>
            <w:r>
              <w:t>Cost of Bidding</w:t>
            </w:r>
            <w:bookmarkEnd w:id="93"/>
            <w:bookmarkEnd w:id="94"/>
            <w:bookmarkEnd w:id="95"/>
            <w:bookmarkEnd w:id="96"/>
            <w:bookmarkEnd w:id="97"/>
            <w:bookmarkEnd w:id="98"/>
            <w:bookmarkEnd w:id="99"/>
            <w:bookmarkEnd w:id="100"/>
          </w:p>
        </w:tc>
        <w:tc>
          <w:tcPr>
            <w:tcW w:w="7020" w:type="dxa"/>
          </w:tcPr>
          <w:p w14:paraId="7229B8B6">
            <w:pPr>
              <w:pStyle w:val="146"/>
            </w:pPr>
            <w:r>
              <w:t xml:space="preserve">The Bidder shall bear all costs associated with the preparation and submission of its Bid, and the </w:t>
            </w:r>
            <w:r>
              <w:rPr>
                <w:rStyle w:val="145"/>
                <w:rFonts w:cs="Times New Roman"/>
                <w:i w:val="0"/>
              </w:rPr>
              <w:t>Employer</w:t>
            </w:r>
            <w:r>
              <w:t xml:space="preserve"> shall in no case be responsible or liable for those costs, regardless of the conduct or outcome of the bidding process.</w:t>
            </w:r>
          </w:p>
        </w:tc>
      </w:tr>
      <w:tr w14:paraId="0CC980AA">
        <w:tblPrEx>
          <w:tblCellMar>
            <w:top w:w="0" w:type="dxa"/>
            <w:left w:w="108" w:type="dxa"/>
            <w:bottom w:w="0" w:type="dxa"/>
            <w:right w:w="108" w:type="dxa"/>
          </w:tblCellMar>
        </w:tblPrEx>
        <w:trPr>
          <w:jc w:val="center"/>
        </w:trPr>
        <w:tc>
          <w:tcPr>
            <w:tcW w:w="2430" w:type="dxa"/>
          </w:tcPr>
          <w:p w14:paraId="2898BA0E">
            <w:pPr>
              <w:pStyle w:val="143"/>
            </w:pPr>
            <w:bookmarkStart w:id="101" w:name="_Toc139863112"/>
            <w:bookmarkStart w:id="102" w:name="_Toc438907014"/>
            <w:bookmarkStart w:id="103" w:name="_Toc438733975"/>
            <w:bookmarkStart w:id="104" w:name="_Toc97371013"/>
            <w:bookmarkStart w:id="105" w:name="_Toc438532579"/>
            <w:bookmarkStart w:id="106" w:name="_Toc178538534"/>
            <w:bookmarkStart w:id="107" w:name="_Toc438907213"/>
            <w:bookmarkStart w:id="108" w:name="_Toc438438831"/>
            <w:r>
              <w:t>Language of Bid</w:t>
            </w:r>
            <w:bookmarkEnd w:id="101"/>
            <w:bookmarkEnd w:id="102"/>
            <w:bookmarkEnd w:id="103"/>
            <w:bookmarkEnd w:id="104"/>
            <w:bookmarkEnd w:id="105"/>
            <w:bookmarkEnd w:id="106"/>
            <w:bookmarkEnd w:id="107"/>
            <w:bookmarkEnd w:id="108"/>
          </w:p>
        </w:tc>
        <w:tc>
          <w:tcPr>
            <w:tcW w:w="7020" w:type="dxa"/>
          </w:tcPr>
          <w:p w14:paraId="062677AB">
            <w:pPr>
              <w:pStyle w:val="146"/>
            </w:pPr>
            <w:r>
              <w:t xml:space="preserve">The Bid, as well as all correspondence and documents relating to the bid exchanged by the Bidder and the </w:t>
            </w:r>
            <w:r>
              <w:rPr>
                <w:rStyle w:val="145"/>
                <w:rFonts w:cs="Times New Roman"/>
                <w:i w:val="0"/>
              </w:rPr>
              <w:t>Employer</w:t>
            </w:r>
            <w:r>
              <w:t xml:space="preserve">, shall be written in the language </w:t>
            </w:r>
            <w:r>
              <w:rPr>
                <w:b/>
              </w:rPr>
              <w:t>specified in the BDS</w:t>
            </w:r>
            <w:r>
              <w:t xml:space="preserve">. Supporting documents and printed literature that are part of the Bid may be in another language provided they are accompanied by an accurate translation of the relevant passages in the language </w:t>
            </w:r>
            <w:r>
              <w:rPr>
                <w:b/>
              </w:rPr>
              <w:t>specified in the BDS</w:t>
            </w:r>
            <w:r>
              <w:t>, in which case, for purposes of interpretation of the Bid, such translation shall govern.</w:t>
            </w:r>
          </w:p>
        </w:tc>
      </w:tr>
      <w:tr w14:paraId="6A9E3664">
        <w:tblPrEx>
          <w:tblCellMar>
            <w:top w:w="0" w:type="dxa"/>
            <w:left w:w="108" w:type="dxa"/>
            <w:bottom w:w="0" w:type="dxa"/>
            <w:right w:w="108" w:type="dxa"/>
          </w:tblCellMar>
        </w:tblPrEx>
        <w:trPr>
          <w:jc w:val="center"/>
        </w:trPr>
        <w:tc>
          <w:tcPr>
            <w:tcW w:w="2430" w:type="dxa"/>
          </w:tcPr>
          <w:p w14:paraId="2959AD4F">
            <w:pPr>
              <w:pStyle w:val="143"/>
            </w:pPr>
            <w:bookmarkStart w:id="109" w:name="_Toc438907214"/>
            <w:bookmarkStart w:id="110" w:name="_Toc178538535"/>
            <w:bookmarkStart w:id="111" w:name="_Toc438907015"/>
            <w:bookmarkStart w:id="112" w:name="_Toc438438832"/>
            <w:bookmarkStart w:id="113" w:name="_Toc438733976"/>
            <w:bookmarkStart w:id="114" w:name="_Toc139863113"/>
            <w:bookmarkStart w:id="115" w:name="_Toc438532580"/>
            <w:bookmarkStart w:id="116" w:name="_Toc97371014"/>
            <w:r>
              <w:t>Documents Comprising the Bid</w:t>
            </w:r>
            <w:bookmarkEnd w:id="109"/>
            <w:bookmarkEnd w:id="110"/>
            <w:bookmarkEnd w:id="111"/>
            <w:bookmarkEnd w:id="112"/>
            <w:bookmarkEnd w:id="113"/>
            <w:bookmarkEnd w:id="114"/>
            <w:bookmarkEnd w:id="115"/>
            <w:bookmarkEnd w:id="116"/>
          </w:p>
        </w:tc>
        <w:tc>
          <w:tcPr>
            <w:tcW w:w="7020" w:type="dxa"/>
          </w:tcPr>
          <w:p w14:paraId="705A8856">
            <w:pPr>
              <w:pStyle w:val="69"/>
              <w:ind w:left="620" w:hanging="634"/>
              <w:rPr>
                <w:rFonts w:cs="Times New Roman"/>
              </w:rPr>
            </w:pPr>
            <w:r>
              <w:rPr>
                <w:rFonts w:cs="Times New Roman"/>
              </w:rPr>
              <w:t>The Bid shall comprise the following:</w:t>
            </w:r>
          </w:p>
          <w:p w14:paraId="5C2D46DF">
            <w:pPr>
              <w:pStyle w:val="70"/>
              <w:numPr>
                <w:ilvl w:val="0"/>
                <w:numId w:val="32"/>
              </w:numPr>
              <w:tabs>
                <w:tab w:val="clear" w:pos="1224"/>
              </w:tabs>
              <w:ind w:left="927"/>
              <w:rPr>
                <w:szCs w:val="24"/>
              </w:rPr>
            </w:pPr>
            <w:r>
              <w:rPr>
                <w:szCs w:val="24"/>
              </w:rPr>
              <w:t>Letter of Bid</w:t>
            </w:r>
            <w:r>
              <w:t xml:space="preserve"> in accordance with ITB 12</w:t>
            </w:r>
            <w:r>
              <w:rPr>
                <w:szCs w:val="24"/>
              </w:rPr>
              <w:t>;</w:t>
            </w:r>
          </w:p>
          <w:p w14:paraId="5004CE20">
            <w:pPr>
              <w:pStyle w:val="70"/>
              <w:numPr>
                <w:ilvl w:val="0"/>
                <w:numId w:val="32"/>
              </w:numPr>
              <w:tabs>
                <w:tab w:val="clear" w:pos="1224"/>
              </w:tabs>
              <w:ind w:left="927"/>
              <w:rPr>
                <w:szCs w:val="24"/>
              </w:rPr>
            </w:pPr>
            <w:r>
              <w:rPr>
                <w:szCs w:val="24"/>
              </w:rPr>
              <w:t>completed Schedules,</w:t>
            </w:r>
            <w:r>
              <w:t xml:space="preserve"> </w:t>
            </w:r>
            <w:r>
              <w:rPr>
                <w:szCs w:val="24"/>
              </w:rPr>
              <w:t xml:space="preserve">in accordance with ITB 12 and 14: </w:t>
            </w:r>
            <w:r>
              <w:rPr>
                <w:b/>
                <w:szCs w:val="24"/>
              </w:rPr>
              <w:t>as specified in the BDS</w:t>
            </w:r>
            <w:r>
              <w:rPr>
                <w:szCs w:val="24"/>
              </w:rPr>
              <w:t>;</w:t>
            </w:r>
          </w:p>
          <w:p w14:paraId="636477CA">
            <w:pPr>
              <w:pStyle w:val="70"/>
              <w:numPr>
                <w:ilvl w:val="0"/>
                <w:numId w:val="32"/>
              </w:numPr>
              <w:tabs>
                <w:tab w:val="clear" w:pos="1224"/>
              </w:tabs>
              <w:ind w:left="927"/>
              <w:rPr>
                <w:szCs w:val="24"/>
              </w:rPr>
            </w:pPr>
            <w:r>
              <w:rPr>
                <w:szCs w:val="24"/>
              </w:rPr>
              <w:t>Bid Security or Bid Securing Declaration, in accordance with ITB 19.1;</w:t>
            </w:r>
          </w:p>
          <w:p w14:paraId="20547C3E">
            <w:pPr>
              <w:pStyle w:val="70"/>
              <w:numPr>
                <w:ilvl w:val="0"/>
                <w:numId w:val="32"/>
              </w:numPr>
              <w:tabs>
                <w:tab w:val="clear" w:pos="1224"/>
              </w:tabs>
              <w:ind w:left="927"/>
              <w:rPr>
                <w:szCs w:val="24"/>
              </w:rPr>
            </w:pPr>
            <w:r>
              <w:rPr>
                <w:szCs w:val="24"/>
              </w:rPr>
              <w:t>alternative bids, if permissible, in accordance with ITB 13;</w:t>
            </w:r>
          </w:p>
          <w:p w14:paraId="642F13AA">
            <w:pPr>
              <w:pStyle w:val="70"/>
              <w:numPr>
                <w:ilvl w:val="0"/>
                <w:numId w:val="32"/>
              </w:numPr>
              <w:tabs>
                <w:tab w:val="clear" w:pos="1224"/>
              </w:tabs>
              <w:ind w:left="927"/>
              <w:rPr>
                <w:szCs w:val="24"/>
              </w:rPr>
            </w:pPr>
            <w:r>
              <w:rPr>
                <w:szCs w:val="24"/>
              </w:rPr>
              <w:t>written confirmation authorizing the signatory of the Bid to commit the Bidder, in accordance with ITB 20.2;</w:t>
            </w:r>
          </w:p>
          <w:p w14:paraId="7D1242FC">
            <w:pPr>
              <w:pStyle w:val="70"/>
              <w:numPr>
                <w:ilvl w:val="0"/>
                <w:numId w:val="32"/>
              </w:numPr>
              <w:tabs>
                <w:tab w:val="clear" w:pos="1224"/>
              </w:tabs>
              <w:ind w:left="927"/>
              <w:rPr>
                <w:szCs w:val="24"/>
              </w:rPr>
            </w:pPr>
            <w:r>
              <w:rPr>
                <w:szCs w:val="24"/>
              </w:rPr>
              <w:t xml:space="preserve">documentary evidence in accordance with ITB 17 establishing the Bidder’s qualifications to perform the contract </w:t>
            </w:r>
            <w:r>
              <w:t>if its Bid is accepted</w:t>
            </w:r>
            <w:r>
              <w:rPr>
                <w:szCs w:val="24"/>
              </w:rPr>
              <w:t xml:space="preserve">; </w:t>
            </w:r>
          </w:p>
          <w:p w14:paraId="40A0C2C5">
            <w:pPr>
              <w:pStyle w:val="70"/>
              <w:numPr>
                <w:ilvl w:val="0"/>
                <w:numId w:val="32"/>
              </w:numPr>
              <w:tabs>
                <w:tab w:val="clear" w:pos="1224"/>
              </w:tabs>
              <w:ind w:left="927"/>
              <w:rPr>
                <w:color w:val="000000"/>
                <w:szCs w:val="24"/>
              </w:rPr>
            </w:pPr>
            <w:r>
              <w:rPr>
                <w:szCs w:val="24"/>
              </w:rPr>
              <w:t xml:space="preserve">Technical Proposal in accordance with ITB 16; </w:t>
            </w:r>
          </w:p>
          <w:p w14:paraId="725CD7E7">
            <w:pPr>
              <w:pStyle w:val="70"/>
              <w:numPr>
                <w:ilvl w:val="0"/>
                <w:numId w:val="32"/>
              </w:numPr>
              <w:tabs>
                <w:tab w:val="clear" w:pos="1224"/>
              </w:tabs>
              <w:ind w:left="927"/>
              <w:rPr>
                <w:szCs w:val="24"/>
              </w:rPr>
            </w:pPr>
            <w:r>
              <w:rPr>
                <w:szCs w:val="24"/>
              </w:rPr>
              <w:t xml:space="preserve">any other document </w:t>
            </w:r>
            <w:r>
              <w:rPr>
                <w:b/>
                <w:szCs w:val="24"/>
              </w:rPr>
              <w:t>required in the BDS</w:t>
            </w:r>
            <w:r>
              <w:rPr>
                <w:szCs w:val="24"/>
              </w:rPr>
              <w:t>.</w:t>
            </w:r>
          </w:p>
          <w:p w14:paraId="6ED3BF09">
            <w:pPr>
              <w:pStyle w:val="69"/>
              <w:ind w:left="620" w:hanging="634"/>
            </w:pPr>
            <w:r>
              <w:t>In addition to the requirements under ITB 11.1, bids submitted by a JV shall include a copy of the Joint Venture Agreement entered into by all members.  Alternatively, a letter of intent to execute a Joint Venture Agreement in the event of a successful bid shall be signed by all members and submitted with the bid, together with a copy of the proposed Agreement.</w:t>
            </w:r>
          </w:p>
          <w:p w14:paraId="4C54C1DE">
            <w:pPr>
              <w:pStyle w:val="69"/>
              <w:ind w:left="620" w:hanging="634"/>
            </w:pPr>
            <w:r>
              <w:t>The Bidder shall furnish in the Letter of Bid information on commissions and gratuities, if any, paid or to be paid to agents or any other party relating to this Bid.</w:t>
            </w:r>
          </w:p>
        </w:tc>
      </w:tr>
      <w:tr w14:paraId="0D7FBF42">
        <w:tblPrEx>
          <w:tblCellMar>
            <w:top w:w="0" w:type="dxa"/>
            <w:left w:w="108" w:type="dxa"/>
            <w:bottom w:w="0" w:type="dxa"/>
            <w:right w:w="108" w:type="dxa"/>
          </w:tblCellMar>
        </w:tblPrEx>
        <w:trPr>
          <w:jc w:val="center"/>
        </w:trPr>
        <w:tc>
          <w:tcPr>
            <w:tcW w:w="2430" w:type="dxa"/>
          </w:tcPr>
          <w:p w14:paraId="529984E0">
            <w:pPr>
              <w:pStyle w:val="143"/>
            </w:pPr>
            <w:bookmarkStart w:id="117" w:name="_Toc97371015"/>
            <w:bookmarkStart w:id="118" w:name="_Toc178538536"/>
            <w:bookmarkStart w:id="119" w:name="_Toc139863114"/>
            <w:r>
              <w:t>Letter of Bid</w:t>
            </w:r>
            <w:bookmarkEnd w:id="117"/>
            <w:r>
              <w:t xml:space="preserve"> and Schedules</w:t>
            </w:r>
            <w:bookmarkEnd w:id="118"/>
            <w:bookmarkEnd w:id="119"/>
          </w:p>
        </w:tc>
        <w:tc>
          <w:tcPr>
            <w:tcW w:w="7020" w:type="dxa"/>
          </w:tcPr>
          <w:p w14:paraId="668B6A74">
            <w:pPr>
              <w:pStyle w:val="146"/>
            </w:pPr>
            <w:r>
              <w:t>The Letter of Bid and Schedules shall be prepared using the relevant forms furnished in Section IV, Bidding Forms. The forms must be completed without any alterations to the text, and no substitutes shall be accepted except as provided under ITB 20.2. All blank spaces shall be filled in with the information requested.</w:t>
            </w:r>
          </w:p>
        </w:tc>
      </w:tr>
      <w:tr w14:paraId="780A5D19">
        <w:tblPrEx>
          <w:tblCellMar>
            <w:top w:w="0" w:type="dxa"/>
            <w:left w:w="108" w:type="dxa"/>
            <w:bottom w:w="0" w:type="dxa"/>
            <w:right w:w="108" w:type="dxa"/>
          </w:tblCellMar>
        </w:tblPrEx>
        <w:trPr>
          <w:jc w:val="center"/>
        </w:trPr>
        <w:tc>
          <w:tcPr>
            <w:tcW w:w="2430" w:type="dxa"/>
          </w:tcPr>
          <w:p w14:paraId="78D8F5A7">
            <w:pPr>
              <w:pStyle w:val="143"/>
            </w:pPr>
            <w:bookmarkStart w:id="120" w:name="_Toc438907017"/>
            <w:bookmarkStart w:id="121" w:name="_Toc438733978"/>
            <w:bookmarkStart w:id="122" w:name="_Toc438438834"/>
            <w:bookmarkStart w:id="123" w:name="_Toc178538537"/>
            <w:bookmarkStart w:id="124" w:name="_Toc438907216"/>
            <w:bookmarkStart w:id="125" w:name="_Toc139863115"/>
            <w:bookmarkStart w:id="126" w:name="_Toc97371016"/>
            <w:bookmarkStart w:id="127" w:name="_Toc438532587"/>
            <w:r>
              <w:t>Alternative Bids</w:t>
            </w:r>
            <w:bookmarkEnd w:id="120"/>
            <w:bookmarkEnd w:id="121"/>
            <w:bookmarkEnd w:id="122"/>
            <w:bookmarkEnd w:id="123"/>
            <w:bookmarkEnd w:id="124"/>
            <w:bookmarkEnd w:id="125"/>
            <w:bookmarkEnd w:id="126"/>
            <w:bookmarkEnd w:id="127"/>
          </w:p>
        </w:tc>
        <w:tc>
          <w:tcPr>
            <w:tcW w:w="7020" w:type="dxa"/>
          </w:tcPr>
          <w:p w14:paraId="36550E17">
            <w:pPr>
              <w:pStyle w:val="146"/>
            </w:pPr>
            <w:r>
              <w:t xml:space="preserve">Unless otherwise </w:t>
            </w:r>
            <w:r>
              <w:rPr>
                <w:b/>
              </w:rPr>
              <w:t>specified in the BDS</w:t>
            </w:r>
            <w:r>
              <w:t xml:space="preserve">, alternative bids shall not be considered. </w:t>
            </w:r>
          </w:p>
        </w:tc>
      </w:tr>
      <w:tr w14:paraId="320EA888">
        <w:tblPrEx>
          <w:tblCellMar>
            <w:top w:w="0" w:type="dxa"/>
            <w:left w:w="108" w:type="dxa"/>
            <w:bottom w:w="0" w:type="dxa"/>
            <w:right w:w="108" w:type="dxa"/>
          </w:tblCellMar>
        </w:tblPrEx>
        <w:trPr>
          <w:jc w:val="center"/>
        </w:trPr>
        <w:tc>
          <w:tcPr>
            <w:tcW w:w="2430" w:type="dxa"/>
          </w:tcPr>
          <w:p w14:paraId="40A272A1">
            <w:pPr>
              <w:pStyle w:val="68"/>
              <w:numPr>
                <w:ilvl w:val="0"/>
                <w:numId w:val="0"/>
              </w:numPr>
              <w:spacing w:before="140" w:after="120"/>
              <w:rPr>
                <w:rFonts w:ascii="Times New Roman" w:hAnsi="Times New Roman"/>
                <w:sz w:val="24"/>
                <w:szCs w:val="24"/>
              </w:rPr>
            </w:pPr>
          </w:p>
        </w:tc>
        <w:tc>
          <w:tcPr>
            <w:tcW w:w="7020" w:type="dxa"/>
          </w:tcPr>
          <w:p w14:paraId="33146FB8">
            <w:pPr>
              <w:pStyle w:val="146"/>
            </w:pPr>
            <w:r>
              <w:t xml:space="preserve">When alternative times for completion are explicitly invited, a statement to that effect will be </w:t>
            </w:r>
            <w:r>
              <w:rPr>
                <w:b/>
              </w:rPr>
              <w:t>included in the BDS</w:t>
            </w:r>
            <w:r>
              <w:t>, as will the method of evaluating different times for completion.</w:t>
            </w:r>
          </w:p>
        </w:tc>
      </w:tr>
      <w:tr w14:paraId="0C57E35E">
        <w:tblPrEx>
          <w:tblCellMar>
            <w:top w:w="0" w:type="dxa"/>
            <w:left w:w="108" w:type="dxa"/>
            <w:bottom w:w="0" w:type="dxa"/>
            <w:right w:w="108" w:type="dxa"/>
          </w:tblCellMar>
        </w:tblPrEx>
        <w:trPr>
          <w:jc w:val="center"/>
        </w:trPr>
        <w:tc>
          <w:tcPr>
            <w:tcW w:w="2430" w:type="dxa"/>
          </w:tcPr>
          <w:p w14:paraId="77643634">
            <w:pPr>
              <w:pStyle w:val="68"/>
              <w:numPr>
                <w:ilvl w:val="0"/>
                <w:numId w:val="0"/>
              </w:numPr>
              <w:spacing w:before="140" w:after="120"/>
              <w:rPr>
                <w:rFonts w:ascii="Times New Roman" w:hAnsi="Times New Roman"/>
                <w:sz w:val="24"/>
                <w:szCs w:val="24"/>
              </w:rPr>
            </w:pPr>
          </w:p>
        </w:tc>
        <w:tc>
          <w:tcPr>
            <w:tcW w:w="7020" w:type="dxa"/>
          </w:tcPr>
          <w:p w14:paraId="5A80700F">
            <w:pPr>
              <w:pStyle w:val="146"/>
            </w:pPr>
            <w:r>
              <w:t xml:space="preserve">Except as provided under ITB 13.4 below, Bidders wishing to offer technical alternatives to the requirements of the Bidding Document must first price the </w:t>
            </w:r>
            <w:r>
              <w:rPr>
                <w:rStyle w:val="145"/>
                <w:rFonts w:cs="Times New Roman"/>
                <w:i w:val="0"/>
              </w:rPr>
              <w:t>Employer</w:t>
            </w:r>
            <w:r>
              <w:t xml:space="preserve">’s design as described in the Bidding Document and shall further provide all information necessary for a complete evaluation of the alternative by the </w:t>
            </w:r>
            <w:r>
              <w:rPr>
                <w:rStyle w:val="145"/>
                <w:rFonts w:cs="Times New Roman"/>
                <w:i w:val="0"/>
              </w:rPr>
              <w:t>Employer</w:t>
            </w:r>
            <w:r>
              <w:t xml:space="preserve">, including drawings, design calculations, technical specifications, breakdown of prices, and proposed construction methodology and other relevant details. Only the technical alternatives, if any, of the lowest evaluated Bidder conforming to the basic technical requirements shall be considered by the </w:t>
            </w:r>
            <w:r>
              <w:rPr>
                <w:rStyle w:val="145"/>
                <w:rFonts w:cs="Times New Roman"/>
                <w:i w:val="0"/>
              </w:rPr>
              <w:t>Employer</w:t>
            </w:r>
            <w:r>
              <w:t>.</w:t>
            </w:r>
          </w:p>
        </w:tc>
      </w:tr>
      <w:tr w14:paraId="04E1009D">
        <w:tblPrEx>
          <w:tblCellMar>
            <w:top w:w="0" w:type="dxa"/>
            <w:left w:w="108" w:type="dxa"/>
            <w:bottom w:w="0" w:type="dxa"/>
            <w:right w:w="108" w:type="dxa"/>
          </w:tblCellMar>
        </w:tblPrEx>
        <w:trPr>
          <w:jc w:val="center"/>
        </w:trPr>
        <w:tc>
          <w:tcPr>
            <w:tcW w:w="2430" w:type="dxa"/>
          </w:tcPr>
          <w:p w14:paraId="22BA408D">
            <w:pPr>
              <w:pStyle w:val="68"/>
              <w:numPr>
                <w:ilvl w:val="0"/>
                <w:numId w:val="0"/>
              </w:numPr>
              <w:spacing w:before="140" w:after="120"/>
              <w:rPr>
                <w:rFonts w:ascii="Times New Roman" w:hAnsi="Times New Roman"/>
                <w:sz w:val="24"/>
                <w:szCs w:val="24"/>
              </w:rPr>
            </w:pPr>
          </w:p>
        </w:tc>
        <w:tc>
          <w:tcPr>
            <w:tcW w:w="7020" w:type="dxa"/>
          </w:tcPr>
          <w:p w14:paraId="5E4B2BED">
            <w:pPr>
              <w:pStyle w:val="146"/>
            </w:pPr>
            <w:r>
              <w:t xml:space="preserve">When </w:t>
            </w:r>
            <w:r>
              <w:rPr>
                <w:b/>
              </w:rPr>
              <w:t>specified in the BDS</w:t>
            </w:r>
            <w:r>
              <w:t xml:space="preserve">, Bidders are permitted to submit alternative technical solutions for specified parts of the Works. Such parts will be </w:t>
            </w:r>
            <w:r>
              <w:rPr>
                <w:b/>
              </w:rPr>
              <w:t>identified in the BDS</w:t>
            </w:r>
            <w:r>
              <w:t xml:space="preserve"> and described in Section </w:t>
            </w:r>
            <w:r>
              <w:rPr>
                <w:rStyle w:val="145"/>
                <w:rFonts w:cs="Times New Roman"/>
                <w:i w:val="0"/>
              </w:rPr>
              <w:t>VII.</w:t>
            </w:r>
            <w:r>
              <w:rPr>
                <w:i/>
              </w:rPr>
              <w:t xml:space="preserve"> </w:t>
            </w:r>
            <w:r>
              <w:rPr>
                <w:rStyle w:val="145"/>
                <w:rFonts w:cs="Times New Roman"/>
                <w:i w:val="0"/>
              </w:rPr>
              <w:t xml:space="preserve">Works </w:t>
            </w:r>
            <w:r>
              <w:t xml:space="preserve">Requirements. The method for their evaluation will be stipulated in Section </w:t>
            </w:r>
            <w:r>
              <w:rPr>
                <w:rStyle w:val="145"/>
                <w:rFonts w:cs="Times New Roman"/>
                <w:i w:val="0"/>
                <w:iCs w:val="0"/>
              </w:rPr>
              <w:t>III.</w:t>
            </w:r>
            <w:r>
              <w:rPr>
                <w:i/>
                <w:iCs/>
              </w:rPr>
              <w:t xml:space="preserve"> </w:t>
            </w:r>
            <w:r>
              <w:t>Evaluation and Qualification Criteria.</w:t>
            </w:r>
          </w:p>
        </w:tc>
      </w:tr>
      <w:tr w14:paraId="0F99063A">
        <w:tblPrEx>
          <w:tblCellMar>
            <w:top w:w="0" w:type="dxa"/>
            <w:left w:w="108" w:type="dxa"/>
            <w:bottom w:w="0" w:type="dxa"/>
            <w:right w:w="108" w:type="dxa"/>
          </w:tblCellMar>
        </w:tblPrEx>
        <w:trPr>
          <w:jc w:val="center"/>
        </w:trPr>
        <w:tc>
          <w:tcPr>
            <w:tcW w:w="2430" w:type="dxa"/>
          </w:tcPr>
          <w:p w14:paraId="46E12E86">
            <w:pPr>
              <w:pStyle w:val="143"/>
            </w:pPr>
            <w:bookmarkStart w:id="128" w:name="_Toc438733979"/>
            <w:bookmarkStart w:id="129" w:name="_Toc438532588"/>
            <w:bookmarkStart w:id="130" w:name="_Toc438907018"/>
            <w:bookmarkStart w:id="131" w:name="_Toc438907217"/>
            <w:bookmarkStart w:id="132" w:name="_Toc438438835"/>
            <w:bookmarkStart w:id="133" w:name="_Toc139863116"/>
            <w:bookmarkStart w:id="134" w:name="_Toc178538538"/>
            <w:bookmarkStart w:id="135" w:name="_Toc97371017"/>
            <w:r>
              <w:t>Bid Prices and Discounts</w:t>
            </w:r>
            <w:bookmarkEnd w:id="128"/>
            <w:bookmarkEnd w:id="129"/>
            <w:bookmarkEnd w:id="130"/>
            <w:bookmarkEnd w:id="131"/>
            <w:bookmarkEnd w:id="132"/>
            <w:bookmarkEnd w:id="133"/>
            <w:bookmarkEnd w:id="134"/>
            <w:bookmarkEnd w:id="135"/>
          </w:p>
        </w:tc>
        <w:tc>
          <w:tcPr>
            <w:tcW w:w="7020" w:type="dxa"/>
          </w:tcPr>
          <w:p w14:paraId="47C299F4">
            <w:pPr>
              <w:pStyle w:val="146"/>
            </w:pPr>
            <w:r>
              <w:t>The prices and discounts (including any price reduction) quoted by the Bidder in the Letter of Bid and in the Schedules shall conform to the requirements specified below.</w:t>
            </w:r>
          </w:p>
        </w:tc>
      </w:tr>
      <w:tr w14:paraId="2AF78354">
        <w:tblPrEx>
          <w:tblCellMar>
            <w:top w:w="0" w:type="dxa"/>
            <w:left w:w="108" w:type="dxa"/>
            <w:bottom w:w="0" w:type="dxa"/>
            <w:right w:w="108" w:type="dxa"/>
          </w:tblCellMar>
        </w:tblPrEx>
        <w:trPr>
          <w:jc w:val="center"/>
        </w:trPr>
        <w:tc>
          <w:tcPr>
            <w:tcW w:w="2430" w:type="dxa"/>
          </w:tcPr>
          <w:p w14:paraId="7C9097B6">
            <w:pPr>
              <w:pStyle w:val="68"/>
              <w:numPr>
                <w:ilvl w:val="0"/>
                <w:numId w:val="0"/>
              </w:numPr>
              <w:spacing w:before="140" w:after="120"/>
              <w:rPr>
                <w:rFonts w:ascii="Times New Roman" w:hAnsi="Times New Roman"/>
                <w:sz w:val="24"/>
                <w:szCs w:val="24"/>
              </w:rPr>
            </w:pPr>
          </w:p>
        </w:tc>
        <w:tc>
          <w:tcPr>
            <w:tcW w:w="7020" w:type="dxa"/>
          </w:tcPr>
          <w:p w14:paraId="52192D9B">
            <w:pPr>
              <w:pStyle w:val="69"/>
              <w:rPr>
                <w:rFonts w:cs="Times New Roman"/>
              </w:rPr>
            </w:pPr>
            <w:r>
              <w:rPr>
                <w:rFonts w:ascii="Helv" w:hAnsi="Helv" w:cs="Helv"/>
                <w:color w:val="000000"/>
                <w:sz w:val="20"/>
                <w:szCs w:val="20"/>
              </w:rPr>
              <w:t xml:space="preserve"> </w:t>
            </w:r>
            <w:r>
              <w:rPr>
                <w:color w:val="000000"/>
              </w:rPr>
              <w:t>The Bidder shall submit a bid for the whole of the works described in ITB 1.1 by filling in prices for all items of the Works, as identified in Section IV. Bidding Forms. In case of admeasurement contracts, the Bidder shall fill in rates and prices for all items of the Works described in the Bill of Quantities.  Items against which no rate or price is entered by the Bidder will not be paid for by the Employer when executed and shall be deemed covered by the rates for other items and prices in the Bill of Quantities.</w:t>
            </w:r>
          </w:p>
        </w:tc>
      </w:tr>
      <w:tr w14:paraId="08D6C971">
        <w:tblPrEx>
          <w:tblCellMar>
            <w:top w:w="0" w:type="dxa"/>
            <w:left w:w="108" w:type="dxa"/>
            <w:bottom w:w="0" w:type="dxa"/>
            <w:right w:w="108" w:type="dxa"/>
          </w:tblCellMar>
        </w:tblPrEx>
        <w:trPr>
          <w:jc w:val="center"/>
        </w:trPr>
        <w:tc>
          <w:tcPr>
            <w:tcW w:w="2430" w:type="dxa"/>
          </w:tcPr>
          <w:p w14:paraId="7475F631">
            <w:pPr>
              <w:pStyle w:val="68"/>
              <w:numPr>
                <w:ilvl w:val="0"/>
                <w:numId w:val="0"/>
              </w:numPr>
              <w:spacing w:before="140" w:after="120"/>
              <w:rPr>
                <w:rFonts w:ascii="Times New Roman" w:hAnsi="Times New Roman"/>
                <w:sz w:val="24"/>
                <w:szCs w:val="24"/>
              </w:rPr>
            </w:pPr>
          </w:p>
        </w:tc>
        <w:tc>
          <w:tcPr>
            <w:tcW w:w="7020" w:type="dxa"/>
          </w:tcPr>
          <w:p w14:paraId="6C72BD58">
            <w:pPr>
              <w:pStyle w:val="69"/>
              <w:rPr>
                <w:rFonts w:cs="Times New Roman"/>
              </w:rPr>
            </w:pPr>
            <w:r>
              <w:rPr>
                <w:rFonts w:cs="Times New Roman"/>
              </w:rPr>
              <w:t>The price to be quoted in the Letter of Bid,</w:t>
            </w:r>
            <w:r>
              <w:rPr>
                <w:rFonts w:cs="Times New Roman"/>
                <w:szCs w:val="20"/>
              </w:rPr>
              <w:t xml:space="preserve"> </w:t>
            </w:r>
            <w:r>
              <w:rPr>
                <w:rFonts w:cs="Times New Roman"/>
              </w:rPr>
              <w:t xml:space="preserve">in accordance with ITB 12.1, shall be the total price of the bid, excluding any discounts offered. </w:t>
            </w:r>
          </w:p>
        </w:tc>
      </w:tr>
      <w:tr w14:paraId="24FA78C5">
        <w:tblPrEx>
          <w:tblCellMar>
            <w:top w:w="0" w:type="dxa"/>
            <w:left w:w="108" w:type="dxa"/>
            <w:bottom w:w="0" w:type="dxa"/>
            <w:right w:w="108" w:type="dxa"/>
          </w:tblCellMar>
        </w:tblPrEx>
        <w:trPr>
          <w:jc w:val="center"/>
        </w:trPr>
        <w:tc>
          <w:tcPr>
            <w:tcW w:w="2430" w:type="dxa"/>
          </w:tcPr>
          <w:p w14:paraId="32FA99E4">
            <w:pPr>
              <w:pStyle w:val="68"/>
              <w:numPr>
                <w:ilvl w:val="0"/>
                <w:numId w:val="0"/>
              </w:numPr>
              <w:spacing w:before="140" w:after="120"/>
              <w:rPr>
                <w:rFonts w:ascii="Times New Roman" w:hAnsi="Times New Roman"/>
                <w:sz w:val="24"/>
                <w:szCs w:val="24"/>
              </w:rPr>
            </w:pPr>
          </w:p>
        </w:tc>
        <w:tc>
          <w:tcPr>
            <w:tcW w:w="7020" w:type="dxa"/>
          </w:tcPr>
          <w:p w14:paraId="52EE8F40">
            <w:pPr>
              <w:pStyle w:val="69"/>
              <w:rPr>
                <w:rFonts w:cs="Times New Roman"/>
              </w:rPr>
            </w:pPr>
            <w:r>
              <w:rPr>
                <w:rFonts w:cs="Times New Roman"/>
              </w:rPr>
              <w:t>The Bidder shall quote any discounts and the methodology for their application in the Letter of Bid, in accordance with ITB 12.1.</w:t>
            </w:r>
          </w:p>
        </w:tc>
      </w:tr>
      <w:tr w14:paraId="6ACD7851">
        <w:tblPrEx>
          <w:tblCellMar>
            <w:top w:w="0" w:type="dxa"/>
            <w:left w:w="108" w:type="dxa"/>
            <w:bottom w:w="0" w:type="dxa"/>
            <w:right w:w="108" w:type="dxa"/>
          </w:tblCellMar>
        </w:tblPrEx>
        <w:trPr>
          <w:jc w:val="center"/>
        </w:trPr>
        <w:tc>
          <w:tcPr>
            <w:tcW w:w="2430" w:type="dxa"/>
          </w:tcPr>
          <w:p w14:paraId="37F7F456">
            <w:pPr>
              <w:pStyle w:val="76"/>
              <w:suppressAutoHyphens w:val="0"/>
              <w:spacing w:after="200"/>
              <w:rPr>
                <w:rFonts w:ascii="Times New Roman" w:hAnsi="Times New Roman"/>
                <w:sz w:val="24"/>
                <w:szCs w:val="24"/>
              </w:rPr>
            </w:pPr>
          </w:p>
        </w:tc>
        <w:tc>
          <w:tcPr>
            <w:tcW w:w="7020" w:type="dxa"/>
          </w:tcPr>
          <w:p w14:paraId="3E6547C2">
            <w:pPr>
              <w:pStyle w:val="69"/>
              <w:rPr>
                <w:rFonts w:cs="Times New Roman"/>
              </w:rPr>
            </w:pPr>
            <w:r>
              <w:rPr>
                <w:b/>
                <w:color w:val="000000"/>
              </w:rPr>
              <w:t>Unless otherwise provided in the BDS</w:t>
            </w:r>
            <w:r>
              <w:rPr>
                <w:color w:val="000000"/>
              </w:rPr>
              <w:t xml:space="preserve"> and the Conditions of Contract, the prices quoted by the Bidder shall be fixed. If the prices quoted by the Bidder are subject to adjustment during the performance of the Contract in accordance with the provisions of the Conditions of Contract, the Bidder shall furnish the indices and weightings for the price adjustment formulae in the Schedule of Adjustment Data in Section IV- Bidding Forms and the Employer may require the Bidder to justify its proposed indices and weightings</w:t>
            </w:r>
            <w:r>
              <w:t>.</w:t>
            </w:r>
          </w:p>
          <w:p w14:paraId="4E7EA003">
            <w:pPr>
              <w:pStyle w:val="69"/>
              <w:rPr>
                <w:rFonts w:cs="Times New Roman"/>
              </w:rPr>
            </w:pPr>
            <w:r>
              <w:rPr>
                <w:rFonts w:cs="Times New Roman"/>
              </w:rPr>
              <w:t xml:space="preserve">If so specified in ITB 1.1, bids are invited for individual </w:t>
            </w:r>
            <w:r>
              <w:t>lots (contracts)</w:t>
            </w:r>
            <w:r>
              <w:rPr>
                <w:i/>
                <w:iCs/>
              </w:rPr>
              <w:t xml:space="preserve"> </w:t>
            </w:r>
            <w:r>
              <w:t xml:space="preserve">or for any combination of lots (packages). Bidders wishing to offer discounts for the award of more than one Contract shall specify in their bid the price reductions applicable to each package, or alternatively, to individual Contracts within the package. Discounts shall be submitted in accordance with ITB 14.4, provided the bids for all </w:t>
            </w:r>
            <w:r>
              <w:rPr>
                <w:iCs/>
              </w:rPr>
              <w:t>lots (contracts)</w:t>
            </w:r>
            <w:r>
              <w:t xml:space="preserve"> are opened at the same time.</w:t>
            </w:r>
          </w:p>
        </w:tc>
      </w:tr>
      <w:tr w14:paraId="4EC9AACF">
        <w:tblPrEx>
          <w:tblCellMar>
            <w:top w:w="0" w:type="dxa"/>
            <w:left w:w="108" w:type="dxa"/>
            <w:bottom w:w="0" w:type="dxa"/>
            <w:right w:w="108" w:type="dxa"/>
          </w:tblCellMar>
        </w:tblPrEx>
        <w:trPr>
          <w:jc w:val="center"/>
        </w:trPr>
        <w:tc>
          <w:tcPr>
            <w:tcW w:w="2430" w:type="dxa"/>
          </w:tcPr>
          <w:p w14:paraId="678DA479">
            <w:pPr>
              <w:pStyle w:val="76"/>
              <w:suppressAutoHyphens w:val="0"/>
              <w:spacing w:before="100" w:after="100"/>
              <w:rPr>
                <w:rFonts w:ascii="Times New Roman" w:hAnsi="Times New Roman"/>
                <w:sz w:val="24"/>
                <w:szCs w:val="24"/>
              </w:rPr>
            </w:pPr>
          </w:p>
        </w:tc>
        <w:tc>
          <w:tcPr>
            <w:tcW w:w="7020" w:type="dxa"/>
          </w:tcPr>
          <w:p w14:paraId="3FEBA946">
            <w:pPr>
              <w:pStyle w:val="69"/>
              <w:rPr>
                <w:rFonts w:cs="Times New Roman"/>
              </w:rPr>
            </w:pPr>
            <w:r>
              <w:rPr>
                <w:rFonts w:cs="Times New Roman"/>
              </w:rPr>
              <w:t>All duties, taxes, and other levies payable by the Contractor under the Contract, or for any other cause, as of the date 28 days prior to the deadline for submission of bids, shall be included in the rates and prices</w:t>
            </w:r>
            <w:r>
              <w:rPr>
                <w:rStyle w:val="28"/>
                <w:rFonts w:cs="Times New Roman"/>
              </w:rPr>
              <w:footnoteReference w:id="0"/>
            </w:r>
            <w:r>
              <w:rPr>
                <w:rFonts w:cs="Times New Roman"/>
              </w:rPr>
              <w:t xml:space="preserve"> and the total bid price submitted by the Bidder.</w:t>
            </w:r>
          </w:p>
        </w:tc>
      </w:tr>
      <w:tr w14:paraId="639DD1B4">
        <w:tblPrEx>
          <w:tblCellMar>
            <w:top w:w="0" w:type="dxa"/>
            <w:left w:w="108" w:type="dxa"/>
            <w:bottom w:w="0" w:type="dxa"/>
            <w:right w:w="108" w:type="dxa"/>
          </w:tblCellMar>
        </w:tblPrEx>
        <w:trPr>
          <w:jc w:val="center"/>
        </w:trPr>
        <w:tc>
          <w:tcPr>
            <w:tcW w:w="2430" w:type="dxa"/>
          </w:tcPr>
          <w:p w14:paraId="29AAB2DF">
            <w:pPr>
              <w:pStyle w:val="143"/>
            </w:pPr>
            <w:bookmarkStart w:id="136" w:name="_Toc438532597"/>
            <w:bookmarkStart w:id="137" w:name="_Toc438907218"/>
            <w:bookmarkStart w:id="138" w:name="_Toc438733980"/>
            <w:bookmarkStart w:id="139" w:name="_Toc438907019"/>
            <w:bookmarkStart w:id="140" w:name="_Toc438438836"/>
            <w:bookmarkStart w:id="141" w:name="_Toc97371018"/>
            <w:bookmarkStart w:id="142" w:name="_Toc178538539"/>
            <w:bookmarkStart w:id="143" w:name="_Toc139863117"/>
            <w:r>
              <w:t>Cu</w:t>
            </w:r>
            <w:bookmarkStart w:id="144" w:name="_Hlt438531797"/>
            <w:bookmarkEnd w:id="144"/>
            <w:r>
              <w:t>rrencies of Bid</w:t>
            </w:r>
            <w:bookmarkEnd w:id="136"/>
            <w:bookmarkEnd w:id="137"/>
            <w:bookmarkEnd w:id="138"/>
            <w:bookmarkEnd w:id="139"/>
            <w:bookmarkEnd w:id="140"/>
            <w:r>
              <w:t xml:space="preserve"> and Payment</w:t>
            </w:r>
            <w:bookmarkEnd w:id="141"/>
            <w:bookmarkEnd w:id="142"/>
            <w:bookmarkEnd w:id="143"/>
          </w:p>
        </w:tc>
        <w:tc>
          <w:tcPr>
            <w:tcW w:w="7020" w:type="dxa"/>
          </w:tcPr>
          <w:p w14:paraId="149CEF87">
            <w:pPr>
              <w:pStyle w:val="69"/>
              <w:rPr>
                <w:rFonts w:cs="Times New Roman"/>
                <w:i/>
              </w:rPr>
            </w:pPr>
            <w:r>
              <w:rPr>
                <w:rFonts w:cs="Times New Roman"/>
              </w:rPr>
              <w:t xml:space="preserve">The currency(ies) of the bid </w:t>
            </w:r>
            <w:r>
              <w:t xml:space="preserve">and the currency(ies) of payments </w:t>
            </w:r>
            <w:r>
              <w:rPr>
                <w:rFonts w:cs="Times New Roman"/>
              </w:rPr>
              <w:t xml:space="preserve">shall be as </w:t>
            </w:r>
            <w:r>
              <w:rPr>
                <w:rFonts w:cs="Times New Roman"/>
                <w:b/>
              </w:rPr>
              <w:t>specified in the BDS</w:t>
            </w:r>
            <w:r>
              <w:rPr>
                <w:rFonts w:cs="Times New Roman"/>
              </w:rPr>
              <w:t>.</w:t>
            </w:r>
          </w:p>
        </w:tc>
      </w:tr>
      <w:tr w14:paraId="0C749700">
        <w:tblPrEx>
          <w:tblCellMar>
            <w:top w:w="0" w:type="dxa"/>
            <w:left w:w="108" w:type="dxa"/>
            <w:bottom w:w="0" w:type="dxa"/>
            <w:right w:w="108" w:type="dxa"/>
          </w:tblCellMar>
        </w:tblPrEx>
        <w:trPr>
          <w:jc w:val="center"/>
        </w:trPr>
        <w:tc>
          <w:tcPr>
            <w:tcW w:w="2430" w:type="dxa"/>
          </w:tcPr>
          <w:p w14:paraId="3882C10E">
            <w:pPr>
              <w:pStyle w:val="68"/>
              <w:numPr>
                <w:ilvl w:val="0"/>
                <w:numId w:val="0"/>
              </w:numPr>
              <w:spacing w:before="100" w:after="100"/>
              <w:rPr>
                <w:rFonts w:ascii="Times New Roman" w:hAnsi="Times New Roman"/>
                <w:sz w:val="24"/>
                <w:szCs w:val="24"/>
              </w:rPr>
            </w:pPr>
          </w:p>
        </w:tc>
        <w:tc>
          <w:tcPr>
            <w:tcW w:w="7020" w:type="dxa"/>
          </w:tcPr>
          <w:p w14:paraId="0B3507B0">
            <w:pPr>
              <w:pStyle w:val="69"/>
              <w:rPr>
                <w:rFonts w:cs="Times New Roman"/>
              </w:rPr>
            </w:pPr>
            <w:r>
              <w:rPr>
                <w:rFonts w:cs="Times New Roman"/>
                <w:iCs/>
              </w:rPr>
              <w:t xml:space="preserve">Bidders may be required by the Employer to justify, to the Employer’s satisfaction, their local and foreign currency requirements, and to substantiate that the amounts included in the </w:t>
            </w:r>
            <w:r>
              <w:t>unit rates and prices and shown in the Schedule of Adjustment Data are reasonable</w:t>
            </w:r>
            <w:r>
              <w:rPr>
                <w:rStyle w:val="28"/>
              </w:rPr>
              <w:footnoteReference w:id="1"/>
            </w:r>
            <w:r>
              <w:t xml:space="preserve">, </w:t>
            </w:r>
            <w:r>
              <w:rPr>
                <w:rFonts w:cs="Times New Roman"/>
                <w:iCs/>
              </w:rPr>
              <w:t>in which case a detailed breakdown of the foreign currency requirements shall be provided by Bidders</w:t>
            </w:r>
            <w:r>
              <w:rPr>
                <w:rFonts w:cs="Times New Roman"/>
              </w:rPr>
              <w:t>.</w:t>
            </w:r>
          </w:p>
        </w:tc>
      </w:tr>
      <w:tr w14:paraId="73121FBE">
        <w:tblPrEx>
          <w:tblCellMar>
            <w:top w:w="0" w:type="dxa"/>
            <w:left w:w="108" w:type="dxa"/>
            <w:bottom w:w="0" w:type="dxa"/>
            <w:right w:w="108" w:type="dxa"/>
          </w:tblCellMar>
        </w:tblPrEx>
        <w:trPr>
          <w:jc w:val="center"/>
        </w:trPr>
        <w:tc>
          <w:tcPr>
            <w:tcW w:w="2430" w:type="dxa"/>
          </w:tcPr>
          <w:p w14:paraId="6FD186FB">
            <w:pPr>
              <w:pStyle w:val="143"/>
            </w:pPr>
            <w:bookmarkStart w:id="145" w:name="_Toc97371019"/>
            <w:bookmarkStart w:id="146" w:name="_Toc178538540"/>
            <w:bookmarkStart w:id="147" w:name="_Toc139863118"/>
            <w:r>
              <w:t>Documents Comprising the Technical Proposal</w:t>
            </w:r>
            <w:bookmarkEnd w:id="145"/>
            <w:bookmarkEnd w:id="146"/>
            <w:bookmarkEnd w:id="147"/>
          </w:p>
        </w:tc>
        <w:tc>
          <w:tcPr>
            <w:tcW w:w="7020" w:type="dxa"/>
          </w:tcPr>
          <w:p w14:paraId="54343CED">
            <w:pPr>
              <w:pStyle w:val="69"/>
              <w:rPr>
                <w:rFonts w:cs="Times New Roman"/>
              </w:rPr>
            </w:pPr>
            <w:r>
              <w:rPr>
                <w:rFonts w:cs="Times New Roman"/>
              </w:rPr>
              <w:t xml:space="preserve">The Bidder shall furnish a Technical Proposal including a statement of work methods, equipment, personnel, schedule and any other information as stipulated in Section </w:t>
            </w:r>
            <w:r>
              <w:rPr>
                <w:rStyle w:val="145"/>
                <w:rFonts w:cs="Times New Roman"/>
                <w:i w:val="0"/>
              </w:rPr>
              <w:t>IV,</w:t>
            </w:r>
            <w:r>
              <w:rPr>
                <w:rFonts w:cs="Times New Roman"/>
              </w:rPr>
              <w:t xml:space="preserve"> Bidding Forms, in sufficient detail to demonstrate the adequacy of the Bidders’ proposal to meet the work requirements and the completion time.  </w:t>
            </w:r>
          </w:p>
        </w:tc>
      </w:tr>
      <w:tr w14:paraId="5696B174">
        <w:tblPrEx>
          <w:tblCellMar>
            <w:top w:w="0" w:type="dxa"/>
            <w:left w:w="108" w:type="dxa"/>
            <w:bottom w:w="0" w:type="dxa"/>
            <w:right w:w="108" w:type="dxa"/>
          </w:tblCellMar>
        </w:tblPrEx>
        <w:trPr>
          <w:jc w:val="center"/>
        </w:trPr>
        <w:tc>
          <w:tcPr>
            <w:tcW w:w="2430" w:type="dxa"/>
          </w:tcPr>
          <w:p w14:paraId="1958BF73">
            <w:pPr>
              <w:pStyle w:val="143"/>
            </w:pPr>
            <w:bookmarkStart w:id="148" w:name="_Toc438907222"/>
            <w:bookmarkStart w:id="149" w:name="_Toc438532603"/>
            <w:bookmarkStart w:id="150" w:name="_Toc438438840"/>
            <w:bookmarkStart w:id="151" w:name="_Toc438733984"/>
            <w:bookmarkStart w:id="152" w:name="_Toc139863119"/>
            <w:bookmarkStart w:id="153" w:name="_Toc178538541"/>
            <w:bookmarkStart w:id="154" w:name="_Toc438907023"/>
            <w:bookmarkStart w:id="155" w:name="_Toc97371020"/>
            <w:r>
              <w:t>Documents Establishing the Qualifications of the Bidder</w:t>
            </w:r>
            <w:bookmarkEnd w:id="148"/>
            <w:bookmarkEnd w:id="149"/>
            <w:bookmarkEnd w:id="150"/>
            <w:bookmarkEnd w:id="151"/>
            <w:bookmarkEnd w:id="152"/>
            <w:bookmarkEnd w:id="153"/>
            <w:bookmarkEnd w:id="154"/>
            <w:bookmarkEnd w:id="155"/>
          </w:p>
        </w:tc>
        <w:tc>
          <w:tcPr>
            <w:tcW w:w="7020" w:type="dxa"/>
          </w:tcPr>
          <w:p w14:paraId="7CB56954">
            <w:pPr>
              <w:pStyle w:val="146"/>
            </w:pPr>
            <w:r>
              <w:t xml:space="preserve">In accordance with Section III, Evaluation and Qualification Criteria, to establish its qualifications to perform the Contract, the Bidder shall provide the information requested in the corresponding information sheets included in Section </w:t>
            </w:r>
            <w:r>
              <w:rPr>
                <w:rStyle w:val="145"/>
                <w:rFonts w:cs="Times New Roman"/>
                <w:i w:val="0"/>
              </w:rPr>
              <w:t>IV,</w:t>
            </w:r>
            <w:r>
              <w:t xml:space="preserve"> Bidding Forms.</w:t>
            </w:r>
          </w:p>
        </w:tc>
      </w:tr>
      <w:tr w14:paraId="3B248E59">
        <w:tblPrEx>
          <w:tblCellMar>
            <w:top w:w="0" w:type="dxa"/>
            <w:left w:w="108" w:type="dxa"/>
            <w:bottom w:w="0" w:type="dxa"/>
            <w:right w:w="108" w:type="dxa"/>
          </w:tblCellMar>
        </w:tblPrEx>
        <w:trPr>
          <w:jc w:val="center"/>
        </w:trPr>
        <w:tc>
          <w:tcPr>
            <w:tcW w:w="2430" w:type="dxa"/>
          </w:tcPr>
          <w:p w14:paraId="6E228561">
            <w:pPr>
              <w:pStyle w:val="68"/>
              <w:numPr>
                <w:ilvl w:val="0"/>
                <w:numId w:val="0"/>
              </w:numPr>
              <w:spacing w:after="120"/>
              <w:rPr>
                <w:rFonts w:ascii="Times New Roman" w:hAnsi="Times New Roman"/>
                <w:sz w:val="24"/>
                <w:szCs w:val="24"/>
              </w:rPr>
            </w:pPr>
          </w:p>
        </w:tc>
        <w:tc>
          <w:tcPr>
            <w:tcW w:w="7020" w:type="dxa"/>
          </w:tcPr>
          <w:p w14:paraId="3D63DD10">
            <w:pPr>
              <w:pStyle w:val="69"/>
              <w:rPr>
                <w:rFonts w:cs="Times New Roman"/>
              </w:rPr>
            </w:pPr>
            <w:r>
              <w:rPr>
                <w:rFonts w:cs="Times New Roman"/>
              </w:rPr>
              <w:t>If a margin of preference applies as specified in accordance with ITB 33.1, domestic Bidders, individually or in joint ventures, applying for eligibility for domestic preference shall supply all information required to satisfy the criteria for eligibility specified in accordance with ITB 33.1.</w:t>
            </w:r>
          </w:p>
        </w:tc>
      </w:tr>
      <w:tr w14:paraId="78F32E45">
        <w:tblPrEx>
          <w:tblCellMar>
            <w:top w:w="0" w:type="dxa"/>
            <w:left w:w="108" w:type="dxa"/>
            <w:bottom w:w="0" w:type="dxa"/>
            <w:right w:w="108" w:type="dxa"/>
          </w:tblCellMar>
        </w:tblPrEx>
        <w:trPr>
          <w:jc w:val="center"/>
        </w:trPr>
        <w:tc>
          <w:tcPr>
            <w:tcW w:w="2430" w:type="dxa"/>
          </w:tcPr>
          <w:p w14:paraId="0475B684">
            <w:pPr>
              <w:pStyle w:val="143"/>
            </w:pPr>
            <w:bookmarkStart w:id="156" w:name="_Toc178538542"/>
            <w:bookmarkStart w:id="157" w:name="_Toc438532604"/>
            <w:bookmarkStart w:id="158" w:name="_Toc438733985"/>
            <w:bookmarkStart w:id="159" w:name="_Toc438438841"/>
            <w:bookmarkStart w:id="160" w:name="_Toc97371021"/>
            <w:bookmarkStart w:id="161" w:name="_Toc139863120"/>
            <w:bookmarkStart w:id="162" w:name="_Toc438907024"/>
            <w:bookmarkStart w:id="163" w:name="_Toc438907223"/>
            <w:r>
              <w:t>Period of Validity of Bids</w:t>
            </w:r>
            <w:bookmarkEnd w:id="156"/>
            <w:bookmarkEnd w:id="157"/>
            <w:bookmarkEnd w:id="158"/>
            <w:bookmarkEnd w:id="159"/>
            <w:bookmarkEnd w:id="160"/>
            <w:bookmarkEnd w:id="161"/>
            <w:bookmarkEnd w:id="162"/>
            <w:bookmarkEnd w:id="163"/>
          </w:p>
        </w:tc>
        <w:tc>
          <w:tcPr>
            <w:tcW w:w="7020" w:type="dxa"/>
          </w:tcPr>
          <w:p w14:paraId="32E792B0">
            <w:pPr>
              <w:pStyle w:val="146"/>
            </w:pPr>
            <w:r>
              <w:t xml:space="preserve">Bids shall remain valid until the date specified </w:t>
            </w:r>
            <w:r>
              <w:rPr>
                <w:b/>
              </w:rPr>
              <w:t>in the</w:t>
            </w:r>
            <w:r>
              <w:t xml:space="preserve"> </w:t>
            </w:r>
            <w:r>
              <w:rPr>
                <w:b/>
              </w:rPr>
              <w:t xml:space="preserve">BDS </w:t>
            </w:r>
            <w:r>
              <w:t xml:space="preserve">or any extended date if amended by the Employer in accordance with ITB 8. A bid that is not valid until the date specified </w:t>
            </w:r>
            <w:r>
              <w:rPr>
                <w:b/>
              </w:rPr>
              <w:t>in the BDS,</w:t>
            </w:r>
            <w:r>
              <w:t xml:space="preserve"> or any extended date if amended by the Employer in accordance with ITB 8, shall be rejected by the Employer as nonresponsive.</w:t>
            </w:r>
          </w:p>
        </w:tc>
      </w:tr>
      <w:tr w14:paraId="3E5AFC2A">
        <w:tblPrEx>
          <w:tblCellMar>
            <w:top w:w="0" w:type="dxa"/>
            <w:left w:w="108" w:type="dxa"/>
            <w:bottom w:w="0" w:type="dxa"/>
            <w:right w:w="108" w:type="dxa"/>
          </w:tblCellMar>
        </w:tblPrEx>
        <w:trPr>
          <w:jc w:val="center"/>
        </w:trPr>
        <w:tc>
          <w:tcPr>
            <w:tcW w:w="2430" w:type="dxa"/>
          </w:tcPr>
          <w:p w14:paraId="24430015">
            <w:pPr>
              <w:pStyle w:val="68"/>
              <w:keepNext/>
              <w:numPr>
                <w:ilvl w:val="0"/>
                <w:numId w:val="0"/>
              </w:numPr>
              <w:spacing w:after="120"/>
              <w:rPr>
                <w:rFonts w:ascii="Times New Roman" w:hAnsi="Times New Roman"/>
                <w:sz w:val="24"/>
                <w:szCs w:val="24"/>
              </w:rPr>
            </w:pPr>
          </w:p>
        </w:tc>
        <w:tc>
          <w:tcPr>
            <w:tcW w:w="7020" w:type="dxa"/>
          </w:tcPr>
          <w:p w14:paraId="3966F893">
            <w:pPr>
              <w:pStyle w:val="146"/>
            </w:pPr>
            <w:r>
              <w:t xml:space="preserve">In exceptional circumstances, prior to the date of expiry of the bid validity, the </w:t>
            </w:r>
            <w:r>
              <w:rPr>
                <w:rStyle w:val="145"/>
                <w:rFonts w:cs="Times New Roman"/>
                <w:i w:val="0"/>
              </w:rPr>
              <w:t>Employer</w:t>
            </w:r>
            <w:r>
              <w:t xml:space="preserve"> may request Bidders to extend the period of validity of their bids. The request and the responses shall be made in writing. If a bid security is requested in accordance with ITB 19, it shall also be extended for</w:t>
            </w:r>
            <w:r>
              <w:rPr>
                <w:spacing w:val="-4"/>
              </w:rPr>
              <w:t xml:space="preserve"> </w:t>
            </w:r>
            <w:r>
              <w:t>twenty-eight (28) days beyond the extended date for bid validity.</w:t>
            </w:r>
            <w:r>
              <w:rPr>
                <w:spacing w:val="-4"/>
              </w:rPr>
              <w:t xml:space="preserve"> A Bidder may refuse the request without forfeiting its bid security. A Bidder granting the request shall not be required or permitted to modify its bid,</w:t>
            </w:r>
            <w:r>
              <w:rPr>
                <w:iCs/>
              </w:rPr>
              <w:t xml:space="preserve"> except as provided in ITB 18.3.</w:t>
            </w:r>
          </w:p>
        </w:tc>
      </w:tr>
      <w:tr w14:paraId="40E04F16">
        <w:tblPrEx>
          <w:tblCellMar>
            <w:top w:w="0" w:type="dxa"/>
            <w:left w:w="108" w:type="dxa"/>
            <w:bottom w:w="0" w:type="dxa"/>
            <w:right w:w="108" w:type="dxa"/>
          </w:tblCellMar>
        </w:tblPrEx>
        <w:trPr>
          <w:jc w:val="center"/>
        </w:trPr>
        <w:tc>
          <w:tcPr>
            <w:tcW w:w="2430" w:type="dxa"/>
          </w:tcPr>
          <w:p w14:paraId="4388AC27">
            <w:pPr>
              <w:pStyle w:val="68"/>
              <w:keepNext/>
              <w:numPr>
                <w:ilvl w:val="0"/>
                <w:numId w:val="0"/>
              </w:numPr>
              <w:spacing w:after="120"/>
              <w:rPr>
                <w:rFonts w:ascii="Times New Roman" w:hAnsi="Times New Roman"/>
                <w:sz w:val="24"/>
                <w:szCs w:val="24"/>
              </w:rPr>
            </w:pPr>
          </w:p>
        </w:tc>
        <w:tc>
          <w:tcPr>
            <w:tcW w:w="7020" w:type="dxa"/>
          </w:tcPr>
          <w:p w14:paraId="6D412649">
            <w:pPr>
              <w:pStyle w:val="144"/>
              <w:rPr>
                <w:rFonts w:cs="Times New Roman"/>
                <w:i w:val="0"/>
              </w:rPr>
            </w:pPr>
            <w:r>
              <w:rPr>
                <w:rFonts w:cs="Times New Roman"/>
                <w:i w:val="0"/>
              </w:rPr>
              <w:t xml:space="preserve">If the award is delayed by a period exceeding fifty-six (56) days beyond the expiry of the initial bid validity, the Contract price shall be determined as follows: </w:t>
            </w:r>
          </w:p>
          <w:p w14:paraId="7766C1B7">
            <w:pPr>
              <w:pStyle w:val="169"/>
              <w:numPr>
                <w:ilvl w:val="2"/>
                <w:numId w:val="33"/>
              </w:numPr>
              <w:tabs>
                <w:tab w:val="left" w:pos="576"/>
                <w:tab w:val="left" w:pos="1062"/>
              </w:tabs>
              <w:ind w:left="1062" w:hanging="450"/>
              <w:rPr>
                <w:lang w:val="en-US"/>
              </w:rPr>
            </w:pPr>
            <w:r>
              <w:rPr>
                <w:lang w:val="en-US"/>
              </w:rPr>
              <w:t xml:space="preserve">In the case of fixed price contracts, the Contract price shall be the bid price adjusted by the factor </w:t>
            </w:r>
            <w:r>
              <w:rPr>
                <w:b/>
                <w:lang w:val="en-US"/>
              </w:rPr>
              <w:t>specified in the</w:t>
            </w:r>
            <w:r>
              <w:rPr>
                <w:lang w:val="en-US"/>
              </w:rPr>
              <w:t xml:space="preserve"> </w:t>
            </w:r>
            <w:r>
              <w:rPr>
                <w:b/>
                <w:lang w:val="en-US"/>
              </w:rPr>
              <w:t>BDS</w:t>
            </w:r>
            <w:r>
              <w:rPr>
                <w:lang w:val="en-US"/>
              </w:rPr>
              <w:t xml:space="preserve">. </w:t>
            </w:r>
          </w:p>
          <w:p w14:paraId="3C228BC8">
            <w:pPr>
              <w:pStyle w:val="169"/>
              <w:numPr>
                <w:ilvl w:val="2"/>
                <w:numId w:val="33"/>
              </w:numPr>
              <w:tabs>
                <w:tab w:val="left" w:pos="576"/>
                <w:tab w:val="left" w:pos="1062"/>
              </w:tabs>
              <w:ind w:left="1062" w:hanging="450"/>
              <w:rPr>
                <w:lang w:val="en-US"/>
              </w:rPr>
            </w:pPr>
            <w:r>
              <w:rPr>
                <w:lang w:val="en-US"/>
              </w:rPr>
              <w:t>In the case of adjustable price contracts, no adjustment shall be made.</w:t>
            </w:r>
          </w:p>
          <w:p w14:paraId="14594CB4">
            <w:pPr>
              <w:pStyle w:val="169"/>
              <w:numPr>
                <w:ilvl w:val="2"/>
                <w:numId w:val="33"/>
              </w:numPr>
              <w:tabs>
                <w:tab w:val="left" w:pos="576"/>
                <w:tab w:val="left" w:pos="1062"/>
              </w:tabs>
              <w:ind w:left="1062" w:hanging="450"/>
              <w:rPr>
                <w:lang w:val="en-US"/>
              </w:rPr>
            </w:pPr>
            <w:r>
              <w:rPr>
                <w:lang w:val="en-US"/>
              </w:rPr>
              <w:t>In any case, bid evaluation shall be based on the bid price without taking into consideration the applicable correction from those indicated above.</w:t>
            </w:r>
          </w:p>
        </w:tc>
      </w:tr>
      <w:tr w14:paraId="5C3418C4">
        <w:tblPrEx>
          <w:tblCellMar>
            <w:top w:w="0" w:type="dxa"/>
            <w:left w:w="108" w:type="dxa"/>
            <w:bottom w:w="0" w:type="dxa"/>
            <w:right w:w="108" w:type="dxa"/>
          </w:tblCellMar>
        </w:tblPrEx>
        <w:trPr>
          <w:jc w:val="center"/>
        </w:trPr>
        <w:tc>
          <w:tcPr>
            <w:tcW w:w="2430" w:type="dxa"/>
          </w:tcPr>
          <w:p w14:paraId="7846D395">
            <w:pPr>
              <w:pStyle w:val="143"/>
            </w:pPr>
            <w:bookmarkStart w:id="164" w:name="_Toc438733986"/>
            <w:bookmarkStart w:id="165" w:name="_Toc438532605"/>
            <w:bookmarkStart w:id="166" w:name="_Toc438907224"/>
            <w:bookmarkStart w:id="167" w:name="_Toc438438842"/>
            <w:bookmarkStart w:id="168" w:name="_Toc438907025"/>
            <w:bookmarkStart w:id="169" w:name="_Toc139863121"/>
            <w:bookmarkStart w:id="170" w:name="_Toc178538543"/>
            <w:bookmarkStart w:id="171" w:name="_Toc97371022"/>
            <w:r>
              <w:t>Bid Security</w:t>
            </w:r>
            <w:bookmarkEnd w:id="164"/>
            <w:bookmarkEnd w:id="165"/>
            <w:bookmarkEnd w:id="166"/>
            <w:bookmarkEnd w:id="167"/>
            <w:bookmarkEnd w:id="168"/>
            <w:bookmarkEnd w:id="169"/>
            <w:bookmarkEnd w:id="170"/>
            <w:bookmarkEnd w:id="171"/>
          </w:p>
        </w:tc>
        <w:tc>
          <w:tcPr>
            <w:tcW w:w="7020" w:type="dxa"/>
          </w:tcPr>
          <w:p w14:paraId="502FFE1A">
            <w:pPr>
              <w:pStyle w:val="69"/>
              <w:rPr>
                <w:rFonts w:cs="Times New Roman"/>
              </w:rPr>
            </w:pPr>
            <w:r>
              <w:t xml:space="preserve">The Bidder shall furnish as part of its bid, either a Bid-Securing Declaration or a bid security </w:t>
            </w:r>
            <w:r>
              <w:rPr>
                <w:b/>
              </w:rPr>
              <w:t>as specified in the BDS</w:t>
            </w:r>
            <w:r>
              <w:t xml:space="preserve">, in original form and, in the case of a bid security, in the amount and currency </w:t>
            </w:r>
            <w:r>
              <w:rPr>
                <w:rStyle w:val="171"/>
                <w:lang w:val="en-US"/>
              </w:rPr>
              <w:t>specified in the BDS</w:t>
            </w:r>
            <w:r>
              <w:t>.</w:t>
            </w:r>
          </w:p>
        </w:tc>
      </w:tr>
      <w:tr w14:paraId="67FED2BE">
        <w:tblPrEx>
          <w:tblCellMar>
            <w:top w:w="0" w:type="dxa"/>
            <w:left w:w="108" w:type="dxa"/>
            <w:bottom w:w="0" w:type="dxa"/>
            <w:right w:w="108" w:type="dxa"/>
          </w:tblCellMar>
        </w:tblPrEx>
        <w:trPr>
          <w:jc w:val="center"/>
        </w:trPr>
        <w:tc>
          <w:tcPr>
            <w:tcW w:w="2430" w:type="dxa"/>
          </w:tcPr>
          <w:p w14:paraId="55A6F191">
            <w:pPr>
              <w:pStyle w:val="68"/>
              <w:numPr>
                <w:ilvl w:val="0"/>
                <w:numId w:val="0"/>
              </w:numPr>
              <w:spacing w:after="120"/>
              <w:rPr>
                <w:rFonts w:ascii="Times New Roman" w:hAnsi="Times New Roman"/>
                <w:sz w:val="24"/>
                <w:szCs w:val="24"/>
              </w:rPr>
            </w:pPr>
          </w:p>
        </w:tc>
        <w:tc>
          <w:tcPr>
            <w:tcW w:w="7020" w:type="dxa"/>
          </w:tcPr>
          <w:p w14:paraId="008E23C4">
            <w:pPr>
              <w:pStyle w:val="69"/>
              <w:rPr>
                <w:rFonts w:cs="Times New Roman"/>
              </w:rPr>
            </w:pPr>
            <w:r>
              <w:rPr>
                <w:rFonts w:cs="Times New Roman"/>
              </w:rPr>
              <w:t>A Bid Securing Declaration shall use the form included in Section IV, Bidding Forms.</w:t>
            </w:r>
          </w:p>
        </w:tc>
      </w:tr>
      <w:tr w14:paraId="123FE007">
        <w:tblPrEx>
          <w:tblCellMar>
            <w:top w:w="0" w:type="dxa"/>
            <w:left w:w="108" w:type="dxa"/>
            <w:bottom w:w="0" w:type="dxa"/>
            <w:right w:w="108" w:type="dxa"/>
          </w:tblCellMar>
        </w:tblPrEx>
        <w:trPr>
          <w:jc w:val="center"/>
        </w:trPr>
        <w:tc>
          <w:tcPr>
            <w:tcW w:w="2430" w:type="dxa"/>
          </w:tcPr>
          <w:p w14:paraId="35E7BA3D">
            <w:pPr>
              <w:spacing w:before="120" w:after="120"/>
            </w:pPr>
          </w:p>
        </w:tc>
        <w:tc>
          <w:tcPr>
            <w:tcW w:w="7020" w:type="dxa"/>
          </w:tcPr>
          <w:p w14:paraId="15E074BA">
            <w:pPr>
              <w:pStyle w:val="69"/>
              <w:rPr>
                <w:rFonts w:cs="Times New Roman"/>
              </w:rPr>
            </w:pPr>
            <w:r>
              <w:rPr>
                <w:rStyle w:val="145"/>
                <w:rFonts w:cs="Times New Roman"/>
                <w:i w:val="0"/>
              </w:rPr>
              <w:t>If a bid security is specified pursuant to ITB 19.1</w:t>
            </w:r>
            <w:r>
              <w:rPr>
                <w:rFonts w:cs="Times New Roman"/>
                <w:i/>
              </w:rPr>
              <w:t xml:space="preserve">, </w:t>
            </w:r>
            <w:r>
              <w:rPr>
                <w:rFonts w:cs="Times New Roman"/>
              </w:rPr>
              <w:t>the bid security shall be</w:t>
            </w:r>
            <w:r>
              <w:rPr>
                <w:iCs/>
              </w:rPr>
              <w:t xml:space="preserve"> a demand guarantee</w:t>
            </w:r>
            <w:r>
              <w:t xml:space="preserve"> in any of the following forms at the Bidder’s option</w:t>
            </w:r>
            <w:r>
              <w:rPr>
                <w:rFonts w:cs="Times New Roman"/>
              </w:rPr>
              <w:t>:</w:t>
            </w:r>
          </w:p>
          <w:p w14:paraId="5EEAD0BF">
            <w:pPr>
              <w:pStyle w:val="70"/>
              <w:numPr>
                <w:ilvl w:val="0"/>
                <w:numId w:val="34"/>
              </w:numPr>
              <w:tabs>
                <w:tab w:val="clear" w:pos="1224"/>
              </w:tabs>
              <w:ind w:left="927"/>
              <w:rPr>
                <w:szCs w:val="24"/>
              </w:rPr>
            </w:pPr>
            <w:r>
              <w:rPr>
                <w:szCs w:val="24"/>
              </w:rPr>
              <w:t xml:space="preserve">an unconditional guarantee issued by a bank or financial institution (such as an insurance, bonding or surety company); </w:t>
            </w:r>
          </w:p>
          <w:p w14:paraId="71570CAB">
            <w:pPr>
              <w:pStyle w:val="70"/>
              <w:numPr>
                <w:ilvl w:val="0"/>
                <w:numId w:val="34"/>
              </w:numPr>
              <w:tabs>
                <w:tab w:val="clear" w:pos="1224"/>
              </w:tabs>
              <w:ind w:left="927"/>
              <w:rPr>
                <w:szCs w:val="24"/>
              </w:rPr>
            </w:pPr>
            <w:r>
              <w:rPr>
                <w:szCs w:val="24"/>
              </w:rPr>
              <w:t xml:space="preserve">an irrevocable letter of credit; </w:t>
            </w:r>
          </w:p>
          <w:p w14:paraId="338E01CB">
            <w:pPr>
              <w:pStyle w:val="70"/>
              <w:numPr>
                <w:ilvl w:val="0"/>
                <w:numId w:val="34"/>
              </w:numPr>
              <w:tabs>
                <w:tab w:val="clear" w:pos="1224"/>
              </w:tabs>
              <w:ind w:left="927"/>
              <w:rPr>
                <w:szCs w:val="24"/>
              </w:rPr>
            </w:pPr>
            <w:r>
              <w:rPr>
                <w:szCs w:val="24"/>
              </w:rPr>
              <w:t>a cashier’s or certified check; or</w:t>
            </w:r>
          </w:p>
          <w:p w14:paraId="69E7A462">
            <w:pPr>
              <w:pStyle w:val="70"/>
              <w:numPr>
                <w:ilvl w:val="0"/>
                <w:numId w:val="34"/>
              </w:numPr>
              <w:tabs>
                <w:tab w:val="clear" w:pos="1224"/>
              </w:tabs>
              <w:ind w:left="927"/>
              <w:rPr>
                <w:szCs w:val="24"/>
              </w:rPr>
            </w:pPr>
            <w:r>
              <w:rPr>
                <w:bCs/>
                <w:szCs w:val="24"/>
              </w:rPr>
              <w:t xml:space="preserve">another security </w:t>
            </w:r>
            <w:r>
              <w:rPr>
                <w:b/>
                <w:bCs/>
                <w:szCs w:val="24"/>
              </w:rPr>
              <w:t>specified in the BDS.</w:t>
            </w:r>
          </w:p>
          <w:p w14:paraId="769A230F">
            <w:pPr>
              <w:pStyle w:val="69"/>
              <w:numPr>
                <w:ilvl w:val="0"/>
                <w:numId w:val="0"/>
              </w:numPr>
              <w:ind w:left="522"/>
              <w:rPr>
                <w:rFonts w:cs="Times New Roman"/>
              </w:rPr>
            </w:pPr>
            <w:r>
              <w:rPr>
                <w:rFonts w:cs="Times New Roman"/>
              </w:rPr>
              <w:t>fro</w:t>
            </w:r>
            <w:r>
              <w:rPr>
                <w:rFonts w:cs="Times New Roman"/>
                <w:bCs/>
              </w:rPr>
              <w:t xml:space="preserve">m a reputable source from an eligible country.  If the unconditional guarantee is issued by a financial institution located outside the Employer’s Country, the issuing financial institution shall have a correspondent financial institution located in the Employer’s Country to make it enforceable.  In the case of a bank guarantee, the bid security shall be submitted either using the Bid Security Form included in Section IV, Bidding Forms, or in another substantially similar format approved by the Employer prior to bid submission. The bid security shall be valid for twenty-eight (28) days beyond the original </w:t>
            </w:r>
            <w:r>
              <w:t xml:space="preserve">date of expiry of the bid </w:t>
            </w:r>
            <w:r>
              <w:rPr>
                <w:rFonts w:cs="Times New Roman"/>
                <w:bCs/>
              </w:rPr>
              <w:t xml:space="preserve">validity, </w:t>
            </w:r>
            <w:r>
              <w:t>or beyond any extended date if requested under ITB 18.2</w:t>
            </w:r>
            <w:r>
              <w:rPr>
                <w:rFonts w:cs="Times New Roman"/>
              </w:rPr>
              <w:t>.</w:t>
            </w:r>
          </w:p>
        </w:tc>
      </w:tr>
      <w:tr w14:paraId="54045184">
        <w:tblPrEx>
          <w:tblCellMar>
            <w:top w:w="0" w:type="dxa"/>
            <w:left w:w="108" w:type="dxa"/>
            <w:bottom w:w="0" w:type="dxa"/>
            <w:right w:w="108" w:type="dxa"/>
          </w:tblCellMar>
        </w:tblPrEx>
        <w:trPr>
          <w:jc w:val="center"/>
        </w:trPr>
        <w:tc>
          <w:tcPr>
            <w:tcW w:w="2430" w:type="dxa"/>
          </w:tcPr>
          <w:p w14:paraId="37821D79">
            <w:pPr>
              <w:spacing w:before="120" w:after="120"/>
            </w:pPr>
          </w:p>
        </w:tc>
        <w:tc>
          <w:tcPr>
            <w:tcW w:w="7020" w:type="dxa"/>
          </w:tcPr>
          <w:p w14:paraId="15B175E3">
            <w:pPr>
              <w:pStyle w:val="69"/>
              <w:rPr>
                <w:rFonts w:cs="Times New Roman"/>
              </w:rPr>
            </w:pPr>
            <w:r>
              <w:t xml:space="preserve">If a bid security or Bid Securing Declaration is specified pursuant to ITB 19.1, any bid not accompanied by a substantially responsive bid security or Bid-Securing Declaration shall be rejected by the Employer as non responsive. </w:t>
            </w:r>
          </w:p>
        </w:tc>
      </w:tr>
      <w:tr w14:paraId="3B2862D1">
        <w:tblPrEx>
          <w:tblCellMar>
            <w:top w:w="0" w:type="dxa"/>
            <w:left w:w="108" w:type="dxa"/>
            <w:bottom w:w="0" w:type="dxa"/>
            <w:right w:w="108" w:type="dxa"/>
          </w:tblCellMar>
        </w:tblPrEx>
        <w:trPr>
          <w:jc w:val="center"/>
        </w:trPr>
        <w:tc>
          <w:tcPr>
            <w:tcW w:w="2430" w:type="dxa"/>
          </w:tcPr>
          <w:p w14:paraId="44B81CCE">
            <w:pPr>
              <w:spacing w:before="120" w:after="120"/>
            </w:pPr>
          </w:p>
        </w:tc>
        <w:tc>
          <w:tcPr>
            <w:tcW w:w="7020" w:type="dxa"/>
          </w:tcPr>
          <w:p w14:paraId="6635DB3B">
            <w:pPr>
              <w:pStyle w:val="69"/>
              <w:rPr>
                <w:rFonts w:cs="Times New Roman"/>
              </w:rPr>
            </w:pPr>
            <w:r>
              <w:rPr>
                <w:rFonts w:cs="Times New Roman"/>
              </w:rPr>
              <w:t xml:space="preserve">If a bid security is specified pursuant to ITB 19.1, the bid security of unsuccessful Bidders shall be returned as promptly as possible upon the successful Bidder’s signing the Contract and furnishing the performance security </w:t>
            </w:r>
            <w:r>
              <w:rPr>
                <w:rFonts w:cs="Times New Roman"/>
                <w:color w:val="000000"/>
              </w:rPr>
              <w:t>and if required in the BDS, the Environmental and Social (ES) Performance Security</w:t>
            </w:r>
            <w:r>
              <w:rPr>
                <w:rFonts w:cs="Times New Roman"/>
              </w:rPr>
              <w:t xml:space="preserve"> pursuant to ITB 42.</w:t>
            </w:r>
          </w:p>
        </w:tc>
      </w:tr>
      <w:tr w14:paraId="224B9A72">
        <w:tblPrEx>
          <w:tblCellMar>
            <w:top w:w="0" w:type="dxa"/>
            <w:left w:w="108" w:type="dxa"/>
            <w:bottom w:w="0" w:type="dxa"/>
            <w:right w:w="108" w:type="dxa"/>
          </w:tblCellMar>
        </w:tblPrEx>
        <w:trPr>
          <w:jc w:val="center"/>
        </w:trPr>
        <w:tc>
          <w:tcPr>
            <w:tcW w:w="2430" w:type="dxa"/>
          </w:tcPr>
          <w:p w14:paraId="1763B37C">
            <w:pPr>
              <w:spacing w:before="120" w:after="120"/>
            </w:pPr>
          </w:p>
        </w:tc>
        <w:tc>
          <w:tcPr>
            <w:tcW w:w="7020" w:type="dxa"/>
          </w:tcPr>
          <w:p w14:paraId="66E9616E">
            <w:pPr>
              <w:pStyle w:val="69"/>
              <w:rPr>
                <w:rFonts w:cs="Times New Roman"/>
              </w:rPr>
            </w:pPr>
            <w:r>
              <w:rPr>
                <w:rFonts w:cs="Times New Roman"/>
              </w:rPr>
              <w:t xml:space="preserve">The bid security of the successful Bidder shall be returned as promptly as possible once the successful Bidder has signed the Contract and furnished the required performance security </w:t>
            </w:r>
            <w:r>
              <w:rPr>
                <w:rFonts w:cs="Times New Roman"/>
                <w:color w:val="000000"/>
              </w:rPr>
              <w:t>and if required in the BDS, the Environmental and Social (ES) Performance Security</w:t>
            </w:r>
            <w:r>
              <w:rPr>
                <w:rFonts w:cs="Times New Roman"/>
              </w:rPr>
              <w:t>.</w:t>
            </w:r>
          </w:p>
        </w:tc>
      </w:tr>
      <w:tr w14:paraId="0E75CB46">
        <w:tblPrEx>
          <w:tblCellMar>
            <w:top w:w="0" w:type="dxa"/>
            <w:left w:w="108" w:type="dxa"/>
            <w:bottom w:w="0" w:type="dxa"/>
            <w:right w:w="108" w:type="dxa"/>
          </w:tblCellMar>
        </w:tblPrEx>
        <w:trPr>
          <w:jc w:val="center"/>
        </w:trPr>
        <w:tc>
          <w:tcPr>
            <w:tcW w:w="2430" w:type="dxa"/>
          </w:tcPr>
          <w:p w14:paraId="4970C6F4">
            <w:pPr>
              <w:spacing w:before="120" w:after="120"/>
            </w:pPr>
          </w:p>
        </w:tc>
        <w:tc>
          <w:tcPr>
            <w:tcW w:w="7020" w:type="dxa"/>
          </w:tcPr>
          <w:p w14:paraId="068D59AF">
            <w:pPr>
              <w:pStyle w:val="69"/>
              <w:rPr>
                <w:rFonts w:cs="Times New Roman"/>
              </w:rPr>
            </w:pPr>
            <w:r>
              <w:rPr>
                <w:rFonts w:cs="Times New Roman"/>
              </w:rPr>
              <w:t xml:space="preserve">The bid security may be forfeited: </w:t>
            </w:r>
          </w:p>
          <w:p w14:paraId="77B63648">
            <w:pPr>
              <w:pStyle w:val="70"/>
              <w:numPr>
                <w:ilvl w:val="0"/>
                <w:numId w:val="35"/>
              </w:numPr>
              <w:tabs>
                <w:tab w:val="clear" w:pos="1224"/>
              </w:tabs>
              <w:ind w:left="1107"/>
              <w:rPr>
                <w:szCs w:val="24"/>
              </w:rPr>
            </w:pPr>
            <w:r>
              <w:rPr>
                <w:szCs w:val="24"/>
              </w:rPr>
              <w:t xml:space="preserve">if a Bidder withdraws its bid </w:t>
            </w:r>
            <w:r>
              <w:rPr>
                <w:color w:val="000000" w:themeColor="text1"/>
                <w14:textFill>
                  <w14:solidFill>
                    <w14:schemeClr w14:val="tx1"/>
                  </w14:solidFill>
                </w14:textFill>
              </w:rPr>
              <w:t>prior to the expiry date of the bid validity</w:t>
            </w:r>
            <w:r>
              <w:rPr>
                <w:szCs w:val="24"/>
              </w:rPr>
              <w:t xml:space="preserve"> specified by the Bidder on the Letter of Bid, or any extension thereto provided by the Bidder; or</w:t>
            </w:r>
          </w:p>
          <w:p w14:paraId="244D72B3">
            <w:pPr>
              <w:pStyle w:val="70"/>
              <w:numPr>
                <w:ilvl w:val="0"/>
                <w:numId w:val="35"/>
              </w:numPr>
              <w:tabs>
                <w:tab w:val="clear" w:pos="1224"/>
              </w:tabs>
              <w:ind w:left="1107"/>
              <w:rPr>
                <w:szCs w:val="24"/>
              </w:rPr>
            </w:pPr>
            <w:r>
              <w:rPr>
                <w:szCs w:val="24"/>
              </w:rPr>
              <w:t xml:space="preserve">if the successful Bidder fails to: </w:t>
            </w:r>
          </w:p>
          <w:p w14:paraId="4A361152">
            <w:pPr>
              <w:pStyle w:val="5"/>
              <w:numPr>
                <w:ilvl w:val="1"/>
                <w:numId w:val="35"/>
              </w:numPr>
              <w:tabs>
                <w:tab w:val="clear" w:pos="1764"/>
              </w:tabs>
              <w:spacing w:before="0" w:after="200"/>
              <w:ind w:left="1467" w:hanging="360"/>
              <w:rPr>
                <w:rFonts w:ascii="Times New Roman" w:hAnsi="Times New Roman" w:cs="Times New Roman"/>
                <w:sz w:val="24"/>
                <w:szCs w:val="24"/>
              </w:rPr>
            </w:pPr>
            <w:r>
              <w:rPr>
                <w:rFonts w:ascii="Times New Roman" w:hAnsi="Times New Roman" w:cs="Times New Roman"/>
                <w:sz w:val="24"/>
                <w:szCs w:val="24"/>
              </w:rPr>
              <w:t>sign the Contract in accordance with ITB 41; or</w:t>
            </w:r>
          </w:p>
          <w:p w14:paraId="17435DE5">
            <w:pPr>
              <w:pStyle w:val="5"/>
              <w:numPr>
                <w:ilvl w:val="1"/>
                <w:numId w:val="35"/>
              </w:numPr>
              <w:tabs>
                <w:tab w:val="clear" w:pos="1764"/>
              </w:tabs>
              <w:spacing w:before="0" w:after="200"/>
              <w:ind w:left="1467" w:hanging="360"/>
              <w:rPr>
                <w:rFonts w:ascii="Times New Roman" w:hAnsi="Times New Roman" w:cs="Times New Roman"/>
                <w:sz w:val="24"/>
                <w:szCs w:val="24"/>
              </w:rPr>
            </w:pPr>
            <w:r>
              <w:rPr>
                <w:rFonts w:ascii="Times New Roman" w:hAnsi="Times New Roman" w:cs="Times New Roman"/>
                <w:sz w:val="24"/>
                <w:szCs w:val="24"/>
              </w:rPr>
              <w:t>furnish a performance security and if required in the BDS, the Environmental and Social (ES) Performance Security in accordance with ITB 42.</w:t>
            </w:r>
          </w:p>
        </w:tc>
      </w:tr>
      <w:tr w14:paraId="458ED174">
        <w:tblPrEx>
          <w:tblCellMar>
            <w:top w:w="0" w:type="dxa"/>
            <w:left w:w="108" w:type="dxa"/>
            <w:bottom w:w="0" w:type="dxa"/>
            <w:right w:w="108" w:type="dxa"/>
          </w:tblCellMar>
        </w:tblPrEx>
        <w:trPr>
          <w:jc w:val="center"/>
        </w:trPr>
        <w:tc>
          <w:tcPr>
            <w:tcW w:w="2430" w:type="dxa"/>
          </w:tcPr>
          <w:p w14:paraId="5803EEEE">
            <w:pPr>
              <w:pStyle w:val="68"/>
              <w:numPr>
                <w:ilvl w:val="0"/>
                <w:numId w:val="0"/>
              </w:numPr>
              <w:spacing w:after="120"/>
              <w:rPr>
                <w:rFonts w:ascii="Times New Roman" w:hAnsi="Times New Roman"/>
                <w:sz w:val="24"/>
                <w:szCs w:val="24"/>
              </w:rPr>
            </w:pPr>
          </w:p>
        </w:tc>
        <w:tc>
          <w:tcPr>
            <w:tcW w:w="7020" w:type="dxa"/>
          </w:tcPr>
          <w:p w14:paraId="29F20AA3">
            <w:pPr>
              <w:pStyle w:val="69"/>
              <w:rPr>
                <w:rFonts w:cs="Times New Roman"/>
              </w:rPr>
            </w:pPr>
            <w:r>
              <w:rPr>
                <w:rFonts w:cs="Times New Roman"/>
              </w:rPr>
              <w:t xml:space="preserve">The bid security or the Bid Securing Declaration of a </w:t>
            </w:r>
            <w:r>
              <w:rPr>
                <w:rStyle w:val="145"/>
                <w:rFonts w:cs="Times New Roman"/>
                <w:i w:val="0"/>
              </w:rPr>
              <w:t>JV</w:t>
            </w:r>
            <w:r>
              <w:rPr>
                <w:rFonts w:cs="Times New Roman"/>
                <w:i/>
              </w:rPr>
              <w:t xml:space="preserve"> </w:t>
            </w:r>
            <w:r>
              <w:rPr>
                <w:rFonts w:cs="Times New Roman"/>
              </w:rPr>
              <w:t xml:space="preserve">shall be in the name of the </w:t>
            </w:r>
            <w:r>
              <w:rPr>
                <w:rStyle w:val="145"/>
                <w:rFonts w:cs="Times New Roman"/>
                <w:i w:val="0"/>
              </w:rPr>
              <w:t>JV</w:t>
            </w:r>
            <w:r>
              <w:rPr>
                <w:rFonts w:cs="Times New Roman"/>
                <w:i/>
              </w:rPr>
              <w:t xml:space="preserve"> </w:t>
            </w:r>
            <w:r>
              <w:rPr>
                <w:rFonts w:cs="Times New Roman"/>
              </w:rPr>
              <w:t xml:space="preserve">that submits the bid. If the </w:t>
            </w:r>
            <w:r>
              <w:rPr>
                <w:rStyle w:val="145"/>
                <w:rFonts w:cs="Times New Roman"/>
                <w:i w:val="0"/>
              </w:rPr>
              <w:t>JV</w:t>
            </w:r>
            <w:r>
              <w:rPr>
                <w:rFonts w:cs="Times New Roman"/>
                <w:i/>
              </w:rPr>
              <w:t xml:space="preserve"> </w:t>
            </w:r>
            <w:r>
              <w:rPr>
                <w:rFonts w:cs="Times New Roman"/>
              </w:rPr>
              <w:t xml:space="preserve">has not been constituted into a legally-enforceable </w:t>
            </w:r>
            <w:r>
              <w:rPr>
                <w:rStyle w:val="145"/>
                <w:rFonts w:cs="Times New Roman"/>
                <w:i w:val="0"/>
              </w:rPr>
              <w:t>JV</w:t>
            </w:r>
            <w:r>
              <w:rPr>
                <w:rFonts w:cs="Times New Roman"/>
                <w:i/>
              </w:rPr>
              <w:t>,</w:t>
            </w:r>
            <w:r>
              <w:rPr>
                <w:rFonts w:cs="Times New Roman"/>
              </w:rPr>
              <w:t xml:space="preserve"> at the time of bidding, the Bid Security or the Bid Securing Declaration shall be in the names of all future members as named in the letter of intent mentioned in ITB 4.1 and ITB 11.2. </w:t>
            </w:r>
          </w:p>
        </w:tc>
      </w:tr>
      <w:tr w14:paraId="4C2723D9">
        <w:tblPrEx>
          <w:tblCellMar>
            <w:top w:w="0" w:type="dxa"/>
            <w:left w:w="108" w:type="dxa"/>
            <w:bottom w:w="0" w:type="dxa"/>
            <w:right w:w="108" w:type="dxa"/>
          </w:tblCellMar>
        </w:tblPrEx>
        <w:trPr>
          <w:jc w:val="center"/>
        </w:trPr>
        <w:tc>
          <w:tcPr>
            <w:tcW w:w="2430" w:type="dxa"/>
          </w:tcPr>
          <w:p w14:paraId="13061880"/>
        </w:tc>
        <w:tc>
          <w:tcPr>
            <w:tcW w:w="7020" w:type="dxa"/>
          </w:tcPr>
          <w:p w14:paraId="6BE6934E">
            <w:pPr>
              <w:pStyle w:val="146"/>
            </w:pPr>
            <w:r>
              <w:t xml:space="preserve">If a bid security is </w:t>
            </w:r>
            <w:r>
              <w:rPr>
                <w:rStyle w:val="171"/>
                <w:bCs w:val="0"/>
                <w:lang w:val="en-US"/>
              </w:rPr>
              <w:t>not required in the BDS</w:t>
            </w:r>
            <w:r>
              <w:t>, and</w:t>
            </w:r>
          </w:p>
          <w:p w14:paraId="07AE0902">
            <w:pPr>
              <w:pStyle w:val="70"/>
              <w:numPr>
                <w:ilvl w:val="1"/>
                <w:numId w:val="36"/>
              </w:numPr>
              <w:tabs>
                <w:tab w:val="left" w:pos="1080"/>
                <w:tab w:val="clear" w:pos="936"/>
              </w:tabs>
              <w:ind w:left="1107" w:hanging="567"/>
              <w:rPr>
                <w:szCs w:val="24"/>
              </w:rPr>
            </w:pPr>
            <w:r>
              <w:rPr>
                <w:szCs w:val="24"/>
              </w:rPr>
              <w:t xml:space="preserve">if a Bidder withdraws its bid </w:t>
            </w:r>
            <w:r>
              <w:rPr>
                <w:color w:val="000000" w:themeColor="text1"/>
                <w14:textFill>
                  <w14:solidFill>
                    <w14:schemeClr w14:val="tx1"/>
                  </w14:solidFill>
                </w14:textFill>
              </w:rPr>
              <w:t xml:space="preserve">prior to the expiry date of the </w:t>
            </w:r>
            <w:r>
              <w:rPr>
                <w:szCs w:val="24"/>
              </w:rPr>
              <w:t xml:space="preserve">Bid validity specified by the Bidder on the Letter of Bid </w:t>
            </w:r>
            <w:r>
              <w:rPr>
                <w:color w:val="000000" w:themeColor="text1"/>
                <w14:textFill>
                  <w14:solidFill>
                    <w14:schemeClr w14:val="tx1"/>
                  </w14:solidFill>
                </w14:textFill>
              </w:rPr>
              <w:t>or any extended date provided by the Bidder</w:t>
            </w:r>
            <w:r>
              <w:rPr>
                <w:szCs w:val="24"/>
              </w:rPr>
              <w:t>; or</w:t>
            </w:r>
          </w:p>
          <w:p w14:paraId="3A9C33F8">
            <w:pPr>
              <w:pStyle w:val="70"/>
              <w:numPr>
                <w:ilvl w:val="0"/>
                <w:numId w:val="0"/>
              </w:numPr>
              <w:tabs>
                <w:tab w:val="left" w:pos="1080"/>
              </w:tabs>
              <w:ind w:left="1107" w:hanging="603"/>
              <w:rPr>
                <w:i/>
                <w:iCs/>
                <w:szCs w:val="24"/>
              </w:rPr>
            </w:pPr>
            <w:r>
              <w:rPr>
                <w:szCs w:val="24"/>
              </w:rPr>
              <w:t>(b)</w:t>
            </w:r>
            <w:r>
              <w:rPr>
                <w:szCs w:val="24"/>
              </w:rPr>
              <w:tab/>
            </w:r>
            <w:r>
              <w:rPr>
                <w:szCs w:val="24"/>
              </w:rPr>
              <w:t xml:space="preserve">if the successful Bidder fails to: sign the Contract in accordance with ITB 41; or furnish a performance security </w:t>
            </w:r>
            <w:r>
              <w:rPr>
                <w:color w:val="000000"/>
              </w:rPr>
              <w:t xml:space="preserve">and if required in the BDS, the Environmental and Social (ES) Performance Security </w:t>
            </w:r>
            <w:r>
              <w:rPr>
                <w:szCs w:val="24"/>
              </w:rPr>
              <w:t>in accordance with ITB 42;</w:t>
            </w:r>
          </w:p>
          <w:p w14:paraId="15828B4F">
            <w:pPr>
              <w:spacing w:after="200"/>
              <w:ind w:left="562"/>
              <w:jc w:val="both"/>
            </w:pPr>
            <w:r>
              <w:t>the Borrower may</w:t>
            </w:r>
            <w:r>
              <w:rPr>
                <w:b/>
              </w:rPr>
              <w:t xml:space="preserve">, </w:t>
            </w:r>
            <w:r>
              <w:rPr>
                <w:rStyle w:val="171"/>
                <w:lang w:val="en-US"/>
              </w:rPr>
              <w:t>if provided for in the BDS</w:t>
            </w:r>
            <w:r>
              <w:rPr>
                <w:b/>
              </w:rPr>
              <w:t>,</w:t>
            </w:r>
            <w:r>
              <w:t xml:space="preserve"> declare the Bidder ineligible to be awarded a contract by the Employer for a period of time </w:t>
            </w:r>
            <w:r>
              <w:rPr>
                <w:rStyle w:val="171"/>
                <w:lang w:val="en-US"/>
              </w:rPr>
              <w:t>as stated in the BDS</w:t>
            </w:r>
            <w:r>
              <w:t>.</w:t>
            </w:r>
          </w:p>
        </w:tc>
      </w:tr>
      <w:tr w14:paraId="145219AB">
        <w:tblPrEx>
          <w:tblCellMar>
            <w:top w:w="0" w:type="dxa"/>
            <w:left w:w="108" w:type="dxa"/>
            <w:bottom w:w="0" w:type="dxa"/>
            <w:right w:w="108" w:type="dxa"/>
          </w:tblCellMar>
        </w:tblPrEx>
        <w:trPr>
          <w:jc w:val="center"/>
        </w:trPr>
        <w:tc>
          <w:tcPr>
            <w:tcW w:w="2430" w:type="dxa"/>
          </w:tcPr>
          <w:p w14:paraId="149726FC">
            <w:pPr>
              <w:pStyle w:val="143"/>
            </w:pPr>
            <w:bookmarkStart w:id="172" w:name="_Toc139863122"/>
            <w:bookmarkStart w:id="173" w:name="_Toc438907225"/>
            <w:bookmarkStart w:id="174" w:name="_Toc438907026"/>
            <w:bookmarkStart w:id="175" w:name="_Toc438532612"/>
            <w:bookmarkStart w:id="176" w:name="_Toc438438843"/>
            <w:bookmarkStart w:id="177" w:name="_Toc178538544"/>
            <w:bookmarkStart w:id="178" w:name="_Toc97371023"/>
            <w:bookmarkStart w:id="179" w:name="_Toc438733987"/>
            <w:r>
              <w:t>Format and Signing of Bid</w:t>
            </w:r>
            <w:bookmarkEnd w:id="172"/>
            <w:bookmarkEnd w:id="173"/>
            <w:bookmarkEnd w:id="174"/>
            <w:bookmarkEnd w:id="175"/>
            <w:bookmarkEnd w:id="176"/>
            <w:bookmarkEnd w:id="177"/>
            <w:bookmarkEnd w:id="178"/>
            <w:bookmarkEnd w:id="179"/>
          </w:p>
        </w:tc>
        <w:tc>
          <w:tcPr>
            <w:tcW w:w="7020" w:type="dxa"/>
          </w:tcPr>
          <w:p w14:paraId="05BF3B49">
            <w:pPr>
              <w:pStyle w:val="69"/>
              <w:rPr>
                <w:rFonts w:cs="Times New Roman"/>
              </w:rPr>
            </w:pPr>
            <w:r>
              <w:rPr>
                <w:rFonts w:cs="Times New Roman"/>
              </w:rPr>
              <w:t>The Bidder shall prepare one original of the documents comprising the bid as described in ITB 11 and clearly mark it “</w:t>
            </w:r>
            <w:r>
              <w:rPr>
                <w:rFonts w:cs="Times New Roman"/>
                <w:smallCaps/>
              </w:rPr>
              <w:t>Original</w:t>
            </w:r>
            <w:r>
              <w:rPr>
                <w:rFonts w:cs="Times New Roman"/>
              </w:rPr>
              <w:t>”. Alternative bids, if permitted in accordance with ITB 13, shall be clearly marked “</w:t>
            </w:r>
            <w:r>
              <w:rPr>
                <w:rFonts w:cs="Times New Roman"/>
                <w:smallCaps/>
              </w:rPr>
              <w:t>Alternative</w:t>
            </w:r>
            <w:r>
              <w:rPr>
                <w:rFonts w:cs="Times New Roman"/>
              </w:rPr>
              <w:t xml:space="preserve">”. In addition, the Bidder shall submit copies of the bid in the number </w:t>
            </w:r>
            <w:r>
              <w:rPr>
                <w:rFonts w:cs="Times New Roman"/>
                <w:b/>
              </w:rPr>
              <w:t>specified in the BDS,</w:t>
            </w:r>
            <w:r>
              <w:rPr>
                <w:rFonts w:cs="Times New Roman"/>
              </w:rPr>
              <w:t xml:space="preserve"> and clearly mark each of them “</w:t>
            </w:r>
            <w:r>
              <w:rPr>
                <w:rFonts w:cs="Times New Roman"/>
                <w:smallCaps/>
              </w:rPr>
              <w:t>Copy</w:t>
            </w:r>
            <w:r>
              <w:rPr>
                <w:rFonts w:cs="Times New Roman"/>
              </w:rPr>
              <w:t xml:space="preserve">.” In the event of any discrepancy between the original and the copies, the original shall prevail. </w:t>
            </w:r>
          </w:p>
        </w:tc>
      </w:tr>
      <w:tr w14:paraId="1C53B4A1">
        <w:tblPrEx>
          <w:tblCellMar>
            <w:top w:w="0" w:type="dxa"/>
            <w:left w:w="108" w:type="dxa"/>
            <w:bottom w:w="0" w:type="dxa"/>
            <w:right w:w="108" w:type="dxa"/>
          </w:tblCellMar>
        </w:tblPrEx>
        <w:trPr>
          <w:jc w:val="center"/>
        </w:trPr>
        <w:tc>
          <w:tcPr>
            <w:tcW w:w="2430" w:type="dxa"/>
          </w:tcPr>
          <w:p w14:paraId="2CAF66CD">
            <w:pPr>
              <w:spacing w:before="120" w:after="120"/>
            </w:pPr>
          </w:p>
        </w:tc>
        <w:tc>
          <w:tcPr>
            <w:tcW w:w="7020" w:type="dxa"/>
          </w:tcPr>
          <w:p w14:paraId="60078A5B">
            <w:pPr>
              <w:pStyle w:val="69"/>
              <w:rPr>
                <w:rFonts w:cs="Times New Roman"/>
              </w:rPr>
            </w:pPr>
            <w:r>
              <w:rPr>
                <w:rFonts w:cs="Times New Roman"/>
              </w:rPr>
              <w:t xml:space="preserve">The original and all copies of the bid shall be typed or written in indelible ink and shall be signed by a person duly authorized to sign on behalf of the Bidder. This authorization shall consist of a written confirmation as </w:t>
            </w:r>
            <w:r>
              <w:rPr>
                <w:rFonts w:cs="Times New Roman"/>
                <w:b/>
              </w:rPr>
              <w:t>specified in the BDS</w:t>
            </w:r>
            <w:r>
              <w:rPr>
                <w:rFonts w:cs="Times New Roman"/>
              </w:rPr>
              <w:t xml:space="preserve"> and shall be attached to the bid. The name and position held by each person signing the authorization must be typed or printed below the signature. </w:t>
            </w:r>
            <w:r>
              <w:rPr>
                <w:rFonts w:cs="Times New Roman"/>
                <w:iCs/>
              </w:rPr>
              <w:t>All pages of the bid where entries or amendments have been made shall be signed or initialed by the person signing the bid.</w:t>
            </w:r>
          </w:p>
        </w:tc>
      </w:tr>
      <w:tr w14:paraId="477B8B7B">
        <w:tblPrEx>
          <w:tblCellMar>
            <w:top w:w="0" w:type="dxa"/>
            <w:left w:w="108" w:type="dxa"/>
            <w:bottom w:w="0" w:type="dxa"/>
            <w:right w:w="108" w:type="dxa"/>
          </w:tblCellMar>
        </w:tblPrEx>
        <w:trPr>
          <w:jc w:val="center"/>
        </w:trPr>
        <w:tc>
          <w:tcPr>
            <w:tcW w:w="2430" w:type="dxa"/>
          </w:tcPr>
          <w:p w14:paraId="524549B9">
            <w:pPr>
              <w:spacing w:before="120" w:after="120"/>
            </w:pPr>
          </w:p>
        </w:tc>
        <w:tc>
          <w:tcPr>
            <w:tcW w:w="7020" w:type="dxa"/>
          </w:tcPr>
          <w:p w14:paraId="472A11C1">
            <w:pPr>
              <w:pStyle w:val="69"/>
              <w:rPr>
                <w:rFonts w:cs="Times New Roman"/>
              </w:rPr>
            </w:pPr>
            <w:r>
              <w:rPr>
                <w:rFonts w:cs="Times New Roman"/>
              </w:rPr>
              <w:t>In case the Bidder is a JV, the Bid shall be signed by an authorized representative of the JV on behalf of the JV, and so as to be legally binding on all the members as evidenced by a power of attorney signed by their legally authorized representatives.</w:t>
            </w:r>
          </w:p>
          <w:p w14:paraId="33F7E0E5">
            <w:pPr>
              <w:pStyle w:val="69"/>
              <w:rPr>
                <w:rFonts w:cs="Times New Roman"/>
              </w:rPr>
            </w:pPr>
            <w:r>
              <w:rPr>
                <w:rFonts w:cs="Times New Roman"/>
              </w:rPr>
              <w:t>Any interlineations, erasures, or overwriting shall be valid only if they are signed or initialed by the person signing the bid.</w:t>
            </w:r>
          </w:p>
        </w:tc>
      </w:tr>
      <w:tr w14:paraId="24181980">
        <w:tblPrEx>
          <w:tblCellMar>
            <w:top w:w="0" w:type="dxa"/>
            <w:left w:w="108" w:type="dxa"/>
            <w:bottom w:w="0" w:type="dxa"/>
            <w:right w:w="108" w:type="dxa"/>
          </w:tblCellMar>
        </w:tblPrEx>
        <w:trPr>
          <w:cantSplit/>
          <w:jc w:val="center"/>
        </w:trPr>
        <w:tc>
          <w:tcPr>
            <w:tcW w:w="9450" w:type="dxa"/>
            <w:gridSpan w:val="2"/>
          </w:tcPr>
          <w:p w14:paraId="69A2C2CD">
            <w:pPr>
              <w:pStyle w:val="167"/>
            </w:pPr>
            <w:bookmarkStart w:id="180" w:name="_Toc178538545"/>
            <w:bookmarkStart w:id="181" w:name="_Toc438438844"/>
            <w:bookmarkStart w:id="182" w:name="_Toc97371024"/>
            <w:bookmarkStart w:id="183" w:name="_Toc461939619"/>
            <w:bookmarkStart w:id="184" w:name="_Toc438733988"/>
            <w:bookmarkStart w:id="185" w:name="_Toc438962070"/>
            <w:bookmarkStart w:id="186" w:name="_Toc438532613"/>
            <w:r>
              <w:t>Submission and Opening of Bids</w:t>
            </w:r>
            <w:bookmarkEnd w:id="180"/>
            <w:bookmarkEnd w:id="181"/>
            <w:bookmarkEnd w:id="182"/>
            <w:bookmarkEnd w:id="183"/>
            <w:bookmarkEnd w:id="184"/>
            <w:bookmarkEnd w:id="185"/>
            <w:bookmarkEnd w:id="186"/>
          </w:p>
        </w:tc>
      </w:tr>
      <w:tr w14:paraId="7EAB1CD9">
        <w:tblPrEx>
          <w:tblCellMar>
            <w:top w:w="0" w:type="dxa"/>
            <w:left w:w="108" w:type="dxa"/>
            <w:bottom w:w="0" w:type="dxa"/>
            <w:right w:w="108" w:type="dxa"/>
          </w:tblCellMar>
        </w:tblPrEx>
        <w:trPr>
          <w:jc w:val="center"/>
        </w:trPr>
        <w:tc>
          <w:tcPr>
            <w:tcW w:w="2430" w:type="dxa"/>
          </w:tcPr>
          <w:p w14:paraId="4B9713F9">
            <w:pPr>
              <w:pStyle w:val="143"/>
            </w:pPr>
            <w:bookmarkStart w:id="187" w:name="_Toc438907027"/>
            <w:bookmarkStart w:id="188" w:name="_Toc178538546"/>
            <w:bookmarkStart w:id="189" w:name="_Toc438907226"/>
            <w:bookmarkStart w:id="190" w:name="_Toc97371025"/>
            <w:bookmarkStart w:id="191" w:name="_Toc438532614"/>
            <w:bookmarkStart w:id="192" w:name="_Toc139863123"/>
            <w:bookmarkStart w:id="193" w:name="_Toc438733989"/>
            <w:bookmarkStart w:id="194" w:name="_Toc438438845"/>
            <w:r>
              <w:t>Sealing and Marking of Bids</w:t>
            </w:r>
            <w:bookmarkEnd w:id="187"/>
            <w:bookmarkEnd w:id="188"/>
            <w:bookmarkEnd w:id="189"/>
            <w:bookmarkEnd w:id="190"/>
            <w:bookmarkEnd w:id="191"/>
            <w:bookmarkEnd w:id="192"/>
            <w:bookmarkEnd w:id="193"/>
            <w:bookmarkEnd w:id="194"/>
          </w:p>
        </w:tc>
        <w:tc>
          <w:tcPr>
            <w:tcW w:w="7020" w:type="dxa"/>
          </w:tcPr>
          <w:p w14:paraId="7DE61471">
            <w:pPr>
              <w:pStyle w:val="69"/>
              <w:rPr>
                <w:rFonts w:cs="Times New Roman"/>
              </w:rPr>
            </w:pPr>
            <w:r>
              <w:t>The Bidder shall enclose the original and all copies of the bid, including alternative bids, if permitted in accordance with ITB 13, in separate sealed envelopes, duly marking the envelopes as “</w:t>
            </w:r>
            <w:r>
              <w:rPr>
                <w:smallCaps/>
              </w:rPr>
              <w:t>Original</w:t>
            </w:r>
            <w:r>
              <w:t>”, “</w:t>
            </w:r>
            <w:r>
              <w:rPr>
                <w:smallCaps/>
              </w:rPr>
              <w:t>Alternative</w:t>
            </w:r>
            <w:r>
              <w:t>” and “</w:t>
            </w:r>
            <w:r>
              <w:rPr>
                <w:smallCaps/>
              </w:rPr>
              <w:t>Copy</w:t>
            </w:r>
            <w:r>
              <w:t xml:space="preserve">.”  These envelopes containing the original and the copies shall then be enclosed in one single envelope. </w:t>
            </w:r>
          </w:p>
        </w:tc>
      </w:tr>
      <w:tr w14:paraId="3B7783B6">
        <w:tblPrEx>
          <w:tblCellMar>
            <w:top w:w="0" w:type="dxa"/>
            <w:left w:w="108" w:type="dxa"/>
            <w:bottom w:w="0" w:type="dxa"/>
            <w:right w:w="108" w:type="dxa"/>
          </w:tblCellMar>
        </w:tblPrEx>
        <w:trPr>
          <w:jc w:val="center"/>
        </w:trPr>
        <w:tc>
          <w:tcPr>
            <w:tcW w:w="2430" w:type="dxa"/>
          </w:tcPr>
          <w:p w14:paraId="057E9CF5">
            <w:pPr>
              <w:spacing w:before="120" w:after="120"/>
            </w:pPr>
          </w:p>
        </w:tc>
        <w:tc>
          <w:tcPr>
            <w:tcW w:w="7020" w:type="dxa"/>
          </w:tcPr>
          <w:p w14:paraId="65581AAC">
            <w:pPr>
              <w:pStyle w:val="146"/>
            </w:pPr>
            <w:r>
              <w:t>The inner and outer envelopes shall:</w:t>
            </w:r>
          </w:p>
          <w:p w14:paraId="0004371E">
            <w:pPr>
              <w:pStyle w:val="70"/>
              <w:numPr>
                <w:ilvl w:val="0"/>
                <w:numId w:val="0"/>
              </w:numPr>
              <w:ind w:left="927" w:hanging="423"/>
              <w:rPr>
                <w:szCs w:val="24"/>
              </w:rPr>
            </w:pPr>
            <w:r>
              <w:rPr>
                <w:szCs w:val="24"/>
              </w:rPr>
              <w:t>(a)</w:t>
            </w:r>
            <w:r>
              <w:rPr>
                <w:szCs w:val="24"/>
              </w:rPr>
              <w:tab/>
            </w:r>
            <w:r>
              <w:rPr>
                <w:szCs w:val="24"/>
              </w:rPr>
              <w:t>bear the name and address of the Bidder;</w:t>
            </w:r>
          </w:p>
          <w:p w14:paraId="3CC32C53">
            <w:pPr>
              <w:pStyle w:val="70"/>
              <w:numPr>
                <w:ilvl w:val="0"/>
                <w:numId w:val="0"/>
              </w:numPr>
              <w:ind w:left="927" w:hanging="423"/>
              <w:rPr>
                <w:szCs w:val="24"/>
              </w:rPr>
            </w:pPr>
            <w:r>
              <w:rPr>
                <w:szCs w:val="24"/>
              </w:rPr>
              <w:t>(b)</w:t>
            </w:r>
            <w:r>
              <w:rPr>
                <w:szCs w:val="24"/>
              </w:rPr>
              <w:tab/>
            </w:r>
            <w:r>
              <w:rPr>
                <w:szCs w:val="24"/>
              </w:rPr>
              <w:t xml:space="preserve">be addressed to the Employer as </w:t>
            </w:r>
            <w:r>
              <w:rPr>
                <w:b/>
                <w:szCs w:val="24"/>
              </w:rPr>
              <w:t>provided in the BDS</w:t>
            </w:r>
            <w:r>
              <w:rPr>
                <w:szCs w:val="24"/>
              </w:rPr>
              <w:t xml:space="preserve"> pursuant to ITB 22.1;</w:t>
            </w:r>
          </w:p>
          <w:p w14:paraId="26884F5C">
            <w:pPr>
              <w:pStyle w:val="70"/>
              <w:numPr>
                <w:ilvl w:val="0"/>
                <w:numId w:val="0"/>
              </w:numPr>
              <w:ind w:left="927" w:hanging="423"/>
              <w:rPr>
                <w:szCs w:val="24"/>
              </w:rPr>
            </w:pPr>
            <w:r>
              <w:rPr>
                <w:szCs w:val="24"/>
              </w:rPr>
              <w:t>(c)</w:t>
            </w:r>
            <w:r>
              <w:rPr>
                <w:szCs w:val="24"/>
              </w:rPr>
              <w:tab/>
            </w:r>
            <w:r>
              <w:rPr>
                <w:szCs w:val="24"/>
              </w:rPr>
              <w:t>bear the specific identification of this bidding process specified in accordance with BDS 1.1; and</w:t>
            </w:r>
          </w:p>
          <w:p w14:paraId="565950A4">
            <w:pPr>
              <w:pStyle w:val="70"/>
              <w:numPr>
                <w:ilvl w:val="0"/>
                <w:numId w:val="0"/>
              </w:numPr>
              <w:ind w:left="927" w:hanging="423"/>
              <w:rPr>
                <w:szCs w:val="24"/>
              </w:rPr>
            </w:pPr>
            <w:r>
              <w:rPr>
                <w:szCs w:val="24"/>
              </w:rPr>
              <w:t>(d)</w:t>
            </w:r>
            <w:r>
              <w:rPr>
                <w:szCs w:val="24"/>
              </w:rPr>
              <w:tab/>
            </w:r>
            <w:r>
              <w:rPr>
                <w:szCs w:val="24"/>
              </w:rPr>
              <w:t>bear a warning not to open before the time and date for bid opening.</w:t>
            </w:r>
          </w:p>
        </w:tc>
      </w:tr>
      <w:tr w14:paraId="51B997CC">
        <w:tblPrEx>
          <w:tblCellMar>
            <w:top w:w="0" w:type="dxa"/>
            <w:left w:w="108" w:type="dxa"/>
            <w:bottom w:w="0" w:type="dxa"/>
            <w:right w:w="108" w:type="dxa"/>
          </w:tblCellMar>
        </w:tblPrEx>
        <w:trPr>
          <w:jc w:val="center"/>
        </w:trPr>
        <w:tc>
          <w:tcPr>
            <w:tcW w:w="2430" w:type="dxa"/>
          </w:tcPr>
          <w:p w14:paraId="7304B8AD">
            <w:pPr>
              <w:spacing w:before="100" w:after="120"/>
            </w:pPr>
          </w:p>
        </w:tc>
        <w:tc>
          <w:tcPr>
            <w:tcW w:w="7020" w:type="dxa"/>
          </w:tcPr>
          <w:p w14:paraId="172DC3B4">
            <w:pPr>
              <w:pStyle w:val="69"/>
              <w:rPr>
                <w:rFonts w:cs="Times New Roman"/>
              </w:rPr>
            </w:pPr>
            <w:r>
              <w:rPr>
                <w:rFonts w:cs="Times New Roman"/>
              </w:rPr>
              <w:t xml:space="preserve">If all envelopes are not sealed and marked as required, the </w:t>
            </w:r>
            <w:r>
              <w:rPr>
                <w:rStyle w:val="145"/>
                <w:rFonts w:cs="Times New Roman"/>
                <w:i w:val="0"/>
              </w:rPr>
              <w:t>Employer</w:t>
            </w:r>
            <w:r>
              <w:rPr>
                <w:rFonts w:cs="Times New Roman"/>
              </w:rPr>
              <w:t xml:space="preserve"> will assume no responsibility for the misplacement or premature opening of the bid.</w:t>
            </w:r>
          </w:p>
        </w:tc>
      </w:tr>
      <w:tr w14:paraId="631794DF">
        <w:tblPrEx>
          <w:tblCellMar>
            <w:top w:w="0" w:type="dxa"/>
            <w:left w:w="108" w:type="dxa"/>
            <w:bottom w:w="0" w:type="dxa"/>
            <w:right w:w="108" w:type="dxa"/>
          </w:tblCellMar>
        </w:tblPrEx>
        <w:trPr>
          <w:trHeight w:val="873" w:hRule="atLeast"/>
          <w:jc w:val="center"/>
        </w:trPr>
        <w:tc>
          <w:tcPr>
            <w:tcW w:w="2430" w:type="dxa"/>
          </w:tcPr>
          <w:p w14:paraId="58014AEB">
            <w:pPr>
              <w:pStyle w:val="143"/>
            </w:pPr>
            <w:bookmarkStart w:id="195" w:name="_Toc438532618"/>
            <w:bookmarkStart w:id="196" w:name="_Toc178538547"/>
            <w:bookmarkStart w:id="197" w:name="_Toc97371026"/>
            <w:bookmarkStart w:id="198" w:name="_Toc438733990"/>
            <w:bookmarkStart w:id="199" w:name="_Toc139863124"/>
            <w:bookmarkStart w:id="200" w:name="_Toc424009124"/>
            <w:bookmarkStart w:id="201" w:name="_Toc438907028"/>
            <w:bookmarkStart w:id="202" w:name="_Toc438438846"/>
            <w:bookmarkStart w:id="203" w:name="_Toc438907227"/>
            <w:r>
              <w:t>Deadline for Submission of Bids</w:t>
            </w:r>
            <w:bookmarkEnd w:id="195"/>
            <w:bookmarkEnd w:id="196"/>
            <w:bookmarkEnd w:id="197"/>
            <w:bookmarkEnd w:id="198"/>
            <w:bookmarkEnd w:id="199"/>
            <w:bookmarkEnd w:id="200"/>
            <w:bookmarkEnd w:id="201"/>
            <w:bookmarkEnd w:id="202"/>
            <w:bookmarkEnd w:id="203"/>
          </w:p>
        </w:tc>
        <w:tc>
          <w:tcPr>
            <w:tcW w:w="7020" w:type="dxa"/>
          </w:tcPr>
          <w:p w14:paraId="44A40318">
            <w:pPr>
              <w:pStyle w:val="69"/>
              <w:rPr>
                <w:rFonts w:cs="Times New Roman"/>
              </w:rPr>
            </w:pPr>
            <w:r>
              <w:rPr>
                <w:rFonts w:cs="Times New Roman"/>
              </w:rPr>
              <w:t xml:space="preserve">Bids must be received by the </w:t>
            </w:r>
            <w:r>
              <w:rPr>
                <w:rStyle w:val="145"/>
                <w:rFonts w:cs="Times New Roman"/>
                <w:i w:val="0"/>
              </w:rPr>
              <w:t>Employer</w:t>
            </w:r>
            <w:r>
              <w:rPr>
                <w:rFonts w:cs="Times New Roman"/>
              </w:rPr>
              <w:t xml:space="preserve"> at the address and no later than the date and time </w:t>
            </w:r>
            <w:r>
              <w:rPr>
                <w:rFonts w:cs="Times New Roman"/>
                <w:b/>
              </w:rPr>
              <w:t>specified in the BDS</w:t>
            </w:r>
            <w:r>
              <w:rPr>
                <w:rFonts w:cs="Times New Roman"/>
              </w:rPr>
              <w:t xml:space="preserve">. </w:t>
            </w:r>
            <w:r>
              <w:rPr>
                <w:rStyle w:val="171"/>
                <w:b w:val="0"/>
                <w:lang w:val="en-US"/>
              </w:rPr>
              <w:t>When so</w:t>
            </w:r>
            <w:r>
              <w:rPr>
                <w:rStyle w:val="171"/>
                <w:lang w:val="en-US"/>
              </w:rPr>
              <w:t xml:space="preserve"> specified in the BDS</w:t>
            </w:r>
            <w:r>
              <w:t xml:space="preserve">, bidders shall have the option of submitting their bids electronically. Bidders submitting bids electronically shall follow the electronic bid submission procedures </w:t>
            </w:r>
            <w:r>
              <w:rPr>
                <w:rStyle w:val="171"/>
                <w:lang w:val="en-US"/>
              </w:rPr>
              <w:t>specified in the BDS.</w:t>
            </w:r>
          </w:p>
        </w:tc>
      </w:tr>
      <w:tr w14:paraId="2FFAF203">
        <w:tblPrEx>
          <w:tblCellMar>
            <w:top w:w="0" w:type="dxa"/>
            <w:left w:w="108" w:type="dxa"/>
            <w:bottom w:w="0" w:type="dxa"/>
            <w:right w:w="108" w:type="dxa"/>
          </w:tblCellMar>
        </w:tblPrEx>
        <w:trPr>
          <w:jc w:val="center"/>
        </w:trPr>
        <w:tc>
          <w:tcPr>
            <w:tcW w:w="2430" w:type="dxa"/>
          </w:tcPr>
          <w:p w14:paraId="1AB71118">
            <w:pPr>
              <w:pStyle w:val="68"/>
              <w:numPr>
                <w:ilvl w:val="0"/>
                <w:numId w:val="0"/>
              </w:numPr>
              <w:spacing w:before="100" w:after="120"/>
              <w:rPr>
                <w:rFonts w:ascii="Times New Roman" w:hAnsi="Times New Roman"/>
                <w:sz w:val="24"/>
                <w:szCs w:val="24"/>
              </w:rPr>
            </w:pPr>
          </w:p>
        </w:tc>
        <w:tc>
          <w:tcPr>
            <w:tcW w:w="7020" w:type="dxa"/>
          </w:tcPr>
          <w:p w14:paraId="7C1796A3">
            <w:pPr>
              <w:pStyle w:val="69"/>
              <w:rPr>
                <w:rFonts w:cs="Times New Roman"/>
              </w:rPr>
            </w:pPr>
            <w:r>
              <w:rPr>
                <w:rFonts w:cs="Times New Roman"/>
              </w:rPr>
              <w:t xml:space="preserve">The </w:t>
            </w:r>
            <w:r>
              <w:rPr>
                <w:rStyle w:val="145"/>
                <w:rFonts w:cs="Times New Roman"/>
                <w:i w:val="0"/>
              </w:rPr>
              <w:t>Employer</w:t>
            </w:r>
            <w:r>
              <w:rPr>
                <w:rFonts w:cs="Times New Roman"/>
              </w:rPr>
              <w:t xml:space="preserve"> may, at its discretion, extend the deadline for the submission of bids by amending the Bidding Document in accordance with ITB 8, in which case all rights and obligations of the </w:t>
            </w:r>
            <w:r>
              <w:rPr>
                <w:rStyle w:val="145"/>
                <w:rFonts w:cs="Times New Roman"/>
                <w:i w:val="0"/>
              </w:rPr>
              <w:t>Employer</w:t>
            </w:r>
            <w:r>
              <w:rPr>
                <w:rFonts w:cs="Times New Roman"/>
              </w:rPr>
              <w:t xml:space="preserve"> and Bidders previously subject to the deadline shall thereafter be subject to the deadline as extended.</w:t>
            </w:r>
          </w:p>
        </w:tc>
      </w:tr>
      <w:tr w14:paraId="6BB2686C">
        <w:tblPrEx>
          <w:tblCellMar>
            <w:top w:w="0" w:type="dxa"/>
            <w:left w:w="108" w:type="dxa"/>
            <w:bottom w:w="0" w:type="dxa"/>
            <w:right w:w="108" w:type="dxa"/>
          </w:tblCellMar>
        </w:tblPrEx>
        <w:trPr>
          <w:jc w:val="center"/>
        </w:trPr>
        <w:tc>
          <w:tcPr>
            <w:tcW w:w="2430" w:type="dxa"/>
          </w:tcPr>
          <w:p w14:paraId="49232E3D">
            <w:pPr>
              <w:pStyle w:val="143"/>
            </w:pPr>
            <w:bookmarkStart w:id="204" w:name="_Toc438532619"/>
            <w:bookmarkStart w:id="205" w:name="_Toc139863125"/>
            <w:bookmarkStart w:id="206" w:name="_Toc97371027"/>
            <w:bookmarkStart w:id="207" w:name="_Toc438907029"/>
            <w:bookmarkStart w:id="208" w:name="_Toc178538548"/>
            <w:bookmarkStart w:id="209" w:name="_Toc438907228"/>
            <w:bookmarkStart w:id="210" w:name="_Toc438438847"/>
            <w:bookmarkStart w:id="211" w:name="_Toc438733991"/>
            <w:r>
              <w:t>Late Bids</w:t>
            </w:r>
            <w:bookmarkEnd w:id="204"/>
            <w:bookmarkEnd w:id="205"/>
            <w:bookmarkEnd w:id="206"/>
            <w:bookmarkEnd w:id="207"/>
            <w:bookmarkEnd w:id="208"/>
            <w:bookmarkEnd w:id="209"/>
            <w:bookmarkEnd w:id="210"/>
            <w:bookmarkEnd w:id="211"/>
          </w:p>
        </w:tc>
        <w:tc>
          <w:tcPr>
            <w:tcW w:w="7020" w:type="dxa"/>
          </w:tcPr>
          <w:p w14:paraId="65B1A922">
            <w:pPr>
              <w:pStyle w:val="69"/>
              <w:rPr>
                <w:rFonts w:cs="Times New Roman"/>
              </w:rPr>
            </w:pPr>
            <w:r>
              <w:rPr>
                <w:rFonts w:cs="Times New Roman"/>
              </w:rPr>
              <w:t xml:space="preserve">The </w:t>
            </w:r>
            <w:r>
              <w:rPr>
                <w:rStyle w:val="145"/>
                <w:rFonts w:cs="Times New Roman"/>
                <w:i w:val="0"/>
              </w:rPr>
              <w:t>Employer</w:t>
            </w:r>
            <w:r>
              <w:rPr>
                <w:rFonts w:cs="Times New Roman"/>
              </w:rPr>
              <w:t xml:space="preserve"> shall not consider any bid that arrives after the deadline for submission of bids, in accordance with ITB 22. Any bid received by the </w:t>
            </w:r>
            <w:r>
              <w:rPr>
                <w:rStyle w:val="145"/>
                <w:rFonts w:cs="Times New Roman"/>
                <w:i w:val="0"/>
              </w:rPr>
              <w:t>Employer</w:t>
            </w:r>
            <w:r>
              <w:rPr>
                <w:rFonts w:cs="Times New Roman"/>
              </w:rPr>
              <w:t xml:space="preserve"> after the deadline for submission of bids shall be declared late, rejected, and returned unopened to the Bidder.</w:t>
            </w:r>
          </w:p>
        </w:tc>
      </w:tr>
      <w:tr w14:paraId="49ACC5D9">
        <w:tblPrEx>
          <w:tblCellMar>
            <w:top w:w="0" w:type="dxa"/>
            <w:left w:w="108" w:type="dxa"/>
            <w:bottom w:w="0" w:type="dxa"/>
            <w:right w:w="108" w:type="dxa"/>
          </w:tblCellMar>
        </w:tblPrEx>
        <w:trPr>
          <w:jc w:val="center"/>
        </w:trPr>
        <w:tc>
          <w:tcPr>
            <w:tcW w:w="2430" w:type="dxa"/>
          </w:tcPr>
          <w:p w14:paraId="365CE6BB">
            <w:pPr>
              <w:pStyle w:val="143"/>
            </w:pPr>
            <w:bookmarkStart w:id="212" w:name="_Toc438907030"/>
            <w:bookmarkStart w:id="213" w:name="_Toc438733992"/>
            <w:bookmarkStart w:id="214" w:name="_Toc178538549"/>
            <w:bookmarkStart w:id="215" w:name="_Toc438438848"/>
            <w:bookmarkStart w:id="216" w:name="_Toc97371028"/>
            <w:bookmarkStart w:id="217" w:name="_Toc438907229"/>
            <w:bookmarkStart w:id="218" w:name="_Toc424009126"/>
            <w:bookmarkStart w:id="219" w:name="_Toc139863126"/>
            <w:bookmarkStart w:id="220" w:name="_Toc438532620"/>
            <w:r>
              <w:t>Withdrawal, Substitution, and Modification of Bids</w:t>
            </w:r>
            <w:bookmarkEnd w:id="212"/>
            <w:bookmarkEnd w:id="213"/>
            <w:bookmarkEnd w:id="214"/>
            <w:bookmarkEnd w:id="215"/>
            <w:bookmarkEnd w:id="216"/>
            <w:bookmarkEnd w:id="217"/>
            <w:bookmarkEnd w:id="218"/>
            <w:bookmarkEnd w:id="219"/>
            <w:bookmarkEnd w:id="220"/>
            <w:r>
              <w:t xml:space="preserve"> </w:t>
            </w:r>
          </w:p>
        </w:tc>
        <w:tc>
          <w:tcPr>
            <w:tcW w:w="7020" w:type="dxa"/>
          </w:tcPr>
          <w:p w14:paraId="250C5233">
            <w:pPr>
              <w:pStyle w:val="146"/>
            </w:pPr>
            <w:r>
              <w:t>A Bidder may withdraw, substitute, or modify its bid after it has been submitted by sending a written notice, duly signed by an authorized representative, and shall include a copy of the authorization in accordance with ITB 20.2, (except that withdrawal notices do not require copies). The corresponding substitution or modification of the bid must accompany the respective written notice. All notices must be:</w:t>
            </w:r>
          </w:p>
          <w:p w14:paraId="64BA4631">
            <w:pPr>
              <w:pStyle w:val="70"/>
              <w:numPr>
                <w:ilvl w:val="0"/>
                <w:numId w:val="0"/>
              </w:numPr>
              <w:ind w:left="927" w:hanging="423"/>
              <w:rPr>
                <w:szCs w:val="24"/>
              </w:rPr>
            </w:pPr>
            <w:r>
              <w:rPr>
                <w:szCs w:val="24"/>
              </w:rPr>
              <w:t>(a)</w:t>
            </w:r>
            <w:r>
              <w:rPr>
                <w:szCs w:val="24"/>
              </w:rPr>
              <w:tab/>
            </w:r>
            <w:r>
              <w:rPr>
                <w:spacing w:val="-4"/>
                <w:szCs w:val="24"/>
              </w:rPr>
              <w:t>prepared and submitted in accordance with ITB 20 and ITB 21 (except that withdrawal notices do not require copies), and in addition, the respective envelopes shall be clearly marked “</w:t>
            </w:r>
            <w:r>
              <w:rPr>
                <w:smallCaps/>
                <w:spacing w:val="-4"/>
                <w:szCs w:val="24"/>
              </w:rPr>
              <w:t>Withdrawal</w:t>
            </w:r>
            <w:r>
              <w:rPr>
                <w:spacing w:val="-4"/>
                <w:szCs w:val="24"/>
              </w:rPr>
              <w:t>,” “</w:t>
            </w:r>
            <w:r>
              <w:rPr>
                <w:smallCaps/>
                <w:spacing w:val="-4"/>
                <w:szCs w:val="24"/>
              </w:rPr>
              <w:t>Substitution</w:t>
            </w:r>
            <w:r>
              <w:rPr>
                <w:spacing w:val="-4"/>
                <w:szCs w:val="24"/>
              </w:rPr>
              <w:t>,” “</w:t>
            </w:r>
            <w:r>
              <w:rPr>
                <w:smallCaps/>
                <w:spacing w:val="-4"/>
                <w:szCs w:val="24"/>
              </w:rPr>
              <w:t>Modification</w:t>
            </w:r>
            <w:r>
              <w:rPr>
                <w:spacing w:val="-4"/>
                <w:szCs w:val="24"/>
              </w:rPr>
              <w:t>;” and</w:t>
            </w:r>
          </w:p>
          <w:p w14:paraId="5923B392">
            <w:pPr>
              <w:pStyle w:val="70"/>
              <w:numPr>
                <w:ilvl w:val="0"/>
                <w:numId w:val="0"/>
              </w:numPr>
              <w:ind w:left="927" w:hanging="423"/>
              <w:rPr>
                <w:spacing w:val="-4"/>
                <w:szCs w:val="24"/>
              </w:rPr>
            </w:pPr>
            <w:r>
              <w:rPr>
                <w:szCs w:val="24"/>
              </w:rPr>
              <w:t>(b)</w:t>
            </w:r>
            <w:r>
              <w:rPr>
                <w:szCs w:val="24"/>
              </w:rPr>
              <w:tab/>
            </w:r>
            <w:r>
              <w:rPr>
                <w:szCs w:val="24"/>
              </w:rPr>
              <w:t>received by the Employer prior to the deadline prescribed for submission of bids, in accordance with ITB 22.</w:t>
            </w:r>
          </w:p>
        </w:tc>
      </w:tr>
      <w:tr w14:paraId="454467BE">
        <w:tblPrEx>
          <w:tblCellMar>
            <w:top w:w="0" w:type="dxa"/>
            <w:left w:w="108" w:type="dxa"/>
            <w:bottom w:w="0" w:type="dxa"/>
            <w:right w:w="108" w:type="dxa"/>
          </w:tblCellMar>
        </w:tblPrEx>
        <w:trPr>
          <w:jc w:val="center"/>
        </w:trPr>
        <w:tc>
          <w:tcPr>
            <w:tcW w:w="2430" w:type="dxa"/>
          </w:tcPr>
          <w:p w14:paraId="042EFF8F">
            <w:pPr>
              <w:pStyle w:val="68"/>
              <w:numPr>
                <w:ilvl w:val="0"/>
                <w:numId w:val="0"/>
              </w:numPr>
              <w:spacing w:after="240"/>
              <w:rPr>
                <w:rFonts w:ascii="Times New Roman" w:hAnsi="Times New Roman"/>
                <w:sz w:val="24"/>
                <w:szCs w:val="24"/>
              </w:rPr>
            </w:pPr>
          </w:p>
        </w:tc>
        <w:tc>
          <w:tcPr>
            <w:tcW w:w="7020" w:type="dxa"/>
          </w:tcPr>
          <w:p w14:paraId="1A0ECFBE">
            <w:pPr>
              <w:pStyle w:val="69"/>
              <w:rPr>
                <w:rFonts w:cs="Times New Roman"/>
              </w:rPr>
            </w:pPr>
            <w:r>
              <w:rPr>
                <w:rFonts w:cs="Times New Roman"/>
              </w:rPr>
              <w:t>Bids requested to be withdrawn in accordance with ITB 24.1 shall be returned unopened to the Bidders.</w:t>
            </w:r>
          </w:p>
        </w:tc>
      </w:tr>
      <w:tr w14:paraId="3C698F7B">
        <w:tblPrEx>
          <w:tblCellMar>
            <w:top w:w="0" w:type="dxa"/>
            <w:left w:w="108" w:type="dxa"/>
            <w:bottom w:w="0" w:type="dxa"/>
            <w:right w:w="108" w:type="dxa"/>
          </w:tblCellMar>
        </w:tblPrEx>
        <w:trPr>
          <w:jc w:val="center"/>
        </w:trPr>
        <w:tc>
          <w:tcPr>
            <w:tcW w:w="2430" w:type="dxa"/>
          </w:tcPr>
          <w:p w14:paraId="6C4CB4F2">
            <w:pPr>
              <w:spacing w:before="100" w:after="120"/>
            </w:pPr>
          </w:p>
        </w:tc>
        <w:tc>
          <w:tcPr>
            <w:tcW w:w="7020" w:type="dxa"/>
          </w:tcPr>
          <w:p w14:paraId="55C68859">
            <w:pPr>
              <w:pStyle w:val="69"/>
              <w:rPr>
                <w:rFonts w:cs="Times New Roman"/>
              </w:rPr>
            </w:pPr>
            <w:r>
              <w:rPr>
                <w:rFonts w:cs="Times New Roman"/>
              </w:rPr>
              <w:t xml:space="preserve">No bid may be withdrawn, substituted, or modified in the interval between the deadline for submission of bids and the expiration of the period of bid validity specified by the Bidder on the Letter of Bid or any extension thereof.  </w:t>
            </w:r>
          </w:p>
        </w:tc>
      </w:tr>
      <w:tr w14:paraId="00CF3CF1">
        <w:tblPrEx>
          <w:tblCellMar>
            <w:top w:w="0" w:type="dxa"/>
            <w:left w:w="108" w:type="dxa"/>
            <w:bottom w:w="0" w:type="dxa"/>
            <w:right w:w="108" w:type="dxa"/>
          </w:tblCellMar>
        </w:tblPrEx>
        <w:trPr>
          <w:jc w:val="center"/>
        </w:trPr>
        <w:tc>
          <w:tcPr>
            <w:tcW w:w="2430" w:type="dxa"/>
          </w:tcPr>
          <w:p w14:paraId="38B230A9">
            <w:pPr>
              <w:pStyle w:val="143"/>
            </w:pPr>
            <w:bookmarkStart w:id="221" w:name="_Toc178538550"/>
            <w:bookmarkStart w:id="222" w:name="_Toc438532623"/>
            <w:bookmarkStart w:id="223" w:name="_Toc438438849"/>
            <w:bookmarkStart w:id="224" w:name="_Toc97371029"/>
            <w:bookmarkStart w:id="225" w:name="_Toc438907230"/>
            <w:bookmarkStart w:id="226" w:name="_Toc438907031"/>
            <w:bookmarkStart w:id="227" w:name="_Toc438733993"/>
            <w:bookmarkStart w:id="228" w:name="_Toc139863127"/>
            <w:r>
              <w:t>Bid Opening</w:t>
            </w:r>
            <w:bookmarkEnd w:id="221"/>
            <w:bookmarkEnd w:id="222"/>
            <w:bookmarkEnd w:id="223"/>
            <w:bookmarkEnd w:id="224"/>
            <w:bookmarkEnd w:id="225"/>
            <w:bookmarkEnd w:id="226"/>
            <w:bookmarkEnd w:id="227"/>
            <w:bookmarkEnd w:id="228"/>
          </w:p>
        </w:tc>
        <w:tc>
          <w:tcPr>
            <w:tcW w:w="7020" w:type="dxa"/>
          </w:tcPr>
          <w:p w14:paraId="2701881B">
            <w:pPr>
              <w:pStyle w:val="69"/>
              <w:rPr>
                <w:rFonts w:cs="Times New Roman"/>
              </w:rPr>
            </w:pPr>
            <w:r>
              <w:t xml:space="preserve">Except in the cases specified in ITB 23 and 24, the Employer shall publicly open and read out in accordance with ITB 25.3 all bids received by the deadline, at the date, time and place </w:t>
            </w:r>
            <w:r>
              <w:rPr>
                <w:b/>
              </w:rPr>
              <w:t>specified in the BDS</w:t>
            </w:r>
            <w:r>
              <w:t xml:space="preserve">, in the presence of  Bidders` designated representatives and anyone who choose to attend. Any specific electronic bid opening procedures required if electronic bidding is permitted in accordance with ITB 22.1, shall be </w:t>
            </w:r>
            <w:r>
              <w:rPr>
                <w:rStyle w:val="171"/>
                <w:lang w:val="en-US"/>
              </w:rPr>
              <w:t>as</w:t>
            </w:r>
            <w:r>
              <w:t xml:space="preserve"> </w:t>
            </w:r>
            <w:r>
              <w:rPr>
                <w:rStyle w:val="171"/>
                <w:lang w:val="en-US"/>
              </w:rPr>
              <w:t>specified in the BDS</w:t>
            </w:r>
            <w:r>
              <w:rPr>
                <w:rFonts w:cs="Times New Roman"/>
              </w:rPr>
              <w:t>.</w:t>
            </w:r>
          </w:p>
        </w:tc>
      </w:tr>
      <w:tr w14:paraId="373B9E21">
        <w:tblPrEx>
          <w:tblCellMar>
            <w:top w:w="0" w:type="dxa"/>
            <w:left w:w="108" w:type="dxa"/>
            <w:bottom w:w="0" w:type="dxa"/>
            <w:right w:w="108" w:type="dxa"/>
          </w:tblCellMar>
        </w:tblPrEx>
        <w:trPr>
          <w:jc w:val="center"/>
        </w:trPr>
        <w:tc>
          <w:tcPr>
            <w:tcW w:w="2430" w:type="dxa"/>
          </w:tcPr>
          <w:p w14:paraId="2961A7D1">
            <w:pPr>
              <w:pStyle w:val="30"/>
              <w:pBdr>
                <w:bottom w:val="none" w:color="auto" w:sz="0" w:space="0"/>
              </w:pBdr>
              <w:tabs>
                <w:tab w:val="clear" w:pos="9000"/>
              </w:tabs>
              <w:spacing w:before="100" w:after="120"/>
              <w:rPr>
                <w:rFonts w:ascii="Times New Roman" w:hAnsi="Times New Roman"/>
                <w:sz w:val="24"/>
                <w:szCs w:val="24"/>
                <w:lang w:val="en-US" w:eastAsia="en-US"/>
              </w:rPr>
            </w:pPr>
          </w:p>
        </w:tc>
        <w:tc>
          <w:tcPr>
            <w:tcW w:w="7020" w:type="dxa"/>
          </w:tcPr>
          <w:p w14:paraId="226FD498">
            <w:pPr>
              <w:pStyle w:val="69"/>
              <w:rPr>
                <w:rFonts w:cs="Times New Roman"/>
              </w:rPr>
            </w:pPr>
            <w:r>
              <w:rPr>
                <w:rFonts w:cs="Times New Roman"/>
              </w:rPr>
              <w:t>First, envelopes marked “</w:t>
            </w:r>
            <w:r>
              <w:rPr>
                <w:rFonts w:cs="Times New Roman"/>
                <w:smallCaps/>
              </w:rPr>
              <w:t>Withdrawal</w:t>
            </w:r>
            <w:r>
              <w:rPr>
                <w:rFonts w:cs="Times New Roman"/>
              </w:rPr>
              <w:t>” shall be opened and read out and the envelope with the corresponding bid shall not be opened, but returned to the Bidder. No bid withdrawal shall be permitted unless the corresponding withdrawal notice contains a valid authorization to request the withdrawal and is read out at bid opening. Next, envelopes marked “</w:t>
            </w:r>
            <w:r>
              <w:rPr>
                <w:rFonts w:cs="Times New Roman"/>
                <w:smallCaps/>
              </w:rPr>
              <w:t>Substitution</w:t>
            </w:r>
            <w:r>
              <w:rPr>
                <w:rFonts w:cs="Times New Roman"/>
              </w:rPr>
              <w:t>” shall be opened and read out and exchanged with the corresponding bid being substituted, and the substituted bid shall not be opened, but returned to the Bidder. No bid substitution shall be permitted unless the corresponding substitution notice contains a valid authorization to request the substitution and is read out at bid opening. Envelopes marked “</w:t>
            </w:r>
            <w:r>
              <w:rPr>
                <w:rFonts w:cs="Times New Roman"/>
                <w:smallCaps/>
              </w:rPr>
              <w:t>Modification</w:t>
            </w:r>
            <w:r>
              <w:rPr>
                <w:rFonts w:cs="Times New Roman"/>
              </w:rPr>
              <w:t>” shall be opened and read out with the corresponding bid. No bid modification shall be permitted unless the corresponding modification notice contains a valid authorization to request the modification and is read out at bid opening. Only envelopes that are opened and read out at bid opening shall be considered further.</w:t>
            </w:r>
          </w:p>
        </w:tc>
      </w:tr>
      <w:tr w14:paraId="5193C233">
        <w:tblPrEx>
          <w:tblCellMar>
            <w:top w:w="0" w:type="dxa"/>
            <w:left w:w="108" w:type="dxa"/>
            <w:bottom w:w="0" w:type="dxa"/>
            <w:right w:w="108" w:type="dxa"/>
          </w:tblCellMar>
        </w:tblPrEx>
        <w:trPr>
          <w:jc w:val="center"/>
        </w:trPr>
        <w:tc>
          <w:tcPr>
            <w:tcW w:w="2430" w:type="dxa"/>
          </w:tcPr>
          <w:p w14:paraId="052E1E16">
            <w:pPr>
              <w:spacing w:before="100" w:after="120"/>
            </w:pPr>
          </w:p>
        </w:tc>
        <w:tc>
          <w:tcPr>
            <w:tcW w:w="7020" w:type="dxa"/>
          </w:tcPr>
          <w:p w14:paraId="5544F5BA">
            <w:pPr>
              <w:pStyle w:val="69"/>
              <w:rPr>
                <w:rFonts w:cs="Times New Roman"/>
              </w:rPr>
            </w:pPr>
            <w:r>
              <w:t xml:space="preserve">All other envelopes shall be opened one at a time, reading out: the name of the Bidder and whether there is a modification; the total Bid Price, per lot (contract) if applicable, including any discounts and alternative bids; the presence or absence of a bid security, </w:t>
            </w:r>
            <w:r>
              <w:rPr>
                <w:color w:val="000000"/>
              </w:rPr>
              <w:t>or Bid Securing Declaration</w:t>
            </w:r>
            <w:r>
              <w:t xml:space="preserve">, if required; and any other details as the Employer may consider appropriate. Only discounts and alternative bids read out at bid opening shall be considered for evaluation. </w:t>
            </w:r>
            <w:r>
              <w:rPr>
                <w:iCs/>
              </w:rPr>
              <w:t>The Letter of Bid and</w:t>
            </w:r>
            <w:r>
              <w:rPr>
                <w:i/>
              </w:rPr>
              <w:t xml:space="preserve"> </w:t>
            </w:r>
            <w:r>
              <w:t>the</w:t>
            </w:r>
            <w:r>
              <w:rPr>
                <w:i/>
              </w:rPr>
              <w:t xml:space="preserve"> </w:t>
            </w:r>
            <w:r>
              <w:t>Bill of Quantities</w:t>
            </w:r>
            <w:r>
              <w:rPr>
                <w:i/>
              </w:rPr>
              <w:t xml:space="preserve"> </w:t>
            </w:r>
            <w:r>
              <w:rPr>
                <w:iCs/>
              </w:rPr>
              <w:t xml:space="preserve">are to be initialed by representatives of the Employer attending bid opening in the manner </w:t>
            </w:r>
            <w:r>
              <w:rPr>
                <w:b/>
                <w:iCs/>
              </w:rPr>
              <w:t>specified in the BDS</w:t>
            </w:r>
            <w:r>
              <w:rPr>
                <w:iCs/>
              </w:rPr>
              <w:t>.</w:t>
            </w:r>
            <w:r>
              <w:t xml:space="preserve"> The Employer shall neither discuss the merits of any bid nor reject any bid (except for late bids, in accordance with ITB 23.1)</w:t>
            </w:r>
            <w:r>
              <w:rPr>
                <w:rFonts w:cs="Times New Roman"/>
              </w:rPr>
              <w:t>.</w:t>
            </w:r>
          </w:p>
        </w:tc>
      </w:tr>
      <w:tr w14:paraId="3F3D7CBD">
        <w:tblPrEx>
          <w:tblCellMar>
            <w:top w:w="0" w:type="dxa"/>
            <w:left w:w="108" w:type="dxa"/>
            <w:bottom w:w="0" w:type="dxa"/>
            <w:right w:w="108" w:type="dxa"/>
          </w:tblCellMar>
        </w:tblPrEx>
        <w:trPr>
          <w:jc w:val="center"/>
        </w:trPr>
        <w:tc>
          <w:tcPr>
            <w:tcW w:w="2430" w:type="dxa"/>
          </w:tcPr>
          <w:p w14:paraId="2C8E125E">
            <w:pPr>
              <w:spacing w:before="120" w:after="120"/>
            </w:pPr>
          </w:p>
        </w:tc>
        <w:tc>
          <w:tcPr>
            <w:tcW w:w="7020" w:type="dxa"/>
          </w:tcPr>
          <w:p w14:paraId="616372F1">
            <w:pPr>
              <w:pStyle w:val="69"/>
              <w:rPr>
                <w:rFonts w:cs="Times New Roman"/>
              </w:rPr>
            </w:pPr>
            <w:r>
              <w:rPr>
                <w:rFonts w:cs="Times New Roman"/>
              </w:rPr>
              <w:t xml:space="preserve">The </w:t>
            </w:r>
            <w:r>
              <w:rPr>
                <w:rStyle w:val="145"/>
                <w:rFonts w:cs="Times New Roman"/>
                <w:i w:val="0"/>
              </w:rPr>
              <w:t>Employer</w:t>
            </w:r>
            <w:r>
              <w:rPr>
                <w:rFonts w:cs="Times New Roman"/>
              </w:rPr>
              <w:t xml:space="preserve"> shall prepare a record of the bid opening that shall include, as a minimum: the name of the Bidder and whether there is a withdrawal, substitution, or modification; the Bid Price, per lot (contract) if applicable, including any discounts and alternative bids; and the presence or absence of a bid security, if one was required. The Bidders’ representatives who are present shall be requested to sign the record. The omission of a Bidder’s signature on the record shall not invalidate the contents and effect of the record. A copy of the record shall be distributed to all Bidders.</w:t>
            </w:r>
          </w:p>
        </w:tc>
      </w:tr>
      <w:tr w14:paraId="25EDD27C">
        <w:tblPrEx>
          <w:tblCellMar>
            <w:top w:w="0" w:type="dxa"/>
            <w:left w:w="108" w:type="dxa"/>
            <w:bottom w:w="0" w:type="dxa"/>
            <w:right w:w="108" w:type="dxa"/>
          </w:tblCellMar>
        </w:tblPrEx>
        <w:trPr>
          <w:cantSplit/>
          <w:jc w:val="center"/>
        </w:trPr>
        <w:tc>
          <w:tcPr>
            <w:tcW w:w="9450" w:type="dxa"/>
            <w:gridSpan w:val="2"/>
          </w:tcPr>
          <w:p w14:paraId="34E73BCC">
            <w:pPr>
              <w:pStyle w:val="167"/>
            </w:pPr>
            <w:bookmarkStart w:id="229" w:name="_Toc178538551"/>
            <w:bookmarkStart w:id="230" w:name="_Toc438962076"/>
            <w:bookmarkStart w:id="231" w:name="_Toc438532629"/>
            <w:bookmarkStart w:id="232" w:name="_Toc461939620"/>
            <w:bookmarkStart w:id="233" w:name="_Toc438438850"/>
            <w:bookmarkStart w:id="234" w:name="_Toc97371030"/>
            <w:bookmarkStart w:id="235" w:name="_Toc438733994"/>
            <w:r>
              <w:t>Evaluation and Comparison of Bids</w:t>
            </w:r>
            <w:bookmarkEnd w:id="229"/>
            <w:bookmarkEnd w:id="230"/>
            <w:bookmarkEnd w:id="231"/>
            <w:bookmarkEnd w:id="232"/>
            <w:bookmarkEnd w:id="233"/>
            <w:bookmarkEnd w:id="234"/>
            <w:bookmarkEnd w:id="235"/>
          </w:p>
        </w:tc>
      </w:tr>
      <w:tr w14:paraId="4C79F36F">
        <w:tblPrEx>
          <w:tblCellMar>
            <w:top w:w="0" w:type="dxa"/>
            <w:left w:w="108" w:type="dxa"/>
            <w:bottom w:w="0" w:type="dxa"/>
            <w:right w:w="108" w:type="dxa"/>
          </w:tblCellMar>
        </w:tblPrEx>
        <w:trPr>
          <w:jc w:val="center"/>
        </w:trPr>
        <w:tc>
          <w:tcPr>
            <w:tcW w:w="2430" w:type="dxa"/>
          </w:tcPr>
          <w:p w14:paraId="2FB09C90">
            <w:pPr>
              <w:pStyle w:val="143"/>
            </w:pPr>
            <w:bookmarkStart w:id="236" w:name="_Toc438733995"/>
            <w:bookmarkStart w:id="237" w:name="_Toc438907231"/>
            <w:bookmarkStart w:id="238" w:name="_Toc139863128"/>
            <w:bookmarkStart w:id="239" w:name="_Toc97371031"/>
            <w:bookmarkStart w:id="240" w:name="_Toc438532630"/>
            <w:bookmarkStart w:id="241" w:name="_Toc438907032"/>
            <w:bookmarkStart w:id="242" w:name="_Toc178538552"/>
            <w:bookmarkStart w:id="243" w:name="_Toc438438851"/>
            <w:r>
              <w:t>Confidentiality</w:t>
            </w:r>
            <w:bookmarkEnd w:id="236"/>
            <w:bookmarkEnd w:id="237"/>
            <w:bookmarkEnd w:id="238"/>
            <w:bookmarkEnd w:id="239"/>
            <w:bookmarkEnd w:id="240"/>
            <w:bookmarkEnd w:id="241"/>
            <w:bookmarkEnd w:id="242"/>
            <w:bookmarkEnd w:id="243"/>
          </w:p>
        </w:tc>
        <w:tc>
          <w:tcPr>
            <w:tcW w:w="7020" w:type="dxa"/>
          </w:tcPr>
          <w:p w14:paraId="25731F06">
            <w:pPr>
              <w:pStyle w:val="69"/>
              <w:spacing w:after="120"/>
              <w:rPr>
                <w:rFonts w:cs="Times New Roman"/>
              </w:rPr>
            </w:pPr>
            <w:r>
              <w:rPr>
                <w:rFonts w:cs="Times New Roman"/>
              </w:rPr>
              <w:t>Information relating to the evaluation of bids and recommendation of contract award, shall not be disclosed to Bidders or any other persons not officially concerned with the bidding process until information on Contract award is communicated to all Bidders in accordance with ITB 40.</w:t>
            </w:r>
          </w:p>
        </w:tc>
      </w:tr>
      <w:tr w14:paraId="32090899">
        <w:tblPrEx>
          <w:tblCellMar>
            <w:top w:w="0" w:type="dxa"/>
            <w:left w:w="108" w:type="dxa"/>
            <w:bottom w:w="0" w:type="dxa"/>
            <w:right w:w="108" w:type="dxa"/>
          </w:tblCellMar>
        </w:tblPrEx>
        <w:trPr>
          <w:jc w:val="center"/>
        </w:trPr>
        <w:tc>
          <w:tcPr>
            <w:tcW w:w="2430" w:type="dxa"/>
          </w:tcPr>
          <w:p w14:paraId="7D7CC362">
            <w:pPr>
              <w:spacing w:before="120" w:after="120"/>
            </w:pPr>
          </w:p>
        </w:tc>
        <w:tc>
          <w:tcPr>
            <w:tcW w:w="7020" w:type="dxa"/>
          </w:tcPr>
          <w:p w14:paraId="3660938B">
            <w:pPr>
              <w:pStyle w:val="69"/>
              <w:spacing w:after="120"/>
              <w:rPr>
                <w:rFonts w:cs="Times New Roman"/>
              </w:rPr>
            </w:pPr>
            <w:r>
              <w:rPr>
                <w:rFonts w:cs="Times New Roman"/>
              </w:rPr>
              <w:t xml:space="preserve">Any attempt by a Bidder to influence the Employer in the evaluation of the bids or Contract award decisions may result in the rejection of its bid.  </w:t>
            </w:r>
          </w:p>
        </w:tc>
      </w:tr>
      <w:tr w14:paraId="563A93CF">
        <w:tblPrEx>
          <w:tblCellMar>
            <w:top w:w="0" w:type="dxa"/>
            <w:left w:w="108" w:type="dxa"/>
            <w:bottom w:w="0" w:type="dxa"/>
            <w:right w:w="108" w:type="dxa"/>
          </w:tblCellMar>
        </w:tblPrEx>
        <w:trPr>
          <w:jc w:val="center"/>
        </w:trPr>
        <w:tc>
          <w:tcPr>
            <w:tcW w:w="2430" w:type="dxa"/>
          </w:tcPr>
          <w:p w14:paraId="1F9BABE7">
            <w:pPr>
              <w:spacing w:before="120" w:after="120"/>
            </w:pPr>
          </w:p>
        </w:tc>
        <w:tc>
          <w:tcPr>
            <w:tcW w:w="7020" w:type="dxa"/>
          </w:tcPr>
          <w:p w14:paraId="321E79FC">
            <w:pPr>
              <w:pStyle w:val="146"/>
            </w:pPr>
            <w:r>
              <w:t xml:space="preserve">Notwithstanding ITB 26.2, from the time of bid opening to the time of Contract award, if a Bidder wishes to contact the </w:t>
            </w:r>
            <w:r>
              <w:rPr>
                <w:rStyle w:val="145"/>
                <w:rFonts w:cs="Times New Roman"/>
                <w:i w:val="0"/>
              </w:rPr>
              <w:t>Employer</w:t>
            </w:r>
            <w:r>
              <w:t xml:space="preserve"> on any matter related to the bidding process, it shall do so in writing.</w:t>
            </w:r>
          </w:p>
        </w:tc>
      </w:tr>
      <w:tr w14:paraId="5ADBA288">
        <w:tblPrEx>
          <w:tblCellMar>
            <w:top w:w="0" w:type="dxa"/>
            <w:left w:w="108" w:type="dxa"/>
            <w:bottom w:w="0" w:type="dxa"/>
            <w:right w:w="108" w:type="dxa"/>
          </w:tblCellMar>
        </w:tblPrEx>
        <w:trPr>
          <w:jc w:val="center"/>
        </w:trPr>
        <w:tc>
          <w:tcPr>
            <w:tcW w:w="2430" w:type="dxa"/>
          </w:tcPr>
          <w:p w14:paraId="20454F2F">
            <w:pPr>
              <w:pStyle w:val="143"/>
            </w:pPr>
            <w:bookmarkStart w:id="244" w:name="_Toc438907232"/>
            <w:bookmarkStart w:id="245" w:name="_Toc139863129"/>
            <w:bookmarkStart w:id="246" w:name="_Toc438532631"/>
            <w:bookmarkStart w:id="247" w:name="_Toc438438852"/>
            <w:bookmarkStart w:id="248" w:name="_Toc178538553"/>
            <w:bookmarkStart w:id="249" w:name="_Toc438733996"/>
            <w:bookmarkStart w:id="250" w:name="_Toc424009129"/>
            <w:bookmarkStart w:id="251" w:name="_Toc438907033"/>
            <w:bookmarkStart w:id="252" w:name="_Toc97371032"/>
            <w:r>
              <w:t>Clarification of Bids</w:t>
            </w:r>
            <w:bookmarkEnd w:id="244"/>
            <w:bookmarkEnd w:id="245"/>
            <w:bookmarkEnd w:id="246"/>
            <w:bookmarkEnd w:id="247"/>
            <w:bookmarkEnd w:id="248"/>
            <w:bookmarkEnd w:id="249"/>
            <w:bookmarkEnd w:id="250"/>
            <w:bookmarkEnd w:id="251"/>
            <w:bookmarkEnd w:id="252"/>
          </w:p>
          <w:p w14:paraId="1DFB6F88">
            <w:pPr>
              <w:pStyle w:val="68"/>
              <w:numPr>
                <w:ilvl w:val="0"/>
                <w:numId w:val="0"/>
              </w:numPr>
              <w:spacing w:after="120"/>
              <w:rPr>
                <w:rFonts w:ascii="Times New Roman" w:hAnsi="Times New Roman"/>
                <w:sz w:val="24"/>
                <w:szCs w:val="24"/>
              </w:rPr>
            </w:pPr>
          </w:p>
        </w:tc>
        <w:tc>
          <w:tcPr>
            <w:tcW w:w="7020" w:type="dxa"/>
          </w:tcPr>
          <w:p w14:paraId="51F26363">
            <w:pPr>
              <w:pStyle w:val="146"/>
            </w:pPr>
            <w:r>
              <w:t xml:space="preserve">To assist in the examination, evaluation, and comparison of the bids, and qualification of the Bidders, the </w:t>
            </w:r>
            <w:r>
              <w:rPr>
                <w:rStyle w:val="145"/>
                <w:rFonts w:cs="Times New Roman"/>
                <w:i w:val="0"/>
              </w:rPr>
              <w:t>Employer</w:t>
            </w:r>
            <w:r>
              <w:t xml:space="preserve"> may, at its discretion, ask any Bidder for a clarification of its bid given a reasonable time for a response. Any clarification submitted by a Bidder that is not in response to a request by the </w:t>
            </w:r>
            <w:r>
              <w:rPr>
                <w:rStyle w:val="145"/>
                <w:rFonts w:cs="Times New Roman"/>
                <w:i w:val="0"/>
              </w:rPr>
              <w:t>Employer</w:t>
            </w:r>
            <w:r>
              <w:t xml:space="preserve"> shall not be considered. The </w:t>
            </w:r>
            <w:r>
              <w:rPr>
                <w:rStyle w:val="145"/>
                <w:rFonts w:cs="Times New Roman"/>
                <w:i w:val="0"/>
              </w:rPr>
              <w:t>Employer</w:t>
            </w:r>
            <w:r>
              <w:t xml:space="preserve">’s request for clarification and the response shall be in writing. No change, including any voluntary increase or decrease in the prices or substance of the bid shall be sought, offered, or permitted, except to confirm the correction of arithmetic errors discovered by the </w:t>
            </w:r>
            <w:r>
              <w:rPr>
                <w:rStyle w:val="145"/>
                <w:rFonts w:cs="Times New Roman"/>
                <w:i w:val="0"/>
              </w:rPr>
              <w:t>Employer</w:t>
            </w:r>
            <w:r>
              <w:t xml:space="preserve"> in the evaluation of the bids, in accordance with ITB 31.</w:t>
            </w:r>
          </w:p>
        </w:tc>
      </w:tr>
      <w:tr w14:paraId="1E949211">
        <w:tblPrEx>
          <w:tblCellMar>
            <w:top w:w="0" w:type="dxa"/>
            <w:left w:w="108" w:type="dxa"/>
            <w:bottom w:w="0" w:type="dxa"/>
            <w:right w:w="108" w:type="dxa"/>
          </w:tblCellMar>
        </w:tblPrEx>
        <w:trPr>
          <w:jc w:val="center"/>
        </w:trPr>
        <w:tc>
          <w:tcPr>
            <w:tcW w:w="2430" w:type="dxa"/>
          </w:tcPr>
          <w:p w14:paraId="36F725E1">
            <w:pPr>
              <w:pStyle w:val="68"/>
              <w:numPr>
                <w:ilvl w:val="0"/>
                <w:numId w:val="0"/>
              </w:numPr>
              <w:spacing w:after="120"/>
              <w:rPr>
                <w:rFonts w:ascii="Times New Roman" w:hAnsi="Times New Roman"/>
                <w:sz w:val="24"/>
                <w:szCs w:val="24"/>
              </w:rPr>
            </w:pPr>
          </w:p>
        </w:tc>
        <w:tc>
          <w:tcPr>
            <w:tcW w:w="7020" w:type="dxa"/>
          </w:tcPr>
          <w:p w14:paraId="427506D9">
            <w:pPr>
              <w:pStyle w:val="146"/>
            </w:pPr>
            <w:r>
              <w:t xml:space="preserve">If a Bidder does not provide clarifications of its bid by the date and time set in the </w:t>
            </w:r>
            <w:r>
              <w:rPr>
                <w:rStyle w:val="145"/>
                <w:rFonts w:cs="Times New Roman"/>
                <w:i w:val="0"/>
              </w:rPr>
              <w:t>Employer</w:t>
            </w:r>
            <w:r>
              <w:t>’s request for clarification, its bid may be rejected.</w:t>
            </w:r>
          </w:p>
        </w:tc>
      </w:tr>
      <w:tr w14:paraId="1DD57009">
        <w:tblPrEx>
          <w:tblCellMar>
            <w:top w:w="0" w:type="dxa"/>
            <w:left w:w="108" w:type="dxa"/>
            <w:bottom w:w="0" w:type="dxa"/>
            <w:right w:w="108" w:type="dxa"/>
          </w:tblCellMar>
        </w:tblPrEx>
        <w:trPr>
          <w:cantSplit/>
          <w:jc w:val="center"/>
        </w:trPr>
        <w:tc>
          <w:tcPr>
            <w:tcW w:w="2430" w:type="dxa"/>
          </w:tcPr>
          <w:p w14:paraId="44B46AD8">
            <w:pPr>
              <w:pStyle w:val="143"/>
            </w:pPr>
            <w:bookmarkStart w:id="253" w:name="_Toc178538554"/>
            <w:bookmarkStart w:id="254" w:name="_Toc97371033"/>
            <w:bookmarkStart w:id="255" w:name="_Toc139863130"/>
            <w:r>
              <w:t>Deviations, Reservations, and Omissions</w:t>
            </w:r>
            <w:bookmarkEnd w:id="253"/>
            <w:bookmarkEnd w:id="254"/>
            <w:bookmarkEnd w:id="255"/>
          </w:p>
        </w:tc>
        <w:tc>
          <w:tcPr>
            <w:tcW w:w="7020" w:type="dxa"/>
          </w:tcPr>
          <w:p w14:paraId="5873C40C">
            <w:pPr>
              <w:pStyle w:val="69"/>
              <w:rPr>
                <w:rFonts w:cs="Times New Roman"/>
              </w:rPr>
            </w:pPr>
            <w:r>
              <w:rPr>
                <w:rFonts w:cs="Times New Roman"/>
              </w:rPr>
              <w:t>During the evaluation of bids, the following definitions apply:</w:t>
            </w:r>
          </w:p>
          <w:p w14:paraId="6C34E98E">
            <w:pPr>
              <w:pStyle w:val="70"/>
              <w:numPr>
                <w:ilvl w:val="0"/>
                <w:numId w:val="0"/>
              </w:numPr>
              <w:ind w:left="927" w:hanging="423"/>
              <w:rPr>
                <w:szCs w:val="24"/>
              </w:rPr>
            </w:pPr>
            <w:r>
              <w:rPr>
                <w:szCs w:val="24"/>
              </w:rPr>
              <w:t>(a)</w:t>
            </w:r>
            <w:r>
              <w:rPr>
                <w:szCs w:val="24"/>
              </w:rPr>
              <w:tab/>
            </w:r>
            <w:r>
              <w:rPr>
                <w:szCs w:val="24"/>
              </w:rPr>
              <w:t>“Deviation” is a departure from the requirements specified in the Bidding Document;</w:t>
            </w:r>
          </w:p>
          <w:p w14:paraId="44F0EDB0">
            <w:pPr>
              <w:pStyle w:val="70"/>
              <w:numPr>
                <w:ilvl w:val="0"/>
                <w:numId w:val="0"/>
              </w:numPr>
              <w:ind w:left="927" w:hanging="423"/>
              <w:rPr>
                <w:szCs w:val="24"/>
              </w:rPr>
            </w:pPr>
            <w:r>
              <w:rPr>
                <w:szCs w:val="24"/>
              </w:rPr>
              <w:t>(b)</w:t>
            </w:r>
            <w:r>
              <w:rPr>
                <w:szCs w:val="24"/>
              </w:rPr>
              <w:tab/>
            </w:r>
            <w:r>
              <w:rPr>
                <w:szCs w:val="24"/>
              </w:rPr>
              <w:t>“Reservation” is the setting of limiting conditions or withholding from complete acceptance of the requirements specified in the Bidding Document; and</w:t>
            </w:r>
          </w:p>
          <w:p w14:paraId="69DB5193">
            <w:pPr>
              <w:pStyle w:val="70"/>
              <w:numPr>
                <w:ilvl w:val="0"/>
                <w:numId w:val="0"/>
              </w:numPr>
              <w:ind w:left="927" w:hanging="423"/>
              <w:rPr>
                <w:i/>
                <w:szCs w:val="24"/>
              </w:rPr>
            </w:pPr>
            <w:r>
              <w:rPr>
                <w:szCs w:val="24"/>
              </w:rPr>
              <w:t>(c)</w:t>
            </w:r>
            <w:r>
              <w:rPr>
                <w:szCs w:val="24"/>
              </w:rPr>
              <w:tab/>
            </w:r>
            <w:r>
              <w:rPr>
                <w:szCs w:val="24"/>
              </w:rPr>
              <w:t>“Omission” is the failure to submit part or all of the information or documentation required in the Bidding Document.</w:t>
            </w:r>
          </w:p>
        </w:tc>
      </w:tr>
      <w:tr w14:paraId="45037E42">
        <w:tblPrEx>
          <w:tblCellMar>
            <w:top w:w="0" w:type="dxa"/>
            <w:left w:w="108" w:type="dxa"/>
            <w:bottom w:w="0" w:type="dxa"/>
            <w:right w:w="108" w:type="dxa"/>
          </w:tblCellMar>
        </w:tblPrEx>
        <w:trPr>
          <w:jc w:val="center"/>
        </w:trPr>
        <w:tc>
          <w:tcPr>
            <w:tcW w:w="2430" w:type="dxa"/>
          </w:tcPr>
          <w:p w14:paraId="2037D7DF">
            <w:pPr>
              <w:pStyle w:val="143"/>
            </w:pPr>
            <w:bookmarkStart w:id="256" w:name="_Toc139863131"/>
            <w:bookmarkStart w:id="257" w:name="_Toc97371034"/>
            <w:bookmarkStart w:id="258" w:name="_Toc178538555"/>
            <w:bookmarkStart w:id="259" w:name="_Toc438907035"/>
            <w:bookmarkStart w:id="260" w:name="_Toc438438854"/>
            <w:bookmarkStart w:id="261" w:name="_Toc438733998"/>
            <w:bookmarkStart w:id="262" w:name="_Toc438907234"/>
            <w:bookmarkStart w:id="263" w:name="_Toc438532636"/>
            <w:r>
              <w:t>Determination of Responsiveness</w:t>
            </w:r>
            <w:bookmarkEnd w:id="256"/>
            <w:bookmarkEnd w:id="257"/>
            <w:bookmarkEnd w:id="258"/>
            <w:r>
              <w:t xml:space="preserve"> </w:t>
            </w:r>
            <w:bookmarkEnd w:id="259"/>
            <w:bookmarkEnd w:id="260"/>
            <w:bookmarkEnd w:id="261"/>
            <w:bookmarkEnd w:id="262"/>
            <w:bookmarkEnd w:id="263"/>
          </w:p>
        </w:tc>
        <w:tc>
          <w:tcPr>
            <w:tcW w:w="7020" w:type="dxa"/>
          </w:tcPr>
          <w:p w14:paraId="19614E3F">
            <w:pPr>
              <w:pStyle w:val="69"/>
              <w:rPr>
                <w:rFonts w:cs="Times New Roman"/>
              </w:rPr>
            </w:pPr>
            <w:r>
              <w:rPr>
                <w:rFonts w:cs="Times New Roman"/>
              </w:rPr>
              <w:t xml:space="preserve">The </w:t>
            </w:r>
            <w:r>
              <w:rPr>
                <w:rStyle w:val="145"/>
                <w:rFonts w:cs="Times New Roman"/>
                <w:i w:val="0"/>
              </w:rPr>
              <w:t>Employer</w:t>
            </w:r>
            <w:r>
              <w:rPr>
                <w:rFonts w:cs="Times New Roman"/>
              </w:rPr>
              <w:t>’s determination of a bid’s responsiveness is to be based on the contents of the bid itself, as defined in ITB11.</w:t>
            </w:r>
          </w:p>
        </w:tc>
      </w:tr>
      <w:tr w14:paraId="68AB0A09">
        <w:tblPrEx>
          <w:tblCellMar>
            <w:top w:w="0" w:type="dxa"/>
            <w:left w:w="108" w:type="dxa"/>
            <w:bottom w:w="0" w:type="dxa"/>
            <w:right w:w="108" w:type="dxa"/>
          </w:tblCellMar>
        </w:tblPrEx>
        <w:trPr>
          <w:jc w:val="center"/>
        </w:trPr>
        <w:tc>
          <w:tcPr>
            <w:tcW w:w="2430" w:type="dxa"/>
          </w:tcPr>
          <w:p w14:paraId="320F8CBC">
            <w:pPr>
              <w:pStyle w:val="75"/>
              <w:suppressAutoHyphens w:val="0"/>
              <w:spacing w:before="120" w:after="120" w:line="240" w:lineRule="auto"/>
              <w:rPr>
                <w:rFonts w:ascii="Times New Roman" w:hAnsi="Times New Roman"/>
                <w:sz w:val="24"/>
                <w:szCs w:val="24"/>
              </w:rPr>
            </w:pPr>
          </w:p>
        </w:tc>
        <w:tc>
          <w:tcPr>
            <w:tcW w:w="7020" w:type="dxa"/>
          </w:tcPr>
          <w:p w14:paraId="1996CB36">
            <w:pPr>
              <w:pStyle w:val="69"/>
              <w:rPr>
                <w:rFonts w:cs="Times New Roman"/>
              </w:rPr>
            </w:pPr>
            <w:r>
              <w:rPr>
                <w:rFonts w:cs="Times New Roman"/>
              </w:rPr>
              <w:t>A substantially responsive bid is one that meets the requirements of the Bidding Document without material deviation, reservation, or omission. A material deviation, reservation, or omission is one that,</w:t>
            </w:r>
          </w:p>
          <w:p w14:paraId="48FE91F6">
            <w:pPr>
              <w:pStyle w:val="70"/>
              <w:numPr>
                <w:ilvl w:val="0"/>
                <w:numId w:val="0"/>
              </w:numPr>
              <w:ind w:left="927" w:hanging="423"/>
              <w:rPr>
                <w:szCs w:val="24"/>
              </w:rPr>
            </w:pPr>
            <w:r>
              <w:rPr>
                <w:szCs w:val="24"/>
              </w:rPr>
              <w:t>(a)</w:t>
            </w:r>
            <w:r>
              <w:rPr>
                <w:szCs w:val="24"/>
              </w:rPr>
              <w:tab/>
            </w:r>
            <w:r>
              <w:rPr>
                <w:szCs w:val="24"/>
              </w:rPr>
              <w:t>if accepted, would:</w:t>
            </w:r>
          </w:p>
          <w:p w14:paraId="69325ECF">
            <w:pPr>
              <w:pStyle w:val="5"/>
              <w:numPr>
                <w:ilvl w:val="0"/>
                <w:numId w:val="0"/>
              </w:numPr>
              <w:spacing w:before="0" w:after="200"/>
              <w:ind w:left="1467" w:hanging="540"/>
              <w:rPr>
                <w:rFonts w:ascii="Times New Roman" w:hAnsi="Times New Roman" w:cs="Times New Roman"/>
                <w:sz w:val="24"/>
                <w:szCs w:val="24"/>
              </w:rPr>
            </w:pPr>
            <w:r>
              <w:rPr>
                <w:rFonts w:ascii="Times New Roman" w:hAnsi="Times New Roman" w:cs="Times New Roman"/>
                <w:sz w:val="24"/>
                <w:szCs w:val="24"/>
              </w:rPr>
              <w:t>(i)</w:t>
            </w:r>
            <w:r>
              <w:rPr>
                <w:rFonts w:ascii="Times New Roman" w:hAnsi="Times New Roman" w:cs="Times New Roman"/>
                <w:sz w:val="24"/>
                <w:szCs w:val="24"/>
              </w:rPr>
              <w:tab/>
            </w:r>
            <w:r>
              <w:rPr>
                <w:rFonts w:ascii="Times New Roman" w:hAnsi="Times New Roman" w:cs="Times New Roman"/>
                <w:sz w:val="24"/>
                <w:szCs w:val="24"/>
              </w:rPr>
              <w:t>affect in any substantial way the scope, quality, or performance of the Works specified in the Contract; or</w:t>
            </w:r>
          </w:p>
          <w:p w14:paraId="4C6C203D">
            <w:pPr>
              <w:pStyle w:val="5"/>
              <w:numPr>
                <w:ilvl w:val="0"/>
                <w:numId w:val="0"/>
              </w:numPr>
              <w:spacing w:before="0" w:after="200"/>
              <w:ind w:left="1467" w:hanging="540"/>
              <w:rPr>
                <w:rFonts w:ascii="Times New Roman" w:hAnsi="Times New Roman" w:cs="Times New Roman"/>
                <w:sz w:val="24"/>
                <w:szCs w:val="24"/>
              </w:rPr>
            </w:pPr>
            <w:r>
              <w:rPr>
                <w:rFonts w:ascii="Times New Roman" w:hAnsi="Times New Roman" w:cs="Times New Roman"/>
                <w:sz w:val="24"/>
                <w:szCs w:val="24"/>
              </w:rPr>
              <w:t>(ii)</w:t>
            </w:r>
            <w:r>
              <w:rPr>
                <w:rFonts w:ascii="Times New Roman" w:hAnsi="Times New Roman" w:cs="Times New Roman"/>
                <w:sz w:val="24"/>
                <w:szCs w:val="24"/>
              </w:rPr>
              <w:tab/>
            </w:r>
            <w:r>
              <w:rPr>
                <w:rFonts w:ascii="Times New Roman" w:hAnsi="Times New Roman" w:cs="Times New Roman"/>
                <w:sz w:val="24"/>
                <w:szCs w:val="24"/>
              </w:rPr>
              <w:t>limit in any substantial way, inconsistent with the Bidding Document, the Employer’s rights or the Bidder’s obligations under the proposed Contract; or</w:t>
            </w:r>
          </w:p>
          <w:p w14:paraId="6B1D935B">
            <w:pPr>
              <w:pStyle w:val="70"/>
              <w:numPr>
                <w:ilvl w:val="0"/>
                <w:numId w:val="0"/>
              </w:numPr>
              <w:ind w:left="927" w:hanging="423"/>
              <w:rPr>
                <w:szCs w:val="24"/>
              </w:rPr>
            </w:pPr>
            <w:r>
              <w:rPr>
                <w:szCs w:val="24"/>
              </w:rPr>
              <w:t>(b)</w:t>
            </w:r>
            <w:r>
              <w:rPr>
                <w:szCs w:val="24"/>
              </w:rPr>
              <w:tab/>
            </w:r>
            <w:r>
              <w:rPr>
                <w:szCs w:val="24"/>
              </w:rPr>
              <w:t>if rectified, would unfairly affect the competitive position of other Bidders presenting substantially responsive bids.</w:t>
            </w:r>
          </w:p>
        </w:tc>
      </w:tr>
      <w:tr w14:paraId="10DCD64E">
        <w:tblPrEx>
          <w:tblCellMar>
            <w:top w:w="0" w:type="dxa"/>
            <w:left w:w="108" w:type="dxa"/>
            <w:bottom w:w="0" w:type="dxa"/>
            <w:right w:w="108" w:type="dxa"/>
          </w:tblCellMar>
        </w:tblPrEx>
        <w:trPr>
          <w:jc w:val="center"/>
        </w:trPr>
        <w:tc>
          <w:tcPr>
            <w:tcW w:w="2430" w:type="dxa"/>
          </w:tcPr>
          <w:p w14:paraId="04ACDE67">
            <w:pPr>
              <w:spacing w:before="120" w:after="120"/>
            </w:pPr>
          </w:p>
        </w:tc>
        <w:tc>
          <w:tcPr>
            <w:tcW w:w="7020" w:type="dxa"/>
          </w:tcPr>
          <w:p w14:paraId="76DCD4CE">
            <w:pPr>
              <w:pStyle w:val="69"/>
              <w:rPr>
                <w:rFonts w:cs="Times New Roman"/>
              </w:rPr>
            </w:pPr>
            <w:r>
              <w:rPr>
                <w:rFonts w:cs="Times New Roman"/>
              </w:rPr>
              <w:t xml:space="preserve">The </w:t>
            </w:r>
            <w:r>
              <w:rPr>
                <w:rStyle w:val="145"/>
                <w:rFonts w:cs="Times New Roman"/>
                <w:i w:val="0"/>
              </w:rPr>
              <w:t>Employer</w:t>
            </w:r>
            <w:r>
              <w:rPr>
                <w:rFonts w:cs="Times New Roman"/>
              </w:rPr>
              <w:t xml:space="preserve"> shall examine the technical aspects of the bid submitted in accordance with ITB 16, Technical Proposal, in particular, to confirm that all requirements of Section VII (Works Requirements) have been met without any material deviation, reservation or omission.</w:t>
            </w:r>
          </w:p>
        </w:tc>
      </w:tr>
      <w:tr w14:paraId="12B4A239">
        <w:tblPrEx>
          <w:tblCellMar>
            <w:top w:w="0" w:type="dxa"/>
            <w:left w:w="108" w:type="dxa"/>
            <w:bottom w:w="0" w:type="dxa"/>
            <w:right w:w="108" w:type="dxa"/>
          </w:tblCellMar>
        </w:tblPrEx>
        <w:trPr>
          <w:jc w:val="center"/>
        </w:trPr>
        <w:tc>
          <w:tcPr>
            <w:tcW w:w="2430" w:type="dxa"/>
          </w:tcPr>
          <w:p w14:paraId="03161E5E">
            <w:pPr>
              <w:spacing w:before="120" w:after="120"/>
            </w:pPr>
          </w:p>
        </w:tc>
        <w:tc>
          <w:tcPr>
            <w:tcW w:w="7020" w:type="dxa"/>
          </w:tcPr>
          <w:p w14:paraId="0297C030">
            <w:pPr>
              <w:pStyle w:val="146"/>
            </w:pPr>
            <w:r>
              <w:t xml:space="preserve">If a bid is not substantially responsive to the requirements of the Bidding Document, it shall be rejected by the </w:t>
            </w:r>
            <w:r>
              <w:rPr>
                <w:rStyle w:val="145"/>
                <w:rFonts w:cs="Times New Roman"/>
                <w:i w:val="0"/>
              </w:rPr>
              <w:t>Employer</w:t>
            </w:r>
            <w:r>
              <w:t xml:space="preserve"> and may not subsequently be made responsive by correction of the material deviation, reservation, or omission.</w:t>
            </w:r>
          </w:p>
        </w:tc>
      </w:tr>
      <w:tr w14:paraId="7A3AC0A8">
        <w:tblPrEx>
          <w:tblCellMar>
            <w:top w:w="0" w:type="dxa"/>
            <w:left w:w="108" w:type="dxa"/>
            <w:bottom w:w="0" w:type="dxa"/>
            <w:right w:w="108" w:type="dxa"/>
          </w:tblCellMar>
        </w:tblPrEx>
        <w:trPr>
          <w:jc w:val="center"/>
        </w:trPr>
        <w:tc>
          <w:tcPr>
            <w:tcW w:w="2430" w:type="dxa"/>
          </w:tcPr>
          <w:p w14:paraId="36C01256">
            <w:pPr>
              <w:pStyle w:val="143"/>
            </w:pPr>
            <w:bookmarkStart w:id="264" w:name="_Hlt438533232"/>
            <w:bookmarkEnd w:id="264"/>
            <w:bookmarkStart w:id="265" w:name="_Toc139863132"/>
            <w:bookmarkStart w:id="266" w:name="_Toc178538556"/>
            <w:bookmarkStart w:id="267" w:name="_Toc97371035"/>
            <w:r>
              <w:t>Nonconformities, Errors, and Omissions</w:t>
            </w:r>
            <w:bookmarkEnd w:id="265"/>
            <w:bookmarkEnd w:id="266"/>
            <w:bookmarkEnd w:id="267"/>
          </w:p>
        </w:tc>
        <w:tc>
          <w:tcPr>
            <w:tcW w:w="7020" w:type="dxa"/>
          </w:tcPr>
          <w:p w14:paraId="018C30DA">
            <w:pPr>
              <w:pStyle w:val="146"/>
            </w:pPr>
            <w:r>
              <w:t xml:space="preserve">Provided that a bid is substantially responsive, the </w:t>
            </w:r>
            <w:r>
              <w:rPr>
                <w:rStyle w:val="145"/>
                <w:rFonts w:cs="Times New Roman"/>
                <w:i w:val="0"/>
              </w:rPr>
              <w:t>Employer</w:t>
            </w:r>
            <w:r>
              <w:t xml:space="preserve"> may waive any nonconformities in the bid.</w:t>
            </w:r>
          </w:p>
        </w:tc>
      </w:tr>
      <w:tr w14:paraId="2B8C9B00">
        <w:tblPrEx>
          <w:tblCellMar>
            <w:top w:w="0" w:type="dxa"/>
            <w:left w:w="108" w:type="dxa"/>
            <w:bottom w:w="0" w:type="dxa"/>
            <w:right w:w="108" w:type="dxa"/>
          </w:tblCellMar>
        </w:tblPrEx>
        <w:trPr>
          <w:jc w:val="center"/>
        </w:trPr>
        <w:tc>
          <w:tcPr>
            <w:tcW w:w="2430" w:type="dxa"/>
          </w:tcPr>
          <w:p w14:paraId="3AFDE658">
            <w:pPr>
              <w:pStyle w:val="75"/>
              <w:suppressAutoHyphens w:val="0"/>
              <w:spacing w:before="100" w:after="100" w:line="240" w:lineRule="auto"/>
              <w:rPr>
                <w:rFonts w:ascii="Times New Roman" w:hAnsi="Times New Roman"/>
                <w:sz w:val="24"/>
                <w:szCs w:val="24"/>
              </w:rPr>
            </w:pPr>
          </w:p>
        </w:tc>
        <w:tc>
          <w:tcPr>
            <w:tcW w:w="7020" w:type="dxa"/>
          </w:tcPr>
          <w:p w14:paraId="397A7FFB">
            <w:pPr>
              <w:pStyle w:val="146"/>
            </w:pPr>
            <w:r>
              <w:t xml:space="preserve">Provided that a bid is substantially responsive, the </w:t>
            </w:r>
            <w:r>
              <w:rPr>
                <w:rStyle w:val="145"/>
                <w:rFonts w:cs="Times New Roman"/>
                <w:i w:val="0"/>
              </w:rPr>
              <w:t>Employer</w:t>
            </w:r>
            <w:r>
              <w:t xml:space="preserve"> may request that the Bidder submit the necessary information or documentation, within a reasonable period of time, to rectify nonmaterial nonconformities in the bid related to documentation requirements. Requesting information or documentation on such nonconformities shall not be related to any aspect of the price of the Bid. Failure of the Bidder to comply with the request may result in the rejection of its Bid.</w:t>
            </w:r>
          </w:p>
        </w:tc>
      </w:tr>
      <w:tr w14:paraId="6E13005A">
        <w:tblPrEx>
          <w:tblCellMar>
            <w:top w:w="0" w:type="dxa"/>
            <w:left w:w="108" w:type="dxa"/>
            <w:bottom w:w="0" w:type="dxa"/>
            <w:right w:w="108" w:type="dxa"/>
          </w:tblCellMar>
        </w:tblPrEx>
        <w:trPr>
          <w:jc w:val="center"/>
        </w:trPr>
        <w:tc>
          <w:tcPr>
            <w:tcW w:w="2430" w:type="dxa"/>
          </w:tcPr>
          <w:p w14:paraId="4C23082B">
            <w:pPr>
              <w:spacing w:before="100" w:after="100"/>
            </w:pPr>
          </w:p>
        </w:tc>
        <w:tc>
          <w:tcPr>
            <w:tcW w:w="7020" w:type="dxa"/>
          </w:tcPr>
          <w:p w14:paraId="76FD4A29">
            <w:pPr>
              <w:pStyle w:val="146"/>
            </w:pPr>
            <w:r>
              <w:t xml:space="preserve">Provided that a bid is substantially responsive, the </w:t>
            </w:r>
            <w:r>
              <w:rPr>
                <w:rStyle w:val="145"/>
                <w:rFonts w:cs="Times New Roman"/>
                <w:i w:val="0"/>
              </w:rPr>
              <w:t>Employer</w:t>
            </w:r>
            <w:r>
              <w:t xml:space="preserve"> shall rectify quantifiable nonmaterial nonconformities related to the Bid Price. To this effect, the Bid Price shall be adjusted, for comparison purposes only to reflect the price of a missing or non-conforming item or component, by adding the average price of the item or component quoted by substantially responsive Bidders. If the price of the item or component cannot be derived from the price of other substantially responsive bids, the Employer shall use its best estimate.</w:t>
            </w:r>
          </w:p>
        </w:tc>
      </w:tr>
      <w:tr w14:paraId="072B9611">
        <w:tblPrEx>
          <w:tblCellMar>
            <w:top w:w="0" w:type="dxa"/>
            <w:left w:w="108" w:type="dxa"/>
            <w:bottom w:w="0" w:type="dxa"/>
            <w:right w:w="108" w:type="dxa"/>
          </w:tblCellMar>
        </w:tblPrEx>
        <w:trPr>
          <w:jc w:val="center"/>
        </w:trPr>
        <w:tc>
          <w:tcPr>
            <w:tcW w:w="2430" w:type="dxa"/>
          </w:tcPr>
          <w:p w14:paraId="6A016777">
            <w:pPr>
              <w:pStyle w:val="143"/>
            </w:pPr>
            <w:bookmarkStart w:id="268" w:name="_Toc178538557"/>
            <w:bookmarkStart w:id="269" w:name="_Toc97371036"/>
            <w:bookmarkStart w:id="270" w:name="_Toc139863133"/>
            <w:r>
              <w:t>Correction of Arithmetical Errors</w:t>
            </w:r>
            <w:bookmarkEnd w:id="268"/>
            <w:bookmarkEnd w:id="269"/>
            <w:bookmarkEnd w:id="270"/>
          </w:p>
        </w:tc>
        <w:tc>
          <w:tcPr>
            <w:tcW w:w="7020" w:type="dxa"/>
          </w:tcPr>
          <w:p w14:paraId="52EB3A4A">
            <w:pPr>
              <w:pStyle w:val="146"/>
            </w:pPr>
            <w:r>
              <w:t xml:space="preserve">Provided that the bid is substantially responsive, the </w:t>
            </w:r>
            <w:r>
              <w:rPr>
                <w:rStyle w:val="145"/>
                <w:rFonts w:cs="Times New Roman"/>
                <w:i w:val="0"/>
              </w:rPr>
              <w:t>Employer</w:t>
            </w:r>
            <w:r>
              <w:t xml:space="preserve"> shall correct arithmetical errors on the following basis:</w:t>
            </w:r>
          </w:p>
          <w:p w14:paraId="2527FE9A">
            <w:pPr>
              <w:pStyle w:val="70"/>
              <w:numPr>
                <w:ilvl w:val="0"/>
                <w:numId w:val="0"/>
              </w:numPr>
              <w:ind w:left="927" w:hanging="423"/>
              <w:rPr>
                <w:szCs w:val="24"/>
              </w:rPr>
            </w:pPr>
            <w:r>
              <w:rPr>
                <w:szCs w:val="24"/>
              </w:rPr>
              <w:t>(a)</w:t>
            </w:r>
            <w:r>
              <w:rPr>
                <w:szCs w:val="24"/>
              </w:rPr>
              <w:tab/>
            </w:r>
            <w:r>
              <w:rPr>
                <w:szCs w:val="24"/>
              </w:rPr>
              <w:t>only for admeasurement contracts, if there is a discrepancy between the unit price and the total price that is obtained by multiplying the unit price and quantity, the unit price shall prevail and the total price shall be corrected, unless in the opinion of the Employer there is an obvious misplacement of the decimal point in the unit price, in which case the total price as quoted shall govern and the unit price shall be corrected;</w:t>
            </w:r>
          </w:p>
          <w:p w14:paraId="0A5F2BFF">
            <w:pPr>
              <w:pStyle w:val="70"/>
              <w:numPr>
                <w:ilvl w:val="0"/>
                <w:numId w:val="0"/>
              </w:numPr>
              <w:ind w:left="927" w:hanging="423"/>
              <w:rPr>
                <w:szCs w:val="24"/>
              </w:rPr>
            </w:pPr>
            <w:r>
              <w:rPr>
                <w:szCs w:val="24"/>
              </w:rPr>
              <w:t>(b)</w:t>
            </w:r>
            <w:r>
              <w:rPr>
                <w:szCs w:val="24"/>
              </w:rPr>
              <w:tab/>
            </w:r>
            <w:r>
              <w:rPr>
                <w:szCs w:val="24"/>
              </w:rPr>
              <w:t>if there is an error in a total corresponding to the addition or subtraction of subtotals, the subtotals shall prevail and the total shall be corrected; and</w:t>
            </w:r>
          </w:p>
          <w:p w14:paraId="00278525">
            <w:pPr>
              <w:pStyle w:val="70"/>
              <w:numPr>
                <w:ilvl w:val="0"/>
                <w:numId w:val="0"/>
              </w:numPr>
              <w:ind w:left="927" w:hanging="423"/>
              <w:rPr>
                <w:szCs w:val="24"/>
              </w:rPr>
            </w:pPr>
            <w:r>
              <w:rPr>
                <w:szCs w:val="24"/>
              </w:rPr>
              <w:t>(c)</w:t>
            </w:r>
            <w:r>
              <w:rPr>
                <w:szCs w:val="24"/>
              </w:rPr>
              <w:tab/>
            </w:r>
            <w:r>
              <w:rPr>
                <w:szCs w:val="24"/>
              </w:rPr>
              <w:t>if there is a discrepancy between words and figures, the amount in words shall prevail, unless the amount expressed in words is related to an arithmetic error, in which case the amount in figures shall prevail subject to (a) and (b) above.</w:t>
            </w:r>
          </w:p>
        </w:tc>
      </w:tr>
      <w:tr w14:paraId="35C0DF03">
        <w:tblPrEx>
          <w:tblCellMar>
            <w:top w:w="0" w:type="dxa"/>
            <w:left w:w="108" w:type="dxa"/>
            <w:bottom w:w="0" w:type="dxa"/>
            <w:right w:w="108" w:type="dxa"/>
          </w:tblCellMar>
        </w:tblPrEx>
        <w:trPr>
          <w:jc w:val="center"/>
        </w:trPr>
        <w:tc>
          <w:tcPr>
            <w:tcW w:w="2430" w:type="dxa"/>
          </w:tcPr>
          <w:p w14:paraId="2E28B171">
            <w:pPr>
              <w:pStyle w:val="68"/>
              <w:numPr>
                <w:ilvl w:val="0"/>
                <w:numId w:val="0"/>
              </w:numPr>
              <w:spacing w:before="100" w:after="100"/>
              <w:rPr>
                <w:rFonts w:ascii="Times New Roman" w:hAnsi="Times New Roman"/>
                <w:sz w:val="24"/>
                <w:szCs w:val="24"/>
              </w:rPr>
            </w:pPr>
          </w:p>
        </w:tc>
        <w:tc>
          <w:tcPr>
            <w:tcW w:w="7020" w:type="dxa"/>
          </w:tcPr>
          <w:p w14:paraId="6A2C04CB">
            <w:pPr>
              <w:pStyle w:val="146"/>
            </w:pPr>
            <w:r>
              <w:t>Bidders shall be requested to accept correction of arithmetical errors. Failure to accept the correction in accordance with ITB 31.1, shall result in the rejection of the Bid.</w:t>
            </w:r>
          </w:p>
        </w:tc>
      </w:tr>
      <w:tr w14:paraId="5919BDC1">
        <w:tblPrEx>
          <w:tblCellMar>
            <w:top w:w="0" w:type="dxa"/>
            <w:left w:w="108" w:type="dxa"/>
            <w:bottom w:w="0" w:type="dxa"/>
            <w:right w:w="108" w:type="dxa"/>
          </w:tblCellMar>
        </w:tblPrEx>
        <w:trPr>
          <w:jc w:val="center"/>
        </w:trPr>
        <w:tc>
          <w:tcPr>
            <w:tcW w:w="2430" w:type="dxa"/>
          </w:tcPr>
          <w:p w14:paraId="4338509A">
            <w:pPr>
              <w:pStyle w:val="143"/>
            </w:pPr>
            <w:bookmarkStart w:id="271" w:name="_Toc139863134"/>
            <w:bookmarkStart w:id="272" w:name="_Toc178538558"/>
            <w:bookmarkStart w:id="273" w:name="_Toc97371037"/>
            <w:r>
              <w:t>Conversion to Single Currency</w:t>
            </w:r>
            <w:bookmarkEnd w:id="271"/>
            <w:bookmarkEnd w:id="272"/>
            <w:bookmarkEnd w:id="273"/>
            <w:r>
              <w:t xml:space="preserve"> </w:t>
            </w:r>
          </w:p>
        </w:tc>
        <w:tc>
          <w:tcPr>
            <w:tcW w:w="7020" w:type="dxa"/>
          </w:tcPr>
          <w:p w14:paraId="62790DF8">
            <w:pPr>
              <w:pStyle w:val="146"/>
            </w:pPr>
            <w:r>
              <w:t xml:space="preserve">For evaluation and comparison purposes, the currency(ies) of the Bid shall be converted into a single currency as </w:t>
            </w:r>
            <w:r>
              <w:rPr>
                <w:b/>
              </w:rPr>
              <w:t>specified in the BDS</w:t>
            </w:r>
            <w:r>
              <w:t xml:space="preserve">. </w:t>
            </w:r>
          </w:p>
        </w:tc>
      </w:tr>
      <w:tr w14:paraId="408D1680">
        <w:tblPrEx>
          <w:tblCellMar>
            <w:top w:w="0" w:type="dxa"/>
            <w:left w:w="108" w:type="dxa"/>
            <w:bottom w:w="0" w:type="dxa"/>
            <w:right w:w="108" w:type="dxa"/>
          </w:tblCellMar>
        </w:tblPrEx>
        <w:trPr>
          <w:jc w:val="center"/>
        </w:trPr>
        <w:tc>
          <w:tcPr>
            <w:tcW w:w="2430" w:type="dxa"/>
          </w:tcPr>
          <w:p w14:paraId="4B918D13">
            <w:pPr>
              <w:pStyle w:val="143"/>
            </w:pPr>
            <w:bookmarkStart w:id="274" w:name="_Toc178538559"/>
            <w:bookmarkStart w:id="275" w:name="_Toc438532647"/>
            <w:bookmarkStart w:id="276" w:name="_Toc438734002"/>
            <w:bookmarkStart w:id="277" w:name="_Toc438438858"/>
            <w:bookmarkStart w:id="278" w:name="_Toc438907039"/>
            <w:bookmarkStart w:id="279" w:name="_Toc438907238"/>
            <w:bookmarkStart w:id="280" w:name="_Toc97371038"/>
            <w:bookmarkStart w:id="281" w:name="_Toc139863135"/>
            <w:r>
              <w:t>Margin of Preference</w:t>
            </w:r>
            <w:bookmarkEnd w:id="274"/>
            <w:bookmarkEnd w:id="275"/>
            <w:bookmarkEnd w:id="276"/>
            <w:bookmarkEnd w:id="277"/>
            <w:bookmarkEnd w:id="278"/>
            <w:bookmarkEnd w:id="279"/>
            <w:bookmarkEnd w:id="280"/>
            <w:bookmarkEnd w:id="281"/>
          </w:p>
        </w:tc>
        <w:tc>
          <w:tcPr>
            <w:tcW w:w="7020" w:type="dxa"/>
          </w:tcPr>
          <w:p w14:paraId="29DDE453">
            <w:pPr>
              <w:pStyle w:val="69"/>
              <w:rPr>
                <w:rFonts w:cs="Times New Roman"/>
              </w:rPr>
            </w:pPr>
            <w:r>
              <w:rPr>
                <w:b/>
                <w:spacing w:val="-2"/>
              </w:rPr>
              <w:t>Unless otherwise specified in the</w:t>
            </w:r>
            <w:r>
              <w:rPr>
                <w:spacing w:val="-2"/>
              </w:rPr>
              <w:t xml:space="preserve"> </w:t>
            </w:r>
            <w:r>
              <w:rPr>
                <w:b/>
                <w:spacing w:val="-2"/>
              </w:rPr>
              <w:t xml:space="preserve">BDS, </w:t>
            </w:r>
            <w:r>
              <w:rPr>
                <w:spacing w:val="-2"/>
              </w:rPr>
              <w:t>a margin of preference for domestic bidders</w:t>
            </w:r>
            <w:r>
              <w:rPr>
                <w:rStyle w:val="28"/>
                <w:spacing w:val="-2"/>
              </w:rPr>
              <w:footnoteReference w:id="2"/>
            </w:r>
            <w:r>
              <w:rPr>
                <w:spacing w:val="-2"/>
              </w:rPr>
              <w:t xml:space="preserve"> shall not apply</w:t>
            </w:r>
            <w:r>
              <w:rPr>
                <w:rFonts w:cs="Times New Roman"/>
              </w:rPr>
              <w:t>.</w:t>
            </w:r>
          </w:p>
        </w:tc>
      </w:tr>
      <w:tr w14:paraId="49026845">
        <w:tblPrEx>
          <w:tblCellMar>
            <w:top w:w="0" w:type="dxa"/>
            <w:left w:w="108" w:type="dxa"/>
            <w:bottom w:w="0" w:type="dxa"/>
            <w:right w:w="108" w:type="dxa"/>
          </w:tblCellMar>
        </w:tblPrEx>
        <w:trPr>
          <w:jc w:val="center"/>
        </w:trPr>
        <w:tc>
          <w:tcPr>
            <w:tcW w:w="2430" w:type="dxa"/>
          </w:tcPr>
          <w:p w14:paraId="7FA4F7E0">
            <w:pPr>
              <w:pStyle w:val="143"/>
            </w:pPr>
            <w:bookmarkStart w:id="282" w:name="_Toc178538560"/>
            <w:r>
              <w:t>Subcontractors</w:t>
            </w:r>
            <w:bookmarkEnd w:id="282"/>
          </w:p>
        </w:tc>
        <w:tc>
          <w:tcPr>
            <w:tcW w:w="7020" w:type="dxa"/>
          </w:tcPr>
          <w:p w14:paraId="76C6423C">
            <w:pPr>
              <w:pStyle w:val="69"/>
              <w:rPr>
                <w:spacing w:val="-2"/>
              </w:rPr>
            </w:pPr>
            <w:r>
              <w:rPr>
                <w:spacing w:val="-2"/>
              </w:rPr>
              <w:t>Unless otherwise stated in the</w:t>
            </w:r>
            <w:r>
              <w:rPr>
                <w:bCs/>
                <w:spacing w:val="-2"/>
              </w:rPr>
              <w:t xml:space="preserve"> BDS, the Employer does not intend to execute any specific elements of the Works by sub-contractors selected in advance by the Employer.</w:t>
            </w:r>
          </w:p>
          <w:p w14:paraId="2EE7ED5C">
            <w:pPr>
              <w:pStyle w:val="69"/>
              <w:rPr>
                <w:spacing w:val="-2"/>
              </w:rPr>
            </w:pPr>
            <w:r>
              <w:rPr>
                <w:bCs/>
                <w:spacing w:val="-2"/>
              </w:rPr>
              <w:t xml:space="preserve">The Employer may permit subcontracting for certain specialized works as indicated in Section III. When subcontracting is permitted by the Employer, the specialized </w:t>
            </w:r>
            <w:r>
              <w:rPr>
                <w:spacing w:val="-2"/>
              </w:rPr>
              <w:t>sub-contractor’s</w:t>
            </w:r>
            <w:r>
              <w:rPr>
                <w:bCs/>
                <w:spacing w:val="-2"/>
              </w:rPr>
              <w:t xml:space="preserve"> experience shall be considered for evaluation. Section III describes the qualification criteria for sub-contractors.</w:t>
            </w:r>
          </w:p>
          <w:p w14:paraId="1289BC1D">
            <w:pPr>
              <w:pStyle w:val="69"/>
              <w:rPr>
                <w:spacing w:val="-2"/>
              </w:rPr>
            </w:pPr>
            <w:r>
              <w:rPr>
                <w:bCs/>
                <w:spacing w:val="-2"/>
              </w:rPr>
              <w:t xml:space="preserve">Bidders may propose subcontracting up to the percentage of total value of contracts or the volume of works as </w:t>
            </w:r>
            <w:r>
              <w:rPr>
                <w:b/>
                <w:spacing w:val="-2"/>
              </w:rPr>
              <w:t>specified in the</w:t>
            </w:r>
            <w:r>
              <w:rPr>
                <w:bCs/>
                <w:spacing w:val="-2"/>
              </w:rPr>
              <w:t xml:space="preserve"> </w:t>
            </w:r>
            <w:r>
              <w:rPr>
                <w:b/>
                <w:spacing w:val="-2"/>
              </w:rPr>
              <w:t>BDS.</w:t>
            </w:r>
          </w:p>
        </w:tc>
      </w:tr>
      <w:tr w14:paraId="122447D0">
        <w:tblPrEx>
          <w:tblCellMar>
            <w:top w:w="0" w:type="dxa"/>
            <w:left w:w="108" w:type="dxa"/>
            <w:bottom w:w="0" w:type="dxa"/>
            <w:right w:w="108" w:type="dxa"/>
          </w:tblCellMar>
        </w:tblPrEx>
        <w:trPr>
          <w:cantSplit/>
          <w:jc w:val="center"/>
        </w:trPr>
        <w:tc>
          <w:tcPr>
            <w:tcW w:w="2430" w:type="dxa"/>
          </w:tcPr>
          <w:p w14:paraId="7C6700B2">
            <w:pPr>
              <w:pStyle w:val="143"/>
            </w:pPr>
            <w:bookmarkStart w:id="283" w:name="_Toc178538561"/>
            <w:bookmarkStart w:id="284" w:name="_Toc97371039"/>
            <w:bookmarkStart w:id="285" w:name="_Toc438907239"/>
            <w:bookmarkStart w:id="286" w:name="_Toc438438859"/>
            <w:bookmarkStart w:id="287" w:name="_Toc438734003"/>
            <w:bookmarkStart w:id="288" w:name="_Toc139863136"/>
            <w:bookmarkStart w:id="289" w:name="_Toc438907040"/>
            <w:bookmarkStart w:id="290" w:name="_Toc438532648"/>
            <w:r>
              <w:t>Evaluation of Bids</w:t>
            </w:r>
            <w:bookmarkEnd w:id="283"/>
            <w:bookmarkEnd w:id="284"/>
            <w:bookmarkEnd w:id="285"/>
            <w:bookmarkEnd w:id="286"/>
            <w:bookmarkEnd w:id="287"/>
            <w:bookmarkEnd w:id="288"/>
            <w:bookmarkEnd w:id="289"/>
            <w:bookmarkEnd w:id="290"/>
          </w:p>
        </w:tc>
        <w:tc>
          <w:tcPr>
            <w:tcW w:w="7020" w:type="dxa"/>
          </w:tcPr>
          <w:p w14:paraId="1692A082">
            <w:pPr>
              <w:pStyle w:val="69"/>
              <w:rPr>
                <w:rFonts w:cs="Times New Roman"/>
              </w:rPr>
            </w:pPr>
            <w:r>
              <w:rPr>
                <w:rFonts w:cs="Times New Roman"/>
              </w:rPr>
              <w:t xml:space="preserve">The </w:t>
            </w:r>
            <w:r>
              <w:rPr>
                <w:rStyle w:val="145"/>
                <w:rFonts w:cs="Times New Roman"/>
                <w:i w:val="0"/>
              </w:rPr>
              <w:t>Employer</w:t>
            </w:r>
            <w:r>
              <w:rPr>
                <w:rFonts w:cs="Times New Roman"/>
              </w:rPr>
              <w:t xml:space="preserve"> shall use the criteria and methodologies listed in this Clause. No other evaluation criteria or methodologies shall be permitted.</w:t>
            </w:r>
          </w:p>
        </w:tc>
      </w:tr>
      <w:tr w14:paraId="3479B1FD">
        <w:tblPrEx>
          <w:tblCellMar>
            <w:top w:w="0" w:type="dxa"/>
            <w:left w:w="108" w:type="dxa"/>
            <w:bottom w:w="0" w:type="dxa"/>
            <w:right w:w="108" w:type="dxa"/>
          </w:tblCellMar>
        </w:tblPrEx>
        <w:trPr>
          <w:jc w:val="center"/>
        </w:trPr>
        <w:tc>
          <w:tcPr>
            <w:tcW w:w="2430" w:type="dxa"/>
          </w:tcPr>
          <w:p w14:paraId="14E3ACF7">
            <w:pPr>
              <w:pStyle w:val="68"/>
              <w:numPr>
                <w:ilvl w:val="0"/>
                <w:numId w:val="0"/>
              </w:numPr>
              <w:spacing w:before="140" w:after="120"/>
              <w:rPr>
                <w:rFonts w:ascii="Times New Roman" w:hAnsi="Times New Roman"/>
                <w:sz w:val="24"/>
                <w:szCs w:val="24"/>
              </w:rPr>
            </w:pPr>
          </w:p>
        </w:tc>
        <w:tc>
          <w:tcPr>
            <w:tcW w:w="7020" w:type="dxa"/>
          </w:tcPr>
          <w:p w14:paraId="7D6F2E42">
            <w:pPr>
              <w:pStyle w:val="69"/>
              <w:rPr>
                <w:rFonts w:cs="Times New Roman"/>
              </w:rPr>
            </w:pPr>
            <w:r>
              <w:rPr>
                <w:rFonts w:cs="Times New Roman"/>
              </w:rPr>
              <w:t xml:space="preserve">To evaluate a bid, the </w:t>
            </w:r>
            <w:r>
              <w:rPr>
                <w:rStyle w:val="145"/>
                <w:rFonts w:cs="Times New Roman"/>
                <w:i w:val="0"/>
              </w:rPr>
              <w:t>Employer</w:t>
            </w:r>
            <w:r>
              <w:rPr>
                <w:rFonts w:cs="Times New Roman"/>
                <w:iCs/>
              </w:rPr>
              <w:t xml:space="preserve"> </w:t>
            </w:r>
            <w:r>
              <w:rPr>
                <w:rFonts w:cs="Times New Roman"/>
              </w:rPr>
              <w:t>shall consider the following:</w:t>
            </w:r>
          </w:p>
          <w:p w14:paraId="2D4E9276">
            <w:pPr>
              <w:pStyle w:val="70"/>
              <w:numPr>
                <w:ilvl w:val="0"/>
                <w:numId w:val="0"/>
              </w:numPr>
              <w:ind w:left="927" w:hanging="423"/>
              <w:rPr>
                <w:szCs w:val="24"/>
              </w:rPr>
            </w:pPr>
            <w:r>
              <w:rPr>
                <w:szCs w:val="24"/>
              </w:rPr>
              <w:t>(a)</w:t>
            </w:r>
            <w:r>
              <w:rPr>
                <w:szCs w:val="24"/>
              </w:rPr>
              <w:tab/>
            </w:r>
            <w:r>
              <w:rPr>
                <w:szCs w:val="24"/>
              </w:rPr>
              <w:t>the bid price, excluding Provisional Sums and the provision, if any, for contingencies in the Summary Bill of Quantities</w:t>
            </w:r>
            <w:r>
              <w:rPr>
                <w:rStyle w:val="28"/>
              </w:rPr>
              <w:footnoteReference w:id="3"/>
            </w:r>
            <w:r>
              <w:rPr>
                <w:szCs w:val="24"/>
              </w:rPr>
              <w:t xml:space="preserve"> for admeasurement contracts, but including Daywork</w:t>
            </w:r>
            <w:r>
              <w:rPr>
                <w:rStyle w:val="28"/>
              </w:rPr>
              <w:footnoteReference w:id="4"/>
            </w:r>
            <w:r>
              <w:rPr>
                <w:szCs w:val="24"/>
              </w:rPr>
              <w:t xml:space="preserve"> items, where priced competitively;</w:t>
            </w:r>
          </w:p>
          <w:p w14:paraId="3A5595B4">
            <w:pPr>
              <w:pStyle w:val="70"/>
              <w:numPr>
                <w:ilvl w:val="0"/>
                <w:numId w:val="0"/>
              </w:numPr>
              <w:ind w:left="927" w:hanging="423"/>
              <w:rPr>
                <w:szCs w:val="24"/>
              </w:rPr>
            </w:pPr>
            <w:r>
              <w:rPr>
                <w:szCs w:val="24"/>
              </w:rPr>
              <w:t>(b)</w:t>
            </w:r>
            <w:r>
              <w:rPr>
                <w:szCs w:val="24"/>
              </w:rPr>
              <w:tab/>
            </w:r>
            <w:r>
              <w:rPr>
                <w:szCs w:val="24"/>
              </w:rPr>
              <w:t>price adjustment for correction of arithmetic errors in accordance with ITB 31.1;</w:t>
            </w:r>
          </w:p>
          <w:p w14:paraId="005CF642">
            <w:pPr>
              <w:pStyle w:val="70"/>
              <w:numPr>
                <w:ilvl w:val="0"/>
                <w:numId w:val="0"/>
              </w:numPr>
              <w:ind w:left="927" w:hanging="423"/>
              <w:rPr>
                <w:szCs w:val="24"/>
              </w:rPr>
            </w:pPr>
            <w:r>
              <w:rPr>
                <w:szCs w:val="24"/>
              </w:rPr>
              <w:t>(c)</w:t>
            </w:r>
            <w:r>
              <w:rPr>
                <w:szCs w:val="24"/>
              </w:rPr>
              <w:tab/>
            </w:r>
            <w:r>
              <w:rPr>
                <w:szCs w:val="24"/>
              </w:rPr>
              <w:t>price adjustment due to discounts offered in accordance with ITB 14.4;</w:t>
            </w:r>
          </w:p>
          <w:p w14:paraId="095FE99E">
            <w:pPr>
              <w:pStyle w:val="70"/>
              <w:numPr>
                <w:ilvl w:val="0"/>
                <w:numId w:val="0"/>
              </w:numPr>
              <w:ind w:left="927" w:hanging="423"/>
              <w:rPr>
                <w:szCs w:val="24"/>
              </w:rPr>
            </w:pPr>
            <w:r>
              <w:rPr>
                <w:szCs w:val="24"/>
              </w:rPr>
              <w:t>(d)</w:t>
            </w:r>
            <w:r>
              <w:rPr>
                <w:szCs w:val="24"/>
              </w:rPr>
              <w:tab/>
            </w:r>
            <w:r>
              <w:rPr>
                <w:spacing w:val="-4"/>
                <w:szCs w:val="24"/>
              </w:rPr>
              <w:t>converting the amount resulting from applying (a) to (c) above, if relevant, to a single currency in accordance with ITB 32;</w:t>
            </w:r>
          </w:p>
          <w:p w14:paraId="3F92093F">
            <w:pPr>
              <w:pStyle w:val="70"/>
              <w:numPr>
                <w:ilvl w:val="0"/>
                <w:numId w:val="0"/>
              </w:numPr>
              <w:ind w:left="927" w:hanging="423"/>
              <w:rPr>
                <w:szCs w:val="24"/>
              </w:rPr>
            </w:pPr>
            <w:r>
              <w:rPr>
                <w:szCs w:val="24"/>
              </w:rPr>
              <w:t>(e)</w:t>
            </w:r>
            <w:r>
              <w:rPr>
                <w:szCs w:val="24"/>
              </w:rPr>
              <w:tab/>
            </w:r>
            <w:r>
              <w:rPr>
                <w:szCs w:val="24"/>
              </w:rPr>
              <w:t>price adjustment for nonconformities in accordance with ITB 30.3;</w:t>
            </w:r>
          </w:p>
          <w:p w14:paraId="60799C9A">
            <w:pPr>
              <w:pStyle w:val="70"/>
              <w:numPr>
                <w:ilvl w:val="0"/>
                <w:numId w:val="0"/>
              </w:numPr>
              <w:ind w:left="927" w:hanging="423"/>
              <w:rPr>
                <w:b/>
                <w:bCs/>
                <w:i/>
                <w:iCs/>
                <w:szCs w:val="24"/>
              </w:rPr>
            </w:pPr>
            <w:r>
              <w:rPr>
                <w:szCs w:val="24"/>
              </w:rPr>
              <w:t>(f)</w:t>
            </w:r>
            <w:r>
              <w:rPr>
                <w:szCs w:val="24"/>
              </w:rPr>
              <w:tab/>
            </w:r>
            <w:r>
              <w:rPr>
                <w:szCs w:val="24"/>
              </w:rPr>
              <w:t>the additional evaluation factors are specified in Section III (Evaluation and Qualification Criteria);</w:t>
            </w:r>
          </w:p>
        </w:tc>
      </w:tr>
      <w:tr w14:paraId="32A67605">
        <w:tblPrEx>
          <w:tblCellMar>
            <w:top w:w="0" w:type="dxa"/>
            <w:left w:w="108" w:type="dxa"/>
            <w:bottom w:w="0" w:type="dxa"/>
            <w:right w:w="108" w:type="dxa"/>
          </w:tblCellMar>
        </w:tblPrEx>
        <w:trPr>
          <w:jc w:val="center"/>
        </w:trPr>
        <w:tc>
          <w:tcPr>
            <w:tcW w:w="2430" w:type="dxa"/>
          </w:tcPr>
          <w:p w14:paraId="3BADFBEB">
            <w:pPr>
              <w:spacing w:before="140" w:after="120"/>
            </w:pPr>
          </w:p>
        </w:tc>
        <w:tc>
          <w:tcPr>
            <w:tcW w:w="7020" w:type="dxa"/>
          </w:tcPr>
          <w:p w14:paraId="1CA64B60">
            <w:pPr>
              <w:pStyle w:val="69"/>
              <w:rPr>
                <w:rFonts w:cs="Times New Roman"/>
              </w:rPr>
            </w:pPr>
            <w:r>
              <w:rPr>
                <w:rFonts w:cs="Times New Roman"/>
              </w:rPr>
              <w:t>The estimated effect of the price adjustment provisions of the Conditions of Contract, applied over the period of execution of the Contract, shall not be taken into account in bid evaluation.</w:t>
            </w:r>
          </w:p>
        </w:tc>
      </w:tr>
      <w:tr w14:paraId="7541CEC3">
        <w:tblPrEx>
          <w:tblCellMar>
            <w:top w:w="0" w:type="dxa"/>
            <w:left w:w="108" w:type="dxa"/>
            <w:bottom w:w="0" w:type="dxa"/>
            <w:right w:w="108" w:type="dxa"/>
          </w:tblCellMar>
        </w:tblPrEx>
        <w:trPr>
          <w:jc w:val="center"/>
        </w:trPr>
        <w:tc>
          <w:tcPr>
            <w:tcW w:w="2430" w:type="dxa"/>
          </w:tcPr>
          <w:p w14:paraId="370A76FB">
            <w:pPr>
              <w:spacing w:before="140" w:after="120"/>
            </w:pPr>
          </w:p>
        </w:tc>
        <w:tc>
          <w:tcPr>
            <w:tcW w:w="7020" w:type="dxa"/>
          </w:tcPr>
          <w:p w14:paraId="27835ADE">
            <w:pPr>
              <w:pStyle w:val="69"/>
              <w:rPr>
                <w:rFonts w:cs="Times New Roman"/>
              </w:rPr>
            </w:pPr>
            <w:r>
              <w:rPr>
                <w:rFonts w:cs="Times New Roman"/>
              </w:rPr>
              <w:t>If this Bidding Document allows Bidders to quote separate prices for different lots (contracts), the methodology to determine the lowest evaluated price of the contract combinations, including any discounts offered in the Letter of Bid, is specified in Section III. Evaluation and Qualification Criteria.</w:t>
            </w:r>
          </w:p>
        </w:tc>
      </w:tr>
      <w:tr w14:paraId="7286A152">
        <w:tblPrEx>
          <w:tblCellMar>
            <w:top w:w="0" w:type="dxa"/>
            <w:left w:w="108" w:type="dxa"/>
            <w:bottom w:w="0" w:type="dxa"/>
            <w:right w:w="108" w:type="dxa"/>
          </w:tblCellMar>
        </w:tblPrEx>
        <w:trPr>
          <w:jc w:val="center"/>
        </w:trPr>
        <w:tc>
          <w:tcPr>
            <w:tcW w:w="2430" w:type="dxa"/>
          </w:tcPr>
          <w:p w14:paraId="78A6000E">
            <w:pPr>
              <w:spacing w:before="140" w:after="120"/>
            </w:pPr>
          </w:p>
        </w:tc>
        <w:tc>
          <w:tcPr>
            <w:tcW w:w="7020" w:type="dxa"/>
          </w:tcPr>
          <w:p w14:paraId="135D049C">
            <w:pPr>
              <w:pStyle w:val="69"/>
              <w:rPr>
                <w:rFonts w:cs="Times New Roman"/>
              </w:rPr>
            </w:pPr>
            <w:r>
              <w:rPr>
                <w:rFonts w:cs="Times New Roman"/>
              </w:rPr>
              <w:t xml:space="preserve">If the bid for an admeasurement contract, which results in the lowest Evaluated Bid Price, is seriously unbalanced or, front loaded in the opinion of the </w:t>
            </w:r>
            <w:r>
              <w:rPr>
                <w:rStyle w:val="145"/>
                <w:rFonts w:cs="Times New Roman"/>
                <w:i w:val="0"/>
              </w:rPr>
              <w:t>Employer</w:t>
            </w:r>
            <w:r>
              <w:rPr>
                <w:rFonts w:cs="Times New Roman"/>
              </w:rPr>
              <w:t xml:space="preserve">, the </w:t>
            </w:r>
            <w:r>
              <w:rPr>
                <w:rStyle w:val="145"/>
                <w:rFonts w:cs="Times New Roman"/>
                <w:i w:val="0"/>
              </w:rPr>
              <w:t>Employer</w:t>
            </w:r>
            <w:r>
              <w:rPr>
                <w:rFonts w:cs="Times New Roman"/>
              </w:rPr>
              <w:t xml:space="preserve"> may require the Bidder to produce detailed price analyses for any or all items of the Bill of Quantities, </w:t>
            </w:r>
            <w:r>
              <w:rPr>
                <w:rStyle w:val="145"/>
                <w:rFonts w:cs="Times New Roman"/>
                <w:i w:val="0"/>
                <w:iCs w:val="0"/>
              </w:rPr>
              <w:t>to demonstrate the internal consistency of those prices with the construction methods and schedule proposed. After evaluation of the price analyses, taking into consideration the schedule of estimated Contract payments, the Employer may require that the amount of the performance security be increased at the expense of the Bidder to a level sufficient to protect the Employer against financial loss in the event of default of the successful Bidder under the Contract</w:t>
            </w:r>
            <w:r>
              <w:rPr>
                <w:rFonts w:cs="Times New Roman"/>
                <w:i/>
              </w:rPr>
              <w:t>.</w:t>
            </w:r>
          </w:p>
        </w:tc>
      </w:tr>
      <w:tr w14:paraId="00AC9838">
        <w:tblPrEx>
          <w:tblCellMar>
            <w:top w:w="0" w:type="dxa"/>
            <w:left w:w="108" w:type="dxa"/>
            <w:bottom w:w="0" w:type="dxa"/>
            <w:right w:w="108" w:type="dxa"/>
          </w:tblCellMar>
        </w:tblPrEx>
        <w:trPr>
          <w:jc w:val="center"/>
        </w:trPr>
        <w:tc>
          <w:tcPr>
            <w:tcW w:w="2430" w:type="dxa"/>
          </w:tcPr>
          <w:p w14:paraId="31E7C006">
            <w:pPr>
              <w:pStyle w:val="143"/>
            </w:pPr>
            <w:bookmarkStart w:id="291" w:name="_Toc438907240"/>
            <w:bookmarkStart w:id="292" w:name="_Toc97371040"/>
            <w:bookmarkStart w:id="293" w:name="_Toc438907041"/>
            <w:bookmarkStart w:id="294" w:name="_Toc438532654"/>
            <w:bookmarkStart w:id="295" w:name="_Toc438734004"/>
            <w:bookmarkStart w:id="296" w:name="_Toc178538562"/>
            <w:bookmarkStart w:id="297" w:name="_Toc438438860"/>
            <w:bookmarkStart w:id="298" w:name="_Toc139863137"/>
            <w:r>
              <w:t>Comparison of Bids</w:t>
            </w:r>
            <w:bookmarkEnd w:id="291"/>
            <w:bookmarkEnd w:id="292"/>
            <w:bookmarkEnd w:id="293"/>
            <w:bookmarkEnd w:id="294"/>
            <w:bookmarkEnd w:id="295"/>
            <w:bookmarkEnd w:id="296"/>
            <w:bookmarkEnd w:id="297"/>
            <w:bookmarkEnd w:id="298"/>
          </w:p>
        </w:tc>
        <w:tc>
          <w:tcPr>
            <w:tcW w:w="7020" w:type="dxa"/>
          </w:tcPr>
          <w:p w14:paraId="22BE7C20">
            <w:pPr>
              <w:pStyle w:val="69"/>
              <w:rPr>
                <w:rFonts w:cs="Times New Roman"/>
              </w:rPr>
            </w:pPr>
            <w:r>
              <w:rPr>
                <w:rFonts w:cs="Times New Roman"/>
              </w:rPr>
              <w:t xml:space="preserve">The </w:t>
            </w:r>
            <w:r>
              <w:rPr>
                <w:rStyle w:val="145"/>
                <w:rFonts w:cs="Times New Roman"/>
                <w:i w:val="0"/>
              </w:rPr>
              <w:t>Employer</w:t>
            </w:r>
            <w:r>
              <w:rPr>
                <w:rFonts w:cs="Times New Roman"/>
              </w:rPr>
              <w:t xml:space="preserve"> shall compare the evaluated prices of all substantially responsive bids established in accordance with ITB 35.2 to determine the lowest evaluated bid</w:t>
            </w:r>
            <w:r>
              <w:rPr>
                <w:rStyle w:val="145"/>
                <w:rFonts w:cs="Times New Roman"/>
              </w:rPr>
              <w:t>.</w:t>
            </w:r>
          </w:p>
        </w:tc>
      </w:tr>
      <w:tr w14:paraId="45D12222">
        <w:tblPrEx>
          <w:tblCellMar>
            <w:top w:w="0" w:type="dxa"/>
            <w:left w:w="108" w:type="dxa"/>
            <w:bottom w:w="0" w:type="dxa"/>
            <w:right w:w="108" w:type="dxa"/>
          </w:tblCellMar>
        </w:tblPrEx>
        <w:trPr>
          <w:jc w:val="center"/>
        </w:trPr>
        <w:tc>
          <w:tcPr>
            <w:tcW w:w="2430" w:type="dxa"/>
          </w:tcPr>
          <w:p w14:paraId="78583F7B">
            <w:pPr>
              <w:pStyle w:val="143"/>
            </w:pPr>
            <w:bookmarkStart w:id="299" w:name="_Toc139863138"/>
            <w:bookmarkStart w:id="300" w:name="_Toc438907241"/>
            <w:bookmarkStart w:id="301" w:name="_Toc178538563"/>
            <w:bookmarkStart w:id="302" w:name="_Toc97371041"/>
            <w:bookmarkStart w:id="303" w:name="_Toc438438861"/>
            <w:bookmarkStart w:id="304" w:name="_Toc438734005"/>
            <w:bookmarkStart w:id="305" w:name="_Toc438907042"/>
            <w:bookmarkStart w:id="306" w:name="_Toc438532655"/>
            <w:r>
              <w:t>Qualification of the Bidder</w:t>
            </w:r>
            <w:bookmarkEnd w:id="299"/>
            <w:bookmarkEnd w:id="300"/>
            <w:bookmarkEnd w:id="301"/>
            <w:bookmarkEnd w:id="302"/>
            <w:bookmarkEnd w:id="303"/>
            <w:bookmarkEnd w:id="304"/>
            <w:bookmarkEnd w:id="305"/>
            <w:bookmarkEnd w:id="306"/>
          </w:p>
        </w:tc>
        <w:tc>
          <w:tcPr>
            <w:tcW w:w="7020" w:type="dxa"/>
          </w:tcPr>
          <w:p w14:paraId="6C885927">
            <w:pPr>
              <w:pStyle w:val="69"/>
              <w:rPr>
                <w:rFonts w:cs="Times New Roman"/>
              </w:rPr>
            </w:pPr>
            <w:r>
              <w:rPr>
                <w:rFonts w:cs="Times New Roman"/>
              </w:rPr>
              <w:t xml:space="preserve">The </w:t>
            </w:r>
            <w:r>
              <w:rPr>
                <w:rStyle w:val="145"/>
                <w:rFonts w:cs="Times New Roman"/>
                <w:i w:val="0"/>
              </w:rPr>
              <w:t>Employer</w:t>
            </w:r>
            <w:r>
              <w:rPr>
                <w:rFonts w:cs="Times New Roman"/>
              </w:rPr>
              <w:t xml:space="preserve"> shall determine to its satisfaction whether the Bidder that is selected as having submitted the lowest evaluated and substantially responsive bid </w:t>
            </w:r>
            <w:r>
              <w:rPr>
                <w:rFonts w:cs="Times New Roman"/>
                <w:iCs/>
              </w:rPr>
              <w:t>meets the qualifying criteria specified in Section III. Evaluation and Qualification Criteria</w:t>
            </w:r>
            <w:r>
              <w:rPr>
                <w:rFonts w:cs="Times New Roman"/>
              </w:rPr>
              <w:t>.</w:t>
            </w:r>
          </w:p>
        </w:tc>
      </w:tr>
      <w:tr w14:paraId="7791C1EE">
        <w:tblPrEx>
          <w:tblCellMar>
            <w:top w:w="0" w:type="dxa"/>
            <w:left w:w="108" w:type="dxa"/>
            <w:bottom w:w="0" w:type="dxa"/>
            <w:right w:w="108" w:type="dxa"/>
          </w:tblCellMar>
        </w:tblPrEx>
        <w:trPr>
          <w:jc w:val="center"/>
        </w:trPr>
        <w:tc>
          <w:tcPr>
            <w:tcW w:w="2430" w:type="dxa"/>
          </w:tcPr>
          <w:p w14:paraId="03173AA9">
            <w:pPr>
              <w:pStyle w:val="68"/>
              <w:numPr>
                <w:ilvl w:val="0"/>
                <w:numId w:val="0"/>
              </w:numPr>
              <w:spacing w:before="140" w:after="120"/>
              <w:rPr>
                <w:rFonts w:ascii="Times New Roman" w:hAnsi="Times New Roman"/>
                <w:sz w:val="24"/>
                <w:szCs w:val="24"/>
              </w:rPr>
            </w:pPr>
          </w:p>
        </w:tc>
        <w:tc>
          <w:tcPr>
            <w:tcW w:w="7020" w:type="dxa"/>
          </w:tcPr>
          <w:p w14:paraId="00A9F188">
            <w:pPr>
              <w:pStyle w:val="69"/>
              <w:rPr>
                <w:rFonts w:cs="Times New Roman"/>
              </w:rPr>
            </w:pPr>
            <w:r>
              <w:rPr>
                <w:rFonts w:cs="Times New Roman"/>
              </w:rPr>
              <w:t>The determination shall be based upon an examination of the documentary evidence of the Bidder’s qualifications submitted by the Bidder, pursuant to ITB 17.1.</w:t>
            </w:r>
          </w:p>
          <w:p w14:paraId="2D3223BD">
            <w:pPr>
              <w:pStyle w:val="69"/>
              <w:rPr>
                <w:rFonts w:cs="Times New Roman"/>
              </w:rPr>
            </w:pPr>
            <w:r>
              <w:rPr>
                <w:rFonts w:cs="Times New Roman"/>
              </w:rPr>
              <w:t>Prior to Contract award, the Employer will verify that the successful Bidder (including each member of a JV) is not disqualified by the Bank due to noncompliance with contractual SEA/SH prevention and response obligations. The Employer will conduct the same verification for each subcontractor proposed by the successful Bidder. If any proposed subcontractor does not meet the requirement, the Employer will require the Bidder to propose a replacement subcontractor.</w:t>
            </w:r>
          </w:p>
        </w:tc>
      </w:tr>
      <w:tr w14:paraId="212A2E91">
        <w:tblPrEx>
          <w:tblCellMar>
            <w:top w:w="0" w:type="dxa"/>
            <w:left w:w="108" w:type="dxa"/>
            <w:bottom w:w="0" w:type="dxa"/>
            <w:right w:w="108" w:type="dxa"/>
          </w:tblCellMar>
        </w:tblPrEx>
        <w:trPr>
          <w:jc w:val="center"/>
        </w:trPr>
        <w:tc>
          <w:tcPr>
            <w:tcW w:w="2430" w:type="dxa"/>
          </w:tcPr>
          <w:p w14:paraId="2DC9C81D">
            <w:pPr>
              <w:spacing w:before="120" w:after="120"/>
            </w:pPr>
          </w:p>
        </w:tc>
        <w:tc>
          <w:tcPr>
            <w:tcW w:w="7020" w:type="dxa"/>
          </w:tcPr>
          <w:p w14:paraId="310ED5BB">
            <w:pPr>
              <w:pStyle w:val="69"/>
              <w:rPr>
                <w:rFonts w:cs="Times New Roman"/>
              </w:rPr>
            </w:pPr>
            <w:r>
              <w:rPr>
                <w:rFonts w:cs="Times New Roman"/>
              </w:rPr>
              <w:t xml:space="preserve">An affirmative determination of qualification shall be a prerequisite for award of the Contract to the Bidder. A negative determination shall result in disqualification of the bid, in which event the </w:t>
            </w:r>
            <w:r>
              <w:rPr>
                <w:rStyle w:val="145"/>
                <w:rFonts w:cs="Times New Roman"/>
                <w:i w:val="0"/>
              </w:rPr>
              <w:t>Employer</w:t>
            </w:r>
            <w:r>
              <w:rPr>
                <w:rFonts w:cs="Times New Roman"/>
              </w:rPr>
              <w:t xml:space="preserve"> shall proceed to the next lowest evaluated bid to make a similar determination of that Bidder’s qualifications to perform satisfactorily.</w:t>
            </w:r>
          </w:p>
        </w:tc>
      </w:tr>
      <w:tr w14:paraId="085D0E33">
        <w:tblPrEx>
          <w:tblCellMar>
            <w:top w:w="0" w:type="dxa"/>
            <w:left w:w="108" w:type="dxa"/>
            <w:bottom w:w="0" w:type="dxa"/>
            <w:right w:w="108" w:type="dxa"/>
          </w:tblCellMar>
        </w:tblPrEx>
        <w:trPr>
          <w:trHeight w:val="1332" w:hRule="atLeast"/>
          <w:jc w:val="center"/>
        </w:trPr>
        <w:tc>
          <w:tcPr>
            <w:tcW w:w="2430" w:type="dxa"/>
          </w:tcPr>
          <w:p w14:paraId="6A493D07">
            <w:pPr>
              <w:pStyle w:val="143"/>
            </w:pPr>
            <w:bookmarkStart w:id="307" w:name="_Toc438907043"/>
            <w:bookmarkStart w:id="308" w:name="_Toc139863139"/>
            <w:bookmarkStart w:id="309" w:name="_Toc438907242"/>
            <w:bookmarkStart w:id="310" w:name="_Toc178538564"/>
            <w:bookmarkStart w:id="311" w:name="_Toc97371042"/>
            <w:bookmarkStart w:id="312" w:name="_Toc438532656"/>
            <w:bookmarkStart w:id="313" w:name="_Toc438734006"/>
            <w:bookmarkStart w:id="314" w:name="_Toc438438862"/>
            <w:r>
              <w:rPr>
                <w:b w:val="0"/>
                <w:iCs/>
              </w:rPr>
              <w:t>Employer</w:t>
            </w:r>
            <w:r>
              <w:rPr>
                <w:iCs/>
              </w:rPr>
              <w:t xml:space="preserve">’s </w:t>
            </w:r>
            <w:r>
              <w:t>Right to Accept Any Bid, and to Reject Any or All Bids</w:t>
            </w:r>
            <w:bookmarkEnd w:id="307"/>
            <w:bookmarkEnd w:id="308"/>
            <w:bookmarkEnd w:id="309"/>
            <w:bookmarkEnd w:id="310"/>
            <w:bookmarkEnd w:id="311"/>
            <w:bookmarkEnd w:id="312"/>
            <w:bookmarkEnd w:id="313"/>
            <w:bookmarkEnd w:id="314"/>
          </w:p>
        </w:tc>
        <w:tc>
          <w:tcPr>
            <w:tcW w:w="7020" w:type="dxa"/>
          </w:tcPr>
          <w:p w14:paraId="16B712E8">
            <w:pPr>
              <w:pStyle w:val="69"/>
              <w:rPr>
                <w:rFonts w:cs="Times New Roman"/>
              </w:rPr>
            </w:pPr>
            <w:r>
              <w:rPr>
                <w:rFonts w:cs="Times New Roman"/>
              </w:rPr>
              <w:t xml:space="preserve">The </w:t>
            </w:r>
            <w:r>
              <w:rPr>
                <w:rStyle w:val="145"/>
                <w:rFonts w:cs="Times New Roman"/>
                <w:i w:val="0"/>
              </w:rPr>
              <w:t>Employer</w:t>
            </w:r>
            <w:r>
              <w:rPr>
                <w:rFonts w:cs="Times New Roman"/>
              </w:rPr>
              <w:t xml:space="preserve"> reserves the right to accept or reject any bid, and to annul the bidding process and reject all bids at any time prior to contract award, without thereby incurring any liability to Bidders. In case of annulment, all bids submitted and specifically, bid securities, shall be promptly returned to the Bidders.</w:t>
            </w:r>
          </w:p>
        </w:tc>
      </w:tr>
      <w:tr w14:paraId="2C8DD20C">
        <w:tblPrEx>
          <w:tblCellMar>
            <w:top w:w="0" w:type="dxa"/>
            <w:left w:w="108" w:type="dxa"/>
            <w:bottom w:w="0" w:type="dxa"/>
            <w:right w:w="108" w:type="dxa"/>
          </w:tblCellMar>
        </w:tblPrEx>
        <w:trPr>
          <w:cantSplit/>
          <w:jc w:val="center"/>
        </w:trPr>
        <w:tc>
          <w:tcPr>
            <w:tcW w:w="9450" w:type="dxa"/>
            <w:gridSpan w:val="2"/>
          </w:tcPr>
          <w:p w14:paraId="74F66BAD">
            <w:pPr>
              <w:pStyle w:val="167"/>
            </w:pPr>
            <w:bookmarkStart w:id="315" w:name="_Toc438962089"/>
            <w:bookmarkStart w:id="316" w:name="_Toc461939621"/>
            <w:bookmarkStart w:id="317" w:name="_Toc438438863"/>
            <w:bookmarkStart w:id="318" w:name="_Toc178538565"/>
            <w:bookmarkStart w:id="319" w:name="_Toc438734007"/>
            <w:bookmarkStart w:id="320" w:name="_Toc97371043"/>
            <w:bookmarkStart w:id="321" w:name="_Toc438532657"/>
            <w:r>
              <w:t>Award of Contract</w:t>
            </w:r>
            <w:bookmarkEnd w:id="315"/>
            <w:bookmarkEnd w:id="316"/>
            <w:bookmarkEnd w:id="317"/>
            <w:bookmarkEnd w:id="318"/>
            <w:bookmarkEnd w:id="319"/>
            <w:bookmarkEnd w:id="320"/>
            <w:bookmarkEnd w:id="321"/>
          </w:p>
        </w:tc>
      </w:tr>
      <w:tr w14:paraId="3D32D9F7">
        <w:tblPrEx>
          <w:tblCellMar>
            <w:top w:w="0" w:type="dxa"/>
            <w:left w:w="108" w:type="dxa"/>
            <w:bottom w:w="0" w:type="dxa"/>
            <w:right w:w="108" w:type="dxa"/>
          </w:tblCellMar>
        </w:tblPrEx>
        <w:trPr>
          <w:jc w:val="center"/>
        </w:trPr>
        <w:tc>
          <w:tcPr>
            <w:tcW w:w="2430" w:type="dxa"/>
          </w:tcPr>
          <w:p w14:paraId="57BFD61F">
            <w:pPr>
              <w:pStyle w:val="143"/>
            </w:pPr>
            <w:bookmarkStart w:id="322" w:name="_Toc438532658"/>
            <w:bookmarkStart w:id="323" w:name="_Toc438734008"/>
            <w:bookmarkStart w:id="324" w:name="_Toc438438864"/>
            <w:bookmarkStart w:id="325" w:name="_Toc178538566"/>
            <w:bookmarkStart w:id="326" w:name="_Toc438907044"/>
            <w:bookmarkStart w:id="327" w:name="_Toc139863140"/>
            <w:bookmarkStart w:id="328" w:name="_Toc438907243"/>
            <w:bookmarkStart w:id="329" w:name="_Toc97371044"/>
            <w:r>
              <w:t>Award Criteria</w:t>
            </w:r>
            <w:bookmarkEnd w:id="322"/>
            <w:bookmarkEnd w:id="323"/>
            <w:bookmarkEnd w:id="324"/>
            <w:bookmarkEnd w:id="325"/>
            <w:bookmarkEnd w:id="326"/>
            <w:bookmarkEnd w:id="327"/>
            <w:bookmarkEnd w:id="328"/>
            <w:bookmarkEnd w:id="329"/>
          </w:p>
        </w:tc>
        <w:tc>
          <w:tcPr>
            <w:tcW w:w="7020" w:type="dxa"/>
          </w:tcPr>
          <w:p w14:paraId="75865334">
            <w:pPr>
              <w:pStyle w:val="69"/>
              <w:rPr>
                <w:rFonts w:cs="Times New Roman"/>
              </w:rPr>
            </w:pPr>
            <w:r>
              <w:rPr>
                <w:rStyle w:val="145"/>
                <w:rFonts w:cs="Times New Roman"/>
                <w:i w:val="0"/>
              </w:rPr>
              <w:t>Subject to ITB 37.1</w:t>
            </w:r>
            <w:r>
              <w:rPr>
                <w:rFonts w:cs="Times New Roman"/>
                <w:i/>
              </w:rPr>
              <w:t>,</w:t>
            </w:r>
            <w:r>
              <w:rPr>
                <w:rFonts w:cs="Times New Roman"/>
              </w:rPr>
              <w:t xml:space="preserve"> the </w:t>
            </w:r>
            <w:r>
              <w:rPr>
                <w:rStyle w:val="145"/>
                <w:rFonts w:cs="Times New Roman"/>
                <w:i w:val="0"/>
              </w:rPr>
              <w:t>Employer</w:t>
            </w:r>
            <w:r>
              <w:rPr>
                <w:rFonts w:cs="Times New Roman"/>
              </w:rPr>
              <w:t xml:space="preserve"> shall award the Contract to the Bidder whose bid  has been determined to be the lowest evaluated bid and is substantially responsive to the Bidding Document, provided further that the Bidder is determined to be qualified to perform the Contract satisfactorily.</w:t>
            </w:r>
          </w:p>
        </w:tc>
      </w:tr>
      <w:tr w14:paraId="1FE7E78B">
        <w:tblPrEx>
          <w:tblCellMar>
            <w:top w:w="0" w:type="dxa"/>
            <w:left w:w="108" w:type="dxa"/>
            <w:bottom w:w="0" w:type="dxa"/>
            <w:right w:w="108" w:type="dxa"/>
          </w:tblCellMar>
        </w:tblPrEx>
        <w:trPr>
          <w:trHeight w:val="720" w:hRule="atLeast"/>
          <w:jc w:val="center"/>
        </w:trPr>
        <w:tc>
          <w:tcPr>
            <w:tcW w:w="2430" w:type="dxa"/>
          </w:tcPr>
          <w:p w14:paraId="62E0BE1B">
            <w:pPr>
              <w:pStyle w:val="143"/>
            </w:pPr>
            <w:bookmarkStart w:id="330" w:name="_Toc438907046"/>
            <w:bookmarkStart w:id="331" w:name="_Toc438734010"/>
            <w:bookmarkStart w:id="332" w:name="_Toc438907245"/>
            <w:bookmarkStart w:id="333" w:name="_Toc139863141"/>
            <w:bookmarkStart w:id="334" w:name="_Toc178538567"/>
            <w:bookmarkStart w:id="335" w:name="_Toc97371045"/>
            <w:bookmarkStart w:id="336" w:name="_Toc438438866"/>
            <w:bookmarkStart w:id="337" w:name="_Toc438532660"/>
            <w:r>
              <w:t>Notification of Award</w:t>
            </w:r>
            <w:bookmarkEnd w:id="330"/>
            <w:bookmarkEnd w:id="331"/>
            <w:bookmarkEnd w:id="332"/>
            <w:bookmarkEnd w:id="333"/>
            <w:bookmarkEnd w:id="334"/>
            <w:bookmarkEnd w:id="335"/>
            <w:bookmarkEnd w:id="336"/>
            <w:bookmarkEnd w:id="337"/>
          </w:p>
        </w:tc>
        <w:tc>
          <w:tcPr>
            <w:tcW w:w="7020" w:type="dxa"/>
          </w:tcPr>
          <w:p w14:paraId="62EA08CB">
            <w:pPr>
              <w:pStyle w:val="69"/>
              <w:rPr>
                <w:rFonts w:cs="Times New Roman"/>
              </w:rPr>
            </w:pPr>
            <w:r>
              <w:rPr>
                <w:rFonts w:cs="Times New Roman"/>
              </w:rPr>
              <w:t xml:space="preserve">Prior to the expiration of the bid validity, the </w:t>
            </w:r>
            <w:r>
              <w:rPr>
                <w:rStyle w:val="145"/>
                <w:rFonts w:cs="Times New Roman"/>
                <w:i w:val="0"/>
              </w:rPr>
              <w:t>Employer</w:t>
            </w:r>
            <w:r>
              <w:rPr>
                <w:rFonts w:cs="Times New Roman"/>
              </w:rPr>
              <w:t xml:space="preserve"> shall notify the successful Bidder, in writing, via the Letter of Acceptance included in the Contract Forms, that its bid has been accepted.  At the same time, the </w:t>
            </w:r>
            <w:r>
              <w:rPr>
                <w:rStyle w:val="145"/>
                <w:rFonts w:cs="Times New Roman"/>
                <w:i w:val="0"/>
              </w:rPr>
              <w:t>Employer</w:t>
            </w:r>
            <w:r>
              <w:rPr>
                <w:rFonts w:cs="Times New Roman"/>
              </w:rPr>
              <w:t xml:space="preserve"> shall also notify all other Bidders of the results of the bidding, and shall </w:t>
            </w:r>
            <w:r>
              <w:rPr>
                <w:rFonts w:cs="Times New Roman"/>
                <w:spacing w:val="-4"/>
              </w:rPr>
              <w:t xml:space="preserve">publish </w:t>
            </w:r>
            <w:r>
              <w:rPr>
                <w:rFonts w:cs="Times New Roman"/>
                <w:iCs/>
                <w:spacing w:val="-4"/>
              </w:rPr>
              <w:t xml:space="preserve">in UNDB online </w:t>
            </w:r>
            <w:r>
              <w:rPr>
                <w:rFonts w:cs="Times New Roman"/>
                <w:spacing w:val="-4"/>
              </w:rPr>
              <w:t xml:space="preserve">the results identifying the bid and lot (contract) numbers and the following information: </w:t>
            </w:r>
          </w:p>
          <w:p w14:paraId="47603EAB">
            <w:pPr>
              <w:pStyle w:val="69"/>
              <w:numPr>
                <w:ilvl w:val="0"/>
                <w:numId w:val="0"/>
              </w:numPr>
              <w:tabs>
                <w:tab w:val="left" w:pos="1197"/>
              </w:tabs>
              <w:ind w:left="1197" w:hanging="630"/>
              <w:rPr>
                <w:rFonts w:cs="Times New Roman"/>
                <w:spacing w:val="-4"/>
              </w:rPr>
            </w:pPr>
            <w:r>
              <w:rPr>
                <w:rFonts w:cs="Times New Roman"/>
                <w:spacing w:val="-4"/>
              </w:rPr>
              <w:t xml:space="preserve">(i) </w:t>
            </w:r>
            <w:r>
              <w:rPr>
                <w:rFonts w:cs="Times New Roman"/>
                <w:spacing w:val="-4"/>
              </w:rPr>
              <w:tab/>
            </w:r>
            <w:r>
              <w:rPr>
                <w:rFonts w:cs="Times New Roman"/>
                <w:spacing w:val="-4"/>
              </w:rPr>
              <w:t xml:space="preserve">name of each Bidder who submitted a Bid; </w:t>
            </w:r>
          </w:p>
          <w:p w14:paraId="525107AD">
            <w:pPr>
              <w:pStyle w:val="69"/>
              <w:numPr>
                <w:ilvl w:val="0"/>
                <w:numId w:val="0"/>
              </w:numPr>
              <w:ind w:left="1197" w:hanging="630"/>
              <w:rPr>
                <w:rFonts w:cs="Times New Roman"/>
                <w:spacing w:val="-4"/>
              </w:rPr>
            </w:pPr>
            <w:r>
              <w:rPr>
                <w:rFonts w:cs="Times New Roman"/>
                <w:spacing w:val="-4"/>
              </w:rPr>
              <w:t>(ii)</w:t>
            </w:r>
            <w:r>
              <w:rPr>
                <w:rFonts w:cs="Times New Roman"/>
                <w:spacing w:val="-4"/>
              </w:rPr>
              <w:tab/>
            </w:r>
            <w:r>
              <w:rPr>
                <w:rFonts w:cs="Times New Roman"/>
                <w:spacing w:val="-4"/>
              </w:rPr>
              <w:t xml:space="preserve">bid prices as read out at Bid Opening; </w:t>
            </w:r>
          </w:p>
          <w:p w14:paraId="09A064B9">
            <w:pPr>
              <w:pStyle w:val="69"/>
              <w:numPr>
                <w:ilvl w:val="0"/>
                <w:numId w:val="0"/>
              </w:numPr>
              <w:ind w:left="1197" w:hanging="630"/>
              <w:rPr>
                <w:rFonts w:cs="Times New Roman"/>
                <w:spacing w:val="-4"/>
              </w:rPr>
            </w:pPr>
            <w:r>
              <w:rPr>
                <w:rFonts w:cs="Times New Roman"/>
                <w:spacing w:val="-4"/>
              </w:rPr>
              <w:t>(iii)</w:t>
            </w:r>
            <w:r>
              <w:rPr>
                <w:rFonts w:cs="Times New Roman"/>
                <w:spacing w:val="-4"/>
              </w:rPr>
              <w:tab/>
            </w:r>
            <w:r>
              <w:rPr>
                <w:rFonts w:cs="Times New Roman"/>
                <w:spacing w:val="-4"/>
              </w:rPr>
              <w:t xml:space="preserve">name and evaluated prices of each Bid that was evaluated; </w:t>
            </w:r>
          </w:p>
          <w:p w14:paraId="6944BDC2">
            <w:pPr>
              <w:pStyle w:val="69"/>
              <w:numPr>
                <w:ilvl w:val="0"/>
                <w:numId w:val="0"/>
              </w:numPr>
              <w:ind w:left="1197" w:hanging="630"/>
              <w:rPr>
                <w:rFonts w:cs="Times New Roman"/>
                <w:spacing w:val="-4"/>
              </w:rPr>
            </w:pPr>
            <w:r>
              <w:rPr>
                <w:rFonts w:cs="Times New Roman"/>
                <w:spacing w:val="-4"/>
              </w:rPr>
              <w:t>(iv)</w:t>
            </w:r>
            <w:r>
              <w:rPr>
                <w:rFonts w:cs="Times New Roman"/>
                <w:spacing w:val="-4"/>
              </w:rPr>
              <w:tab/>
            </w:r>
            <w:r>
              <w:rPr>
                <w:rFonts w:cs="Times New Roman"/>
                <w:spacing w:val="-4"/>
              </w:rPr>
              <w:t xml:space="preserve">name of bidders whose bids were rejected and the reasons for their rejection; and </w:t>
            </w:r>
          </w:p>
          <w:p w14:paraId="0D30B04B">
            <w:pPr>
              <w:pStyle w:val="69"/>
              <w:numPr>
                <w:ilvl w:val="0"/>
                <w:numId w:val="0"/>
              </w:numPr>
              <w:ind w:left="1197" w:hanging="630"/>
              <w:rPr>
                <w:rFonts w:cs="Times New Roman"/>
              </w:rPr>
            </w:pPr>
            <w:r>
              <w:rPr>
                <w:rFonts w:cs="Times New Roman"/>
                <w:spacing w:val="-4"/>
              </w:rPr>
              <w:t xml:space="preserve">(v) </w:t>
            </w:r>
            <w:r>
              <w:rPr>
                <w:rFonts w:cs="Times New Roman"/>
                <w:spacing w:val="-4"/>
              </w:rPr>
              <w:tab/>
            </w:r>
            <w:r>
              <w:rPr>
                <w:rFonts w:cs="Times New Roman"/>
                <w:spacing w:val="-4"/>
              </w:rPr>
              <w:t>name of the winning Bidder, and the Price it offered, as well as the duration and summary scope of the contract awarded.</w:t>
            </w:r>
          </w:p>
        </w:tc>
      </w:tr>
      <w:tr w14:paraId="2DE0A9AB">
        <w:tblPrEx>
          <w:tblCellMar>
            <w:top w:w="0" w:type="dxa"/>
            <w:left w:w="108" w:type="dxa"/>
            <w:bottom w:w="0" w:type="dxa"/>
            <w:right w:w="108" w:type="dxa"/>
          </w:tblCellMar>
        </w:tblPrEx>
        <w:trPr>
          <w:jc w:val="center"/>
        </w:trPr>
        <w:tc>
          <w:tcPr>
            <w:tcW w:w="2430" w:type="dxa"/>
          </w:tcPr>
          <w:p w14:paraId="1EAA7F1D">
            <w:pPr>
              <w:pStyle w:val="68"/>
              <w:numPr>
                <w:ilvl w:val="0"/>
                <w:numId w:val="0"/>
              </w:numPr>
              <w:spacing w:after="120"/>
              <w:rPr>
                <w:rFonts w:ascii="Times New Roman" w:hAnsi="Times New Roman"/>
                <w:sz w:val="24"/>
                <w:szCs w:val="24"/>
              </w:rPr>
            </w:pPr>
          </w:p>
        </w:tc>
        <w:tc>
          <w:tcPr>
            <w:tcW w:w="7020" w:type="dxa"/>
          </w:tcPr>
          <w:p w14:paraId="0DDB372E">
            <w:pPr>
              <w:pStyle w:val="69"/>
              <w:rPr>
                <w:rFonts w:cs="Times New Roman"/>
              </w:rPr>
            </w:pPr>
            <w:r>
              <w:rPr>
                <w:rFonts w:cs="Times New Roman"/>
              </w:rPr>
              <w:t>Until a formal contract is prepared and executed, the notification of award shall constitute a binding Contract.</w:t>
            </w:r>
          </w:p>
        </w:tc>
      </w:tr>
      <w:tr w14:paraId="1C8B985F">
        <w:tblPrEx>
          <w:tblCellMar>
            <w:top w:w="0" w:type="dxa"/>
            <w:left w:w="108" w:type="dxa"/>
            <w:bottom w:w="0" w:type="dxa"/>
            <w:right w:w="108" w:type="dxa"/>
          </w:tblCellMar>
        </w:tblPrEx>
        <w:trPr>
          <w:jc w:val="center"/>
        </w:trPr>
        <w:tc>
          <w:tcPr>
            <w:tcW w:w="2430" w:type="dxa"/>
          </w:tcPr>
          <w:p w14:paraId="1ED9C350">
            <w:pPr>
              <w:pStyle w:val="68"/>
              <w:numPr>
                <w:ilvl w:val="0"/>
                <w:numId w:val="0"/>
              </w:numPr>
              <w:spacing w:after="120"/>
              <w:rPr>
                <w:rFonts w:ascii="Times New Roman" w:hAnsi="Times New Roman"/>
                <w:sz w:val="24"/>
                <w:szCs w:val="24"/>
              </w:rPr>
            </w:pPr>
          </w:p>
        </w:tc>
        <w:tc>
          <w:tcPr>
            <w:tcW w:w="7020" w:type="dxa"/>
          </w:tcPr>
          <w:p w14:paraId="2326A4C3">
            <w:pPr>
              <w:pStyle w:val="144"/>
              <w:rPr>
                <w:rFonts w:cs="Times New Roman"/>
              </w:rPr>
            </w:pPr>
            <w:r>
              <w:rPr>
                <w:rFonts w:cs="Times New Roman"/>
                <w:i w:val="0"/>
              </w:rPr>
              <w:t>The Employer shall promptly respond in writing to any unsuccessful Bidder who, after notification of award in accordance with ITB 40.1, requests in writing the grounds on which its bid was not selected</w:t>
            </w:r>
            <w:r>
              <w:rPr>
                <w:rFonts w:cs="Times New Roman"/>
              </w:rPr>
              <w:t>.</w:t>
            </w:r>
          </w:p>
        </w:tc>
      </w:tr>
      <w:tr w14:paraId="12999646">
        <w:tblPrEx>
          <w:tblCellMar>
            <w:top w:w="0" w:type="dxa"/>
            <w:left w:w="108" w:type="dxa"/>
            <w:bottom w:w="0" w:type="dxa"/>
            <w:right w:w="108" w:type="dxa"/>
          </w:tblCellMar>
        </w:tblPrEx>
        <w:trPr>
          <w:jc w:val="center"/>
        </w:trPr>
        <w:tc>
          <w:tcPr>
            <w:tcW w:w="2430" w:type="dxa"/>
          </w:tcPr>
          <w:p w14:paraId="32612B96">
            <w:pPr>
              <w:pStyle w:val="143"/>
              <w:pageBreakBefore/>
            </w:pPr>
            <w:bookmarkStart w:id="338" w:name="_Toc97371046"/>
            <w:bookmarkStart w:id="339" w:name="_Toc438438867"/>
            <w:bookmarkStart w:id="340" w:name="_Toc438907246"/>
            <w:bookmarkStart w:id="341" w:name="_Toc438907047"/>
            <w:bookmarkStart w:id="342" w:name="_Toc139863142"/>
            <w:bookmarkStart w:id="343" w:name="_Toc438532661"/>
            <w:bookmarkStart w:id="344" w:name="_Toc438734011"/>
            <w:bookmarkStart w:id="345" w:name="_Toc178538568"/>
            <w:r>
              <w:t>Signing of Contract</w:t>
            </w:r>
            <w:bookmarkEnd w:id="338"/>
            <w:bookmarkEnd w:id="339"/>
            <w:bookmarkEnd w:id="340"/>
            <w:bookmarkEnd w:id="341"/>
            <w:bookmarkEnd w:id="342"/>
            <w:bookmarkEnd w:id="343"/>
            <w:bookmarkEnd w:id="344"/>
            <w:bookmarkEnd w:id="345"/>
          </w:p>
        </w:tc>
        <w:tc>
          <w:tcPr>
            <w:tcW w:w="7020" w:type="dxa"/>
          </w:tcPr>
          <w:p w14:paraId="54D1E060">
            <w:pPr>
              <w:pStyle w:val="69"/>
              <w:rPr>
                <w:rFonts w:cs="Times New Roman"/>
              </w:rPr>
            </w:pPr>
            <w:r>
              <w:rPr>
                <w:rFonts w:cs="Times New Roman"/>
              </w:rPr>
              <w:t xml:space="preserve">Promptly upon notification, the </w:t>
            </w:r>
            <w:r>
              <w:rPr>
                <w:rStyle w:val="145"/>
                <w:rFonts w:cs="Times New Roman"/>
                <w:i w:val="0"/>
              </w:rPr>
              <w:t>Employer</w:t>
            </w:r>
            <w:r>
              <w:rPr>
                <w:rFonts w:cs="Times New Roman"/>
              </w:rPr>
              <w:t xml:space="preserve"> shall send the successful Bidder the Contract Agreement.</w:t>
            </w:r>
          </w:p>
        </w:tc>
      </w:tr>
      <w:tr w14:paraId="58CE51BC">
        <w:tblPrEx>
          <w:tblCellMar>
            <w:top w:w="0" w:type="dxa"/>
            <w:left w:w="108" w:type="dxa"/>
            <w:bottom w:w="0" w:type="dxa"/>
            <w:right w:w="108" w:type="dxa"/>
          </w:tblCellMar>
        </w:tblPrEx>
        <w:trPr>
          <w:jc w:val="center"/>
        </w:trPr>
        <w:tc>
          <w:tcPr>
            <w:tcW w:w="2430" w:type="dxa"/>
          </w:tcPr>
          <w:p w14:paraId="2926B547">
            <w:pPr>
              <w:pStyle w:val="68"/>
              <w:numPr>
                <w:ilvl w:val="0"/>
                <w:numId w:val="0"/>
              </w:numPr>
              <w:spacing w:after="120"/>
              <w:rPr>
                <w:rFonts w:ascii="Times New Roman" w:hAnsi="Times New Roman"/>
                <w:sz w:val="24"/>
                <w:szCs w:val="24"/>
              </w:rPr>
            </w:pPr>
          </w:p>
        </w:tc>
        <w:tc>
          <w:tcPr>
            <w:tcW w:w="7020" w:type="dxa"/>
          </w:tcPr>
          <w:p w14:paraId="4D0520F6">
            <w:pPr>
              <w:pStyle w:val="69"/>
              <w:rPr>
                <w:rFonts w:cs="Times New Roman"/>
              </w:rPr>
            </w:pPr>
            <w:r>
              <w:rPr>
                <w:rFonts w:cs="Times New Roman"/>
              </w:rPr>
              <w:t xml:space="preserve">Within twenty-eight (28) days of receipt of the Contract Agreement, the successful Bidder shall sign, date, and return it to the </w:t>
            </w:r>
            <w:r>
              <w:rPr>
                <w:rStyle w:val="145"/>
                <w:rFonts w:cs="Times New Roman"/>
                <w:i w:val="0"/>
              </w:rPr>
              <w:t>Employer</w:t>
            </w:r>
            <w:r>
              <w:rPr>
                <w:rFonts w:cs="Times New Roman"/>
              </w:rPr>
              <w:t>.</w:t>
            </w:r>
          </w:p>
        </w:tc>
      </w:tr>
      <w:tr w14:paraId="324278D6">
        <w:tblPrEx>
          <w:tblCellMar>
            <w:top w:w="0" w:type="dxa"/>
            <w:left w:w="108" w:type="dxa"/>
            <w:bottom w:w="0" w:type="dxa"/>
            <w:right w:w="108" w:type="dxa"/>
          </w:tblCellMar>
        </w:tblPrEx>
        <w:trPr>
          <w:cantSplit/>
          <w:jc w:val="center"/>
        </w:trPr>
        <w:tc>
          <w:tcPr>
            <w:tcW w:w="2430" w:type="dxa"/>
          </w:tcPr>
          <w:p w14:paraId="7E22875D">
            <w:pPr>
              <w:pStyle w:val="143"/>
            </w:pPr>
            <w:bookmarkStart w:id="346" w:name="_Toc178538569"/>
            <w:bookmarkStart w:id="347" w:name="_Toc139863143"/>
            <w:bookmarkStart w:id="348" w:name="_Toc438532662"/>
            <w:bookmarkStart w:id="349" w:name="_Toc438907048"/>
            <w:bookmarkStart w:id="350" w:name="_Toc97371047"/>
            <w:bookmarkStart w:id="351" w:name="_Toc438438868"/>
            <w:bookmarkStart w:id="352" w:name="_Toc438734012"/>
            <w:bookmarkStart w:id="353" w:name="_Toc438907247"/>
            <w:r>
              <w:t>Performance Security</w:t>
            </w:r>
            <w:bookmarkEnd w:id="346"/>
            <w:bookmarkEnd w:id="347"/>
            <w:bookmarkEnd w:id="348"/>
            <w:bookmarkEnd w:id="349"/>
            <w:bookmarkEnd w:id="350"/>
            <w:bookmarkEnd w:id="351"/>
            <w:bookmarkEnd w:id="352"/>
            <w:bookmarkEnd w:id="353"/>
          </w:p>
        </w:tc>
        <w:tc>
          <w:tcPr>
            <w:tcW w:w="7020" w:type="dxa"/>
          </w:tcPr>
          <w:p w14:paraId="0DAFF479">
            <w:pPr>
              <w:pStyle w:val="69"/>
              <w:rPr>
                <w:rFonts w:cs="Times New Roman"/>
              </w:rPr>
            </w:pPr>
            <w:r>
              <w:rPr>
                <w:rFonts w:cs="Times New Roman"/>
              </w:rPr>
              <w:t xml:space="preserve">Within twenty-eight (28) days of the receipt of notification of award from the </w:t>
            </w:r>
            <w:r>
              <w:rPr>
                <w:rStyle w:val="145"/>
                <w:rFonts w:cs="Times New Roman"/>
                <w:i w:val="0"/>
              </w:rPr>
              <w:t>Employer</w:t>
            </w:r>
            <w:r>
              <w:rPr>
                <w:rFonts w:cs="Times New Roman"/>
              </w:rPr>
              <w:t xml:space="preserve">, the successful Bidder shall furnish the performance security </w:t>
            </w:r>
            <w:r>
              <w:rPr>
                <w:rFonts w:cs="Times New Roman"/>
                <w:color w:val="000000"/>
              </w:rPr>
              <w:t>and, if required in the BDS, the Environmental and Social (ES) Performance Security</w:t>
            </w:r>
            <w:r>
              <w:rPr>
                <w:rFonts w:cs="Times New Roman"/>
              </w:rPr>
              <w:t xml:space="preserve"> in accordance with the conditions of contract, subject to ITB 35.5, using for that purpose the Performance Security </w:t>
            </w:r>
            <w:r>
              <w:rPr>
                <w:rFonts w:cs="Times New Roman"/>
                <w:color w:val="000000"/>
              </w:rPr>
              <w:t>and ES Performance Security Forms</w:t>
            </w:r>
            <w:r>
              <w:rPr>
                <w:rFonts w:cs="Times New Roman"/>
              </w:rPr>
              <w:t xml:space="preserve"> included in Section X. Contract Forms, or another form acceptable to the </w:t>
            </w:r>
            <w:r>
              <w:rPr>
                <w:rStyle w:val="145"/>
                <w:rFonts w:cs="Times New Roman"/>
                <w:i w:val="0"/>
              </w:rPr>
              <w:t>Employer</w:t>
            </w:r>
            <w:r>
              <w:rPr>
                <w:rFonts w:cs="Times New Roman"/>
              </w:rPr>
              <w:t>.</w:t>
            </w:r>
            <w:r>
              <w:rPr>
                <w:rFonts w:cs="Times New Roman"/>
                <w:i/>
              </w:rPr>
              <w:t xml:space="preserve"> </w:t>
            </w:r>
            <w:r>
              <w:rPr>
                <w:rStyle w:val="145"/>
                <w:rFonts w:cs="Times New Roman"/>
                <w:i w:val="0"/>
              </w:rPr>
              <w:t xml:space="preserve">If the performance security furnished by the successful Bidder is in the form of a bond, it shall be issued by a bonding or insurance company that has been determined by the successful Bidder to be acceptable to the Employer. A foreign institution providing a bond shall have a correspondent </w:t>
            </w:r>
            <w:r>
              <w:rPr>
                <w:rFonts w:cs="Times New Roman"/>
                <w:iCs/>
                <w:spacing w:val="-2"/>
              </w:rPr>
              <w:t>financial institution</w:t>
            </w:r>
            <w:r>
              <w:rPr>
                <w:rFonts w:cs="Times New Roman"/>
                <w:i/>
                <w:spacing w:val="-2"/>
              </w:rPr>
              <w:t xml:space="preserve"> </w:t>
            </w:r>
            <w:r>
              <w:rPr>
                <w:rStyle w:val="145"/>
                <w:rFonts w:cs="Times New Roman"/>
                <w:i w:val="0"/>
              </w:rPr>
              <w:t>located in the Employer’s Country.</w:t>
            </w:r>
          </w:p>
        </w:tc>
      </w:tr>
      <w:tr w14:paraId="7072D125">
        <w:tblPrEx>
          <w:tblCellMar>
            <w:top w:w="0" w:type="dxa"/>
            <w:left w:w="108" w:type="dxa"/>
            <w:bottom w:w="0" w:type="dxa"/>
            <w:right w:w="108" w:type="dxa"/>
          </w:tblCellMar>
        </w:tblPrEx>
        <w:trPr>
          <w:jc w:val="center"/>
        </w:trPr>
        <w:tc>
          <w:tcPr>
            <w:tcW w:w="2430" w:type="dxa"/>
          </w:tcPr>
          <w:p w14:paraId="3B226A08">
            <w:pPr>
              <w:spacing w:before="120"/>
            </w:pPr>
          </w:p>
        </w:tc>
        <w:tc>
          <w:tcPr>
            <w:tcW w:w="7020" w:type="dxa"/>
          </w:tcPr>
          <w:p w14:paraId="324A88E7">
            <w:pPr>
              <w:pStyle w:val="69"/>
              <w:rPr>
                <w:rFonts w:cs="Times New Roman"/>
              </w:rPr>
            </w:pPr>
            <w:r>
              <w:rPr>
                <w:rFonts w:cs="Times New Roman"/>
              </w:rPr>
              <w:t xml:space="preserve">Failure of the successful Bidder to submit the above-mentioned Performance Security </w:t>
            </w:r>
            <w:r>
              <w:rPr>
                <w:rFonts w:cs="Times New Roman"/>
                <w:color w:val="000000"/>
              </w:rPr>
              <w:t>and, if required in the BDS, the Environmental and Social (ES) Performance Security,</w:t>
            </w:r>
            <w:r>
              <w:rPr>
                <w:rFonts w:cs="Times New Roman"/>
              </w:rPr>
              <w:t xml:space="preserve"> or to sign the Contract Agreement shall constitute sufficient grounds for the annulment of the award and forfeiture of the bid security. In that event the </w:t>
            </w:r>
            <w:r>
              <w:rPr>
                <w:rStyle w:val="145"/>
                <w:rFonts w:cs="Times New Roman"/>
                <w:i w:val="0"/>
              </w:rPr>
              <w:t>Employer</w:t>
            </w:r>
            <w:r>
              <w:rPr>
                <w:rFonts w:cs="Times New Roman"/>
              </w:rPr>
              <w:t xml:space="preserve"> may award the Contract to the next lowest evaluated Bidder whose offer is substantially responsive and is determined by the </w:t>
            </w:r>
            <w:r>
              <w:rPr>
                <w:rStyle w:val="145"/>
                <w:rFonts w:cs="Times New Roman"/>
                <w:i w:val="0"/>
              </w:rPr>
              <w:t>Employer</w:t>
            </w:r>
            <w:r>
              <w:rPr>
                <w:rFonts w:cs="Times New Roman"/>
              </w:rPr>
              <w:t xml:space="preserve"> to be qualified to perform the Contract satisfactorily.</w:t>
            </w:r>
          </w:p>
        </w:tc>
      </w:tr>
      <w:tr w14:paraId="4902F2CC">
        <w:tblPrEx>
          <w:tblCellMar>
            <w:top w:w="0" w:type="dxa"/>
            <w:left w:w="108" w:type="dxa"/>
            <w:bottom w:w="0" w:type="dxa"/>
            <w:right w:w="108" w:type="dxa"/>
          </w:tblCellMar>
        </w:tblPrEx>
        <w:trPr>
          <w:jc w:val="center"/>
        </w:trPr>
        <w:tc>
          <w:tcPr>
            <w:tcW w:w="2430" w:type="dxa"/>
          </w:tcPr>
          <w:p w14:paraId="7FCE605D">
            <w:pPr>
              <w:pStyle w:val="143"/>
            </w:pPr>
            <w:bookmarkStart w:id="354" w:name="_Toc139863144"/>
            <w:bookmarkStart w:id="355" w:name="_Toc178538570"/>
            <w:r>
              <w:t>Adjudicator</w:t>
            </w:r>
            <w:bookmarkEnd w:id="354"/>
            <w:bookmarkEnd w:id="355"/>
          </w:p>
        </w:tc>
        <w:tc>
          <w:tcPr>
            <w:tcW w:w="7020" w:type="dxa"/>
          </w:tcPr>
          <w:p w14:paraId="2B53CD97">
            <w:pPr>
              <w:pStyle w:val="69"/>
              <w:rPr>
                <w:rFonts w:cs="Times New Roman"/>
              </w:rPr>
            </w:pPr>
            <w:r>
              <w:rPr>
                <w:rFonts w:cs="Times New Roman"/>
              </w:rPr>
              <w:t xml:space="preserve">The Employer proposes the person </w:t>
            </w:r>
            <w:r>
              <w:rPr>
                <w:rFonts w:cs="Times New Roman"/>
                <w:b/>
              </w:rPr>
              <w:t>named in the BDS</w:t>
            </w:r>
            <w:r>
              <w:rPr>
                <w:rFonts w:cs="Times New Roman"/>
              </w:rPr>
              <w:t xml:space="preserve"> to be appointed as Adjudicator under the Contract, at the hourly fee </w:t>
            </w:r>
            <w:r>
              <w:rPr>
                <w:rFonts w:cs="Times New Roman"/>
                <w:b/>
              </w:rPr>
              <w:t>specified in the BDS</w:t>
            </w:r>
            <w:r>
              <w:rPr>
                <w:rFonts w:cs="Times New Roman"/>
              </w:rPr>
              <w:t>, plus reimbursable expenses. If the Bidder disagrees with this proposal, the Bidder should so state in his Bid.  If, in the Letter of Acceptance, the Employer does not agree on the appointment of the Adjudicator, the Employer will request the Appointing Authority designated in the Particular Conditions of Contract (PCC) pursuant to Clause 23.1 of the General Conditions of Contract (GCC), to appoint the Adjudicator.</w:t>
            </w:r>
          </w:p>
        </w:tc>
      </w:tr>
    </w:tbl>
    <w:p w14:paraId="112946E4">
      <w:pPr>
        <w:pStyle w:val="15"/>
      </w:pPr>
      <w:bookmarkStart w:id="356" w:name="_Toc438532651"/>
      <w:bookmarkEnd w:id="356"/>
      <w:bookmarkStart w:id="357" w:name="_Toc438532652"/>
      <w:bookmarkEnd w:id="357"/>
      <w:bookmarkStart w:id="358" w:name="_Toc438532602"/>
      <w:bookmarkEnd w:id="358"/>
      <w:bookmarkStart w:id="359" w:name="_Toc438532653"/>
      <w:bookmarkEnd w:id="359"/>
      <w:bookmarkStart w:id="360" w:name="_Toc438532639"/>
      <w:bookmarkEnd w:id="360"/>
      <w:bookmarkStart w:id="361" w:name="_Toc438532601"/>
      <w:bookmarkEnd w:id="361"/>
      <w:bookmarkStart w:id="362" w:name="_Toc438532584"/>
      <w:bookmarkEnd w:id="362"/>
    </w:p>
    <w:p w14:paraId="779156F1">
      <w:pPr>
        <w:pStyle w:val="15"/>
      </w:pPr>
    </w:p>
    <w:p w14:paraId="7F2AB76E">
      <w:pPr>
        <w:pStyle w:val="15"/>
        <w:sectPr>
          <w:headerReference r:id="rId12" w:type="first"/>
          <w:headerReference r:id="rId10" w:type="default"/>
          <w:headerReference r:id="rId11" w:type="even"/>
          <w:type w:val="evenPage"/>
          <w:pgSz w:w="12240" w:h="15840"/>
          <w:pgMar w:top="1440" w:right="1440" w:bottom="1440" w:left="1800" w:header="720" w:footer="720" w:gutter="0"/>
          <w:paperSrc w:first="15" w:other="15"/>
          <w:cols w:space="720" w:num="1"/>
          <w:titlePg/>
        </w:sectPr>
      </w:pPr>
    </w:p>
    <w:p w14:paraId="1B7FC898">
      <w:pPr>
        <w:tabs>
          <w:tab w:val="left" w:pos="180"/>
        </w:tabs>
        <w:ind w:left="720" w:right="288" w:hanging="360"/>
        <w:jc w:val="both"/>
        <w:rPr>
          <w:rFonts w:ascii="Arial" w:hAnsi="Arial" w:cs="Arial"/>
          <w:iCs/>
          <w:spacing w:val="-2"/>
          <w:sz w:val="20"/>
        </w:rPr>
      </w:pPr>
    </w:p>
    <w:p w14:paraId="103F25EB">
      <w:pPr>
        <w:pStyle w:val="54"/>
      </w:pPr>
      <w:bookmarkStart w:id="363" w:name="_Toc178543288"/>
      <w:bookmarkStart w:id="364" w:name="_Toc438366665"/>
      <w:bookmarkStart w:id="365" w:name="_Toc41971239"/>
      <w:r>
        <w:t>Section II - Bid Data Sheet (BDS)</w:t>
      </w:r>
      <w:bookmarkEnd w:id="363"/>
    </w:p>
    <w:bookmarkEnd w:id="364"/>
    <w:bookmarkEnd w:id="365"/>
    <w:p w14:paraId="619E72C6">
      <w:pPr>
        <w:pStyle w:val="21"/>
        <w:tabs>
          <w:tab w:val="right" w:pos="7434"/>
          <w:tab w:val="clear" w:pos="7254"/>
        </w:tabs>
        <w:rPr>
          <w:rFonts w:ascii="Times New Roman" w:hAnsi="Times New Roman" w:cs="Times New Roman"/>
        </w:rPr>
      </w:pPr>
      <w:r>
        <w:rPr>
          <w:rFonts w:ascii="Times New Roman" w:hAnsi="Times New Roman" w:cs="Times New Roman"/>
        </w:rPr>
        <w:t>A.  Introduction</w:t>
      </w:r>
    </w:p>
    <w:tbl>
      <w:tblPr>
        <w:tblStyle w:val="12"/>
        <w:tblW w:w="0" w:type="auto"/>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1620"/>
        <w:gridCol w:w="7470"/>
      </w:tblGrid>
      <w:tr w14:paraId="357308EC">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right w:val="single" w:color="000000" w:sz="8" w:space="0"/>
            </w:tcBorders>
          </w:tcPr>
          <w:p w14:paraId="16A5FDEF">
            <w:pPr>
              <w:spacing w:before="160" w:after="160"/>
              <w:rPr>
                <w:b/>
              </w:rPr>
            </w:pPr>
            <w:r>
              <w:rPr>
                <w:b/>
              </w:rPr>
              <w:t>ITB 1.1</w:t>
            </w:r>
          </w:p>
        </w:tc>
        <w:tc>
          <w:tcPr>
            <w:tcW w:w="7470" w:type="dxa"/>
            <w:tcBorders>
              <w:top w:val="single" w:color="000000" w:sz="2" w:space="0"/>
              <w:left w:val="nil"/>
              <w:bottom w:val="single" w:color="000000" w:sz="2" w:space="0"/>
              <w:right w:val="single" w:color="000000" w:sz="2" w:space="0"/>
            </w:tcBorders>
          </w:tcPr>
          <w:p w14:paraId="233FDD53">
            <w:pPr>
              <w:tabs>
                <w:tab w:val="right" w:pos="7272"/>
              </w:tabs>
              <w:spacing w:before="160" w:after="160"/>
              <w:rPr>
                <w:b/>
                <w:i/>
                <w:spacing w:val="-3"/>
              </w:rPr>
            </w:pPr>
            <w:r>
              <w:t xml:space="preserve">The number of the Invitation for Bids is: </w:t>
            </w:r>
            <w:r>
              <w:rPr>
                <w:rFonts w:ascii="Times New Roman" w:hAnsi="Times New Roman" w:eastAsia="Times New Roman" w:cs="Times New Roman"/>
                <w:color w:val="auto"/>
                <w:sz w:val="28"/>
                <w:szCs w:val="28"/>
                <w:highlight w:val="none"/>
                <w:u w:val="none"/>
                <w:lang w:val="en-GB"/>
              </w:rPr>
              <w:t xml:space="preserve"> </w:t>
            </w:r>
            <w:r>
              <w:rPr>
                <w:rFonts w:ascii="Times New Roman" w:hAnsi="Times New Roman" w:eastAsia="Open Sans" w:cs="Times New Roman"/>
                <w:b/>
                <w:bCs/>
                <w:i w:val="0"/>
                <w:iCs w:val="0"/>
                <w:caps w:val="0"/>
                <w:color w:val="auto"/>
                <w:spacing w:val="0"/>
                <w:sz w:val="28"/>
                <w:szCs w:val="28"/>
                <w:highlight w:val="none"/>
                <w:u w:val="none"/>
                <w:shd w:val="clear" w:fill="E8EBF0"/>
              </w:rPr>
              <w:t>KE-WAJWASCO-456993-CW-RFB</w:t>
            </w:r>
          </w:p>
          <w:p w14:paraId="47196CE3">
            <w:pPr>
              <w:tabs>
                <w:tab w:val="right" w:pos="7272"/>
              </w:tabs>
              <w:spacing w:before="160" w:after="160"/>
            </w:pPr>
            <w:r>
              <w:t xml:space="preserve">The </w:t>
            </w:r>
            <w:r>
              <w:rPr>
                <w:iCs/>
              </w:rPr>
              <w:t xml:space="preserve">Employer </w:t>
            </w:r>
            <w:r>
              <w:t xml:space="preserve">is: </w:t>
            </w:r>
            <w:r>
              <w:rPr>
                <w:b/>
                <w:spacing w:val="-3"/>
              </w:rPr>
              <w:t>Wajir Water &amp; Sewerage Company Limited</w:t>
            </w:r>
          </w:p>
        </w:tc>
      </w:tr>
      <w:tr w14:paraId="7293F4EB">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tcBorders>
          </w:tcPr>
          <w:p w14:paraId="192A1204">
            <w:pPr>
              <w:spacing w:before="160" w:after="160"/>
              <w:rPr>
                <w:b/>
              </w:rPr>
            </w:pPr>
            <w:r>
              <w:rPr>
                <w:b/>
              </w:rPr>
              <w:t>ITB 1.1</w:t>
            </w:r>
          </w:p>
        </w:tc>
        <w:tc>
          <w:tcPr>
            <w:tcW w:w="7470" w:type="dxa"/>
            <w:tcBorders>
              <w:top w:val="single" w:color="000000" w:sz="2" w:space="0"/>
              <w:bottom w:val="single" w:color="000000" w:sz="2" w:space="0"/>
              <w:right w:val="single" w:color="000000" w:sz="2" w:space="0"/>
            </w:tcBorders>
          </w:tcPr>
          <w:p w14:paraId="0575FA5D">
            <w:pPr>
              <w:tabs>
                <w:tab w:val="right" w:pos="7272"/>
              </w:tabs>
              <w:spacing w:before="160" w:after="160"/>
            </w:pPr>
            <w:r>
              <w:t xml:space="preserve">The name of the bidding process is: </w:t>
            </w:r>
            <w:r>
              <w:rPr>
                <w:b/>
              </w:rPr>
              <w:t xml:space="preserve">National Competitive Bidding </w:t>
            </w:r>
            <w:r>
              <w:rPr>
                <w:b/>
                <w:highlight w:val="none"/>
              </w:rPr>
              <w:t>(NCB)</w:t>
            </w:r>
          </w:p>
          <w:p w14:paraId="5FFDEB8C">
            <w:pPr>
              <w:tabs>
                <w:tab w:val="right" w:pos="7272"/>
              </w:tabs>
              <w:spacing w:before="160" w:after="160"/>
              <w:rPr>
                <w:b/>
                <w:i/>
                <w:spacing w:val="-3"/>
              </w:rPr>
            </w:pPr>
            <w:r>
              <w:t>The identification number</w:t>
            </w:r>
            <w:r>
              <w:rPr>
                <w:i/>
              </w:rPr>
              <w:t xml:space="preserve"> </w:t>
            </w:r>
            <w:r>
              <w:t xml:space="preserve">of the bidding process is:  </w:t>
            </w:r>
            <w:r>
              <w:rPr>
                <w:rFonts w:ascii="Times New Roman" w:hAnsi="Times New Roman" w:eastAsia="Times New Roman" w:cs="Times New Roman"/>
                <w:color w:val="auto"/>
                <w:sz w:val="28"/>
                <w:szCs w:val="28"/>
                <w:highlight w:val="none"/>
                <w:u w:val="single"/>
                <w:lang w:val="en-GB"/>
              </w:rPr>
              <w:t xml:space="preserve"> </w:t>
            </w:r>
            <w:r>
              <w:rPr>
                <w:rFonts w:ascii="Times New Roman" w:hAnsi="Times New Roman" w:eastAsia="Open Sans" w:cs="Times New Roman"/>
                <w:b/>
                <w:bCs/>
                <w:i w:val="0"/>
                <w:iCs w:val="0"/>
                <w:caps w:val="0"/>
                <w:color w:val="auto"/>
                <w:spacing w:val="0"/>
                <w:sz w:val="28"/>
                <w:szCs w:val="28"/>
                <w:highlight w:val="none"/>
                <w:u w:val="none"/>
                <w:shd w:val="clear" w:fill="E8EBF0"/>
              </w:rPr>
              <w:t>KE-WAJWASCO-456993-CW-RFB</w:t>
            </w:r>
          </w:p>
          <w:p w14:paraId="51DEFCC5">
            <w:pPr>
              <w:tabs>
                <w:tab w:val="right" w:pos="7272"/>
              </w:tabs>
              <w:spacing w:before="160" w:after="160"/>
              <w:rPr>
                <w:b/>
                <w:i/>
              </w:rPr>
            </w:pPr>
            <w:r>
              <w:t xml:space="preserve">The number and identification of lots comprising this bidding process is:  </w:t>
            </w:r>
            <w:r>
              <w:rPr>
                <w:b/>
                <w:i/>
                <w:iCs/>
              </w:rPr>
              <w:t>N/A</w:t>
            </w:r>
          </w:p>
        </w:tc>
      </w:tr>
      <w:tr w14:paraId="2C90BE4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tcBorders>
          </w:tcPr>
          <w:p w14:paraId="3127D608">
            <w:pPr>
              <w:spacing w:before="160" w:after="160"/>
              <w:rPr>
                <w:b/>
              </w:rPr>
            </w:pPr>
            <w:r>
              <w:rPr>
                <w:b/>
              </w:rPr>
              <w:t>ITB 2.1</w:t>
            </w:r>
          </w:p>
        </w:tc>
        <w:tc>
          <w:tcPr>
            <w:tcW w:w="7470" w:type="dxa"/>
            <w:tcBorders>
              <w:top w:val="single" w:color="000000" w:sz="2" w:space="0"/>
              <w:bottom w:val="single" w:color="000000" w:sz="2" w:space="0"/>
              <w:right w:val="single" w:color="000000" w:sz="2" w:space="0"/>
            </w:tcBorders>
          </w:tcPr>
          <w:p w14:paraId="604AB1B8">
            <w:pPr>
              <w:tabs>
                <w:tab w:val="right" w:pos="7272"/>
              </w:tabs>
              <w:spacing w:before="160" w:after="160"/>
              <w:rPr>
                <w:u w:val="single"/>
              </w:rPr>
            </w:pPr>
            <w:r>
              <w:t xml:space="preserve">The Borrower is:  </w:t>
            </w:r>
            <w:r>
              <w:rPr>
                <w:b/>
              </w:rPr>
              <w:t>Government of Kenya (GOK)</w:t>
            </w:r>
          </w:p>
        </w:tc>
      </w:tr>
      <w:tr w14:paraId="4E7DB063">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tcBorders>
          </w:tcPr>
          <w:p w14:paraId="47DF985B">
            <w:pPr>
              <w:spacing w:before="160" w:after="160"/>
              <w:rPr>
                <w:b/>
              </w:rPr>
            </w:pPr>
            <w:r>
              <w:rPr>
                <w:b/>
              </w:rPr>
              <w:t>ITB 2.1</w:t>
            </w:r>
          </w:p>
        </w:tc>
        <w:tc>
          <w:tcPr>
            <w:tcW w:w="7470" w:type="dxa"/>
            <w:tcBorders>
              <w:top w:val="single" w:color="000000" w:sz="2" w:space="0"/>
              <w:bottom w:val="single" w:color="000000" w:sz="2" w:space="0"/>
              <w:right w:val="single" w:color="000000" w:sz="2" w:space="0"/>
            </w:tcBorders>
          </w:tcPr>
          <w:p w14:paraId="67E4C59B">
            <w:pPr>
              <w:tabs>
                <w:tab w:val="right" w:pos="7254"/>
              </w:tabs>
              <w:spacing w:before="160" w:after="160"/>
            </w:pPr>
            <w:r>
              <w:t xml:space="preserve">The name of the Project is </w:t>
            </w:r>
            <w:r>
              <w:rPr>
                <w:b/>
              </w:rPr>
              <w:t>Water and Sanitation Development Project (WSDP)</w:t>
            </w:r>
          </w:p>
        </w:tc>
      </w:tr>
      <w:tr w14:paraId="5CB023C2">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tcBorders>
          </w:tcPr>
          <w:p w14:paraId="46E4A114">
            <w:pPr>
              <w:spacing w:before="160" w:after="160"/>
              <w:rPr>
                <w:b/>
              </w:rPr>
            </w:pPr>
            <w:r>
              <w:rPr>
                <w:b/>
              </w:rPr>
              <w:t>ITB 2.1</w:t>
            </w:r>
          </w:p>
        </w:tc>
        <w:tc>
          <w:tcPr>
            <w:tcW w:w="7470" w:type="dxa"/>
            <w:tcBorders>
              <w:top w:val="single" w:color="000000" w:sz="2" w:space="0"/>
              <w:bottom w:val="single" w:color="000000" w:sz="2" w:space="0"/>
              <w:right w:val="single" w:color="000000" w:sz="2" w:space="0"/>
            </w:tcBorders>
          </w:tcPr>
          <w:p w14:paraId="4C04514F">
            <w:pPr>
              <w:tabs>
                <w:tab w:val="right" w:pos="7254"/>
              </w:tabs>
              <w:spacing w:before="160" w:after="160"/>
              <w:rPr>
                <w:highlight w:val="yellow"/>
              </w:rPr>
            </w:pPr>
            <w:r>
              <w:rPr>
                <w:highlight w:val="none"/>
              </w:rPr>
              <w:t xml:space="preserve">Loan or Financing Agreement amount: </w:t>
            </w:r>
            <w:r>
              <w:rPr>
                <w:b/>
                <w:color w:val="000000" w:themeColor="text1"/>
                <w:highlight w:val="none"/>
                <w14:textFill>
                  <w14:solidFill>
                    <w14:schemeClr w14:val="tx1"/>
                  </w14:solidFill>
                </w14:textFill>
              </w:rPr>
              <w:t>US$ 300 Million</w:t>
            </w:r>
          </w:p>
        </w:tc>
      </w:tr>
      <w:tr w14:paraId="1F2DA02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tcBorders>
          </w:tcPr>
          <w:p w14:paraId="6C589E11">
            <w:pPr>
              <w:spacing w:before="160" w:after="160"/>
              <w:rPr>
                <w:b/>
              </w:rPr>
            </w:pPr>
            <w:r>
              <w:rPr>
                <w:b/>
              </w:rPr>
              <w:t>ITB 4.1</w:t>
            </w:r>
          </w:p>
        </w:tc>
        <w:tc>
          <w:tcPr>
            <w:tcW w:w="7470" w:type="dxa"/>
            <w:tcBorders>
              <w:top w:val="single" w:color="000000" w:sz="2" w:space="0"/>
              <w:bottom w:val="single" w:color="000000" w:sz="2" w:space="0"/>
              <w:right w:val="single" w:color="000000" w:sz="2" w:space="0"/>
            </w:tcBorders>
          </w:tcPr>
          <w:p w14:paraId="1EB4F527">
            <w:pPr>
              <w:tabs>
                <w:tab w:val="right" w:pos="7254"/>
              </w:tabs>
              <w:spacing w:before="160" w:after="160"/>
            </w:pPr>
            <w:r>
              <w:rPr>
                <w:iCs/>
              </w:rPr>
              <w:t xml:space="preserve">Maximum number of members in the JV shall be: </w:t>
            </w:r>
            <w:r>
              <w:rPr>
                <w:b/>
                <w:iCs/>
              </w:rPr>
              <w:t>N/A</w:t>
            </w:r>
            <w:r>
              <w:rPr>
                <w:b/>
                <w:i/>
                <w:iCs/>
              </w:rPr>
              <w:t>.</w:t>
            </w:r>
          </w:p>
        </w:tc>
      </w:tr>
      <w:tr w14:paraId="0972578C">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jc w:val="center"/>
        </w:trPr>
        <w:tc>
          <w:tcPr>
            <w:tcW w:w="1620" w:type="dxa"/>
            <w:tcBorders>
              <w:top w:val="single" w:color="000000" w:sz="2" w:space="0"/>
              <w:left w:val="single" w:color="000000" w:sz="2" w:space="0"/>
              <w:bottom w:val="single" w:color="000000" w:sz="2" w:space="0"/>
            </w:tcBorders>
          </w:tcPr>
          <w:p w14:paraId="3464C5FD">
            <w:pPr>
              <w:spacing w:before="160" w:after="160"/>
              <w:rPr>
                <w:b/>
              </w:rPr>
            </w:pPr>
            <w:r>
              <w:rPr>
                <w:b/>
              </w:rPr>
              <w:t>ITB 4.4</w:t>
            </w:r>
          </w:p>
        </w:tc>
        <w:tc>
          <w:tcPr>
            <w:tcW w:w="7470" w:type="dxa"/>
            <w:tcBorders>
              <w:top w:val="single" w:color="000000" w:sz="2" w:space="0"/>
              <w:bottom w:val="single" w:color="000000" w:sz="2" w:space="0"/>
              <w:right w:val="single" w:color="000000" w:sz="2" w:space="0"/>
            </w:tcBorders>
          </w:tcPr>
          <w:p w14:paraId="190C5700">
            <w:pPr>
              <w:tabs>
                <w:tab w:val="right" w:pos="7254"/>
              </w:tabs>
              <w:spacing w:before="160" w:after="160"/>
              <w:rPr>
                <w:iCs/>
              </w:rPr>
            </w:pPr>
            <w:r>
              <w:rPr>
                <w:iCs/>
              </w:rPr>
              <w:t xml:space="preserve">A list of debarred firms and individuals is available on the Bank’s external website: </w:t>
            </w:r>
            <w:r>
              <w:fldChar w:fldCharType="begin"/>
            </w:r>
            <w:r>
              <w:instrText xml:space="preserve"> HYPERLINK "http://www.worldbank.org/debarr." </w:instrText>
            </w:r>
            <w:r>
              <w:fldChar w:fldCharType="separate"/>
            </w:r>
            <w:r>
              <w:rPr>
                <w:rStyle w:val="31"/>
                <w:iCs/>
              </w:rPr>
              <w:t>http://www.worldbank.org/debarr.</w:t>
            </w:r>
            <w:r>
              <w:rPr>
                <w:rStyle w:val="31"/>
                <w:iCs/>
              </w:rPr>
              <w:fldChar w:fldCharType="end"/>
            </w:r>
            <w:r>
              <w:rPr>
                <w:iCs/>
              </w:rPr>
              <w:t xml:space="preserve"> </w:t>
            </w:r>
          </w:p>
        </w:tc>
      </w:tr>
    </w:tbl>
    <w:p w14:paraId="02954059">
      <w:pPr>
        <w:pStyle w:val="21"/>
        <w:tabs>
          <w:tab w:val="right" w:pos="7434"/>
          <w:tab w:val="clear" w:pos="7254"/>
        </w:tabs>
        <w:rPr>
          <w:rFonts w:ascii="Times New Roman" w:hAnsi="Times New Roman" w:cs="Times New Roman"/>
        </w:rPr>
      </w:pPr>
    </w:p>
    <w:p w14:paraId="32D2496F">
      <w:pPr>
        <w:pStyle w:val="21"/>
        <w:tabs>
          <w:tab w:val="right" w:pos="7434"/>
          <w:tab w:val="clear" w:pos="7254"/>
        </w:tabs>
        <w:rPr>
          <w:rFonts w:ascii="Times New Roman" w:hAnsi="Times New Roman" w:cs="Times New Roman"/>
        </w:rPr>
      </w:pPr>
      <w:r>
        <w:rPr>
          <w:rFonts w:ascii="Times New Roman" w:hAnsi="Times New Roman" w:cs="Times New Roman"/>
        </w:rPr>
        <w:t>B.  Bidding Documents</w:t>
      </w:r>
    </w:p>
    <w:tbl>
      <w:tblPr>
        <w:tblStyle w:val="12"/>
        <w:tblW w:w="0" w:type="auto"/>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Layout w:type="fixed"/>
        <w:tblCellMar>
          <w:top w:w="0" w:type="dxa"/>
          <w:left w:w="108" w:type="dxa"/>
          <w:bottom w:w="0" w:type="dxa"/>
          <w:right w:w="108" w:type="dxa"/>
        </w:tblCellMar>
      </w:tblPr>
      <w:tblGrid>
        <w:gridCol w:w="1620"/>
        <w:gridCol w:w="7470"/>
      </w:tblGrid>
      <w:tr w14:paraId="7CCA626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4857FC85">
            <w:pPr>
              <w:pStyle w:val="77"/>
              <w:rPr>
                <w:rFonts w:ascii="Times New Roman" w:hAnsi="Times New Roman" w:cs="Times New Roman"/>
                <w:sz w:val="24"/>
                <w:szCs w:val="24"/>
              </w:rPr>
            </w:pPr>
            <w:r>
              <w:rPr>
                <w:rFonts w:ascii="Times New Roman" w:hAnsi="Times New Roman" w:cs="Times New Roman"/>
                <w:sz w:val="24"/>
                <w:szCs w:val="24"/>
              </w:rPr>
              <w:t>ITB 7.1</w:t>
            </w:r>
          </w:p>
        </w:tc>
        <w:tc>
          <w:tcPr>
            <w:tcW w:w="7470" w:type="dxa"/>
            <w:tcBorders>
              <w:top w:val="single" w:color="000000" w:sz="2" w:space="0"/>
              <w:bottom w:val="single" w:color="000000" w:sz="2" w:space="0"/>
              <w:right w:val="single" w:color="000000" w:sz="2" w:space="0"/>
            </w:tcBorders>
          </w:tcPr>
          <w:p w14:paraId="460E8F1B">
            <w:pPr>
              <w:tabs>
                <w:tab w:val="right" w:pos="7254"/>
              </w:tabs>
              <w:spacing w:before="160" w:after="160"/>
            </w:pPr>
            <w:r>
              <w:t xml:space="preserve">For </w:t>
            </w:r>
            <w:r>
              <w:rPr>
                <w:b/>
                <w:u w:val="single"/>
              </w:rPr>
              <w:t>clarification purposes</w:t>
            </w:r>
            <w:r>
              <w:t xml:space="preserve"> only, the </w:t>
            </w:r>
            <w:r>
              <w:rPr>
                <w:iCs/>
              </w:rPr>
              <w:t xml:space="preserve">Employer’s </w:t>
            </w:r>
            <w:r>
              <w:t>address is:</w:t>
            </w:r>
          </w:p>
          <w:p w14:paraId="3794E66F">
            <w:pPr>
              <w:tabs>
                <w:tab w:val="right" w:pos="7254"/>
              </w:tabs>
              <w:spacing w:before="160" w:after="160"/>
            </w:pPr>
            <w:r>
              <w:rPr>
                <w:b/>
                <w:i/>
              </w:rPr>
              <w:t>Wajir Water &amp; Sewerage Co. Ltd</w:t>
            </w:r>
          </w:p>
          <w:p w14:paraId="6659122E">
            <w:pPr>
              <w:tabs>
                <w:tab w:val="right" w:pos="7254"/>
              </w:tabs>
              <w:spacing w:before="160" w:after="160"/>
              <w:rPr>
                <w:lang w:bidi="en-US"/>
              </w:rPr>
            </w:pPr>
            <w:r>
              <w:rPr>
                <w:lang w:bidi="en-US"/>
              </w:rPr>
              <w:t xml:space="preserve">Attention:             Project coordinator,  </w:t>
            </w:r>
          </w:p>
          <w:p w14:paraId="021B5119">
            <w:pPr>
              <w:tabs>
                <w:tab w:val="right" w:pos="7254"/>
              </w:tabs>
              <w:spacing w:before="160" w:after="160"/>
              <w:rPr>
                <w:lang w:bidi="en-US"/>
              </w:rPr>
            </w:pPr>
            <w:r>
              <w:rPr>
                <w:lang w:bidi="en-US"/>
              </w:rPr>
              <w:t xml:space="preserve">                             County Government of Wajir </w:t>
            </w:r>
          </w:p>
          <w:p w14:paraId="6D02CC26">
            <w:pPr>
              <w:tabs>
                <w:tab w:val="right" w:pos="7254"/>
              </w:tabs>
              <w:spacing w:before="160" w:after="160"/>
              <w:rPr>
                <w:lang w:bidi="en-US"/>
              </w:rPr>
            </w:pPr>
            <w:r>
              <w:rPr>
                <w:lang w:bidi="en-US"/>
              </w:rPr>
              <w:t xml:space="preserve">                             Wajir Water and Sewerage Company (WAJWASCO) </w:t>
            </w:r>
          </w:p>
          <w:p w14:paraId="1F5EC41F">
            <w:pPr>
              <w:tabs>
                <w:tab w:val="right" w:pos="7254"/>
              </w:tabs>
              <w:spacing w:before="160" w:after="160"/>
              <w:rPr>
                <w:lang w:bidi="en-US"/>
              </w:rPr>
            </w:pPr>
            <w:r>
              <w:rPr>
                <w:lang w:bidi="en-US"/>
              </w:rPr>
              <w:t xml:space="preserve">Zip Code                70200 Wajir </w:t>
            </w:r>
          </w:p>
          <w:p w14:paraId="11969C7A">
            <w:pPr>
              <w:tabs>
                <w:tab w:val="right" w:pos="7254"/>
              </w:tabs>
              <w:spacing w:before="160" w:after="160"/>
              <w:rPr>
                <w:lang w:bidi="en-US"/>
              </w:rPr>
            </w:pPr>
            <w:r>
              <w:rPr>
                <w:lang w:bidi="en-US"/>
              </w:rPr>
              <w:t xml:space="preserve">Street Address       </w:t>
            </w:r>
            <w:r>
              <w:rPr>
                <w:rFonts w:hint="default"/>
                <w:lang w:val="en-US" w:bidi="en-US"/>
              </w:rPr>
              <w:t>Along Wajir High School</w:t>
            </w:r>
            <w:r>
              <w:rPr>
                <w:lang w:bidi="en-US"/>
              </w:rPr>
              <w:t xml:space="preserve"> Road </w:t>
            </w:r>
          </w:p>
          <w:p w14:paraId="59FDA52C">
            <w:pPr>
              <w:tabs>
                <w:tab w:val="right" w:pos="7254"/>
              </w:tabs>
              <w:spacing w:before="160" w:after="160"/>
              <w:rPr>
                <w:highlight w:val="none"/>
                <w:lang w:bidi="en-US"/>
              </w:rPr>
            </w:pPr>
            <w:r>
              <w:rPr>
                <w:highlight w:val="none"/>
                <w:lang w:bidi="en-US"/>
              </w:rPr>
              <w:t xml:space="preserve">                  </w:t>
            </w:r>
          </w:p>
          <w:p w14:paraId="05759E9B">
            <w:pPr>
              <w:tabs>
                <w:tab w:val="right" w:pos="7254"/>
              </w:tabs>
              <w:spacing w:before="160" w:after="160"/>
              <w:rPr>
                <w:lang w:bidi="en-US"/>
              </w:rPr>
            </w:pPr>
            <w:r>
              <w:rPr>
                <w:lang w:bidi="en-US"/>
              </w:rPr>
              <w:t xml:space="preserve">City:                    Wajir  </w:t>
            </w:r>
          </w:p>
          <w:p w14:paraId="0C52561C">
            <w:pPr>
              <w:tabs>
                <w:tab w:val="right" w:pos="7254"/>
              </w:tabs>
              <w:spacing w:before="160" w:after="160"/>
              <w:rPr>
                <w:lang w:bidi="en-US"/>
              </w:rPr>
            </w:pPr>
            <w:r>
              <w:rPr>
                <w:lang w:bidi="en-US"/>
              </w:rPr>
              <w:t xml:space="preserve">Country:              Kenya </w:t>
            </w:r>
          </w:p>
          <w:p w14:paraId="4DBE33AF">
            <w:pPr>
              <w:tabs>
                <w:tab w:val="right" w:pos="7254"/>
              </w:tabs>
              <w:spacing w:before="160" w:after="160"/>
              <w:rPr>
                <w:rFonts w:hint="default"/>
                <w:lang w:val="en-US" w:bidi="en-US"/>
              </w:rPr>
            </w:pPr>
            <w:r>
              <w:rPr>
                <w:lang w:bidi="en-US"/>
              </w:rPr>
              <w:t>Telephone:          +254</w:t>
            </w:r>
            <w:r>
              <w:rPr>
                <w:rFonts w:hint="default"/>
                <w:lang w:val="en-US" w:bidi="en-US"/>
              </w:rPr>
              <w:t xml:space="preserve"> </w:t>
            </w:r>
            <w:r>
              <w:rPr>
                <w:lang w:bidi="en-US"/>
              </w:rPr>
              <w:t>7</w:t>
            </w:r>
            <w:r>
              <w:rPr>
                <w:rFonts w:hint="default"/>
                <w:lang w:val="en-US" w:bidi="en-US"/>
              </w:rPr>
              <w:t>10968680</w:t>
            </w:r>
          </w:p>
          <w:p w14:paraId="14D18D4E">
            <w:pPr>
              <w:tabs>
                <w:tab w:val="right" w:pos="7254"/>
              </w:tabs>
              <w:spacing w:before="160" w:after="160"/>
            </w:pPr>
            <w:r>
              <w:rPr>
                <w:bCs/>
                <w:lang w:val="nl-NL"/>
              </w:rPr>
              <w:t>Email</w:t>
            </w:r>
            <w:r>
              <w:rPr>
                <w:lang w:bidi="en-US"/>
              </w:rPr>
              <w:t xml:space="preserve">:                  </w:t>
            </w:r>
            <w:r>
              <w:fldChar w:fldCharType="begin"/>
            </w:r>
            <w:r>
              <w:instrText xml:space="preserve"> HYPERLINK "mailto:wajwasco@gmail.com" </w:instrText>
            </w:r>
            <w:r>
              <w:fldChar w:fldCharType="separate"/>
            </w:r>
            <w:r>
              <w:rPr>
                <w:rStyle w:val="31"/>
                <w:lang w:bidi="en-US"/>
              </w:rPr>
              <w:t>wajwasco@gmail.com</w:t>
            </w:r>
            <w:r>
              <w:rPr>
                <w:rStyle w:val="31"/>
                <w:lang w:bidi="en-US"/>
              </w:rPr>
              <w:fldChar w:fldCharType="end"/>
            </w:r>
          </w:p>
          <w:p w14:paraId="0A3661FB">
            <w:pPr>
              <w:rPr>
                <w:b/>
                <w:bCs/>
              </w:rPr>
            </w:pPr>
            <w:r>
              <w:rPr>
                <w:rStyle w:val="243"/>
                <w:b w:val="0"/>
                <w:bCs w:val="0"/>
              </w:rPr>
              <w:t xml:space="preserve">Requests for clarification should be received by the Employer no later than: </w:t>
            </w:r>
            <w:r>
              <w:rPr>
                <w:rStyle w:val="244"/>
                <w:b/>
                <w:bCs/>
              </w:rPr>
              <w:t>14 days prior to the deadline for Submission of Bids.</w:t>
            </w:r>
          </w:p>
          <w:p w14:paraId="3D0ED33B">
            <w:pPr>
              <w:tabs>
                <w:tab w:val="right" w:pos="7254"/>
              </w:tabs>
              <w:spacing w:before="160" w:after="160"/>
            </w:pPr>
          </w:p>
        </w:tc>
      </w:tr>
      <w:tr w14:paraId="220AD0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7B2D55A4">
            <w:pPr>
              <w:tabs>
                <w:tab w:val="right" w:pos="7254"/>
              </w:tabs>
              <w:spacing w:before="160" w:after="160"/>
            </w:pPr>
            <w:r>
              <w:rPr>
                <w:b/>
              </w:rPr>
              <w:t>ITB 7.1</w:t>
            </w:r>
          </w:p>
        </w:tc>
        <w:tc>
          <w:tcPr>
            <w:tcW w:w="7470" w:type="dxa"/>
            <w:tcBorders>
              <w:top w:val="single" w:color="000000" w:sz="2" w:space="0"/>
              <w:bottom w:val="single" w:color="000000" w:sz="2" w:space="0"/>
              <w:right w:val="single" w:color="000000" w:sz="2" w:space="0"/>
            </w:tcBorders>
          </w:tcPr>
          <w:p w14:paraId="153B6127">
            <w:pPr>
              <w:tabs>
                <w:tab w:val="right" w:pos="7254"/>
              </w:tabs>
              <w:spacing w:before="160" w:after="160"/>
              <w:rPr>
                <w:lang w:val="nl-NL"/>
              </w:rPr>
            </w:pPr>
            <w:r>
              <w:rPr>
                <w:bCs/>
                <w:lang w:val="nl-NL"/>
              </w:rPr>
              <w:t xml:space="preserve">Web page: </w:t>
            </w:r>
            <w:r>
              <w:fldChar w:fldCharType="begin"/>
            </w:r>
            <w:r>
              <w:instrText xml:space="preserve">HYPERLINK "http://www.wajirwater.co.ke"</w:instrText>
            </w:r>
            <w:r>
              <w:fldChar w:fldCharType="separate"/>
            </w:r>
            <w:r>
              <w:rPr>
                <w:rStyle w:val="31"/>
                <w:b/>
                <w:bCs/>
                <w:i/>
                <w:lang w:val="fr-FR"/>
              </w:rPr>
              <w:t>www.wajirwater.co.ke</w:t>
            </w:r>
            <w:r>
              <w:rPr>
                <w:rStyle w:val="31"/>
                <w:b/>
                <w:bCs/>
                <w:i/>
                <w:lang w:val="fr-FR"/>
              </w:rPr>
              <w:fldChar w:fldCharType="end"/>
            </w:r>
          </w:p>
        </w:tc>
      </w:tr>
      <w:tr w14:paraId="05E440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13E5666D">
            <w:pPr>
              <w:tabs>
                <w:tab w:val="right" w:pos="7254"/>
              </w:tabs>
              <w:spacing w:before="160" w:after="160"/>
              <w:rPr>
                <w:b/>
              </w:rPr>
            </w:pPr>
            <w:r>
              <w:rPr>
                <w:b/>
              </w:rPr>
              <w:t>ITB 7.4</w:t>
            </w:r>
          </w:p>
        </w:tc>
        <w:tc>
          <w:tcPr>
            <w:tcW w:w="7470" w:type="dxa"/>
            <w:tcBorders>
              <w:top w:val="single" w:color="000000" w:sz="2" w:space="0"/>
              <w:bottom w:val="single" w:color="000000" w:sz="2" w:space="0"/>
              <w:right w:val="single" w:color="000000" w:sz="2" w:space="0"/>
            </w:tcBorders>
          </w:tcPr>
          <w:p w14:paraId="6B4C9912">
            <w:pPr>
              <w:tabs>
                <w:tab w:val="right" w:pos="7254"/>
              </w:tabs>
              <w:spacing w:before="160" w:after="160"/>
            </w:pPr>
            <w:r>
              <w:t xml:space="preserve">A Pre-Bid meeting </w:t>
            </w:r>
            <w:r>
              <w:rPr>
                <w:b/>
                <w:bCs/>
              </w:rPr>
              <w:t>“</w:t>
            </w:r>
            <w:r>
              <w:rPr>
                <w:b/>
                <w:bCs/>
                <w:i/>
              </w:rPr>
              <w:t>shall”</w:t>
            </w:r>
            <w:r>
              <w:rPr>
                <w:b/>
                <w:i/>
              </w:rPr>
              <w:t xml:space="preserve"> </w:t>
            </w:r>
            <w:r>
              <w:t>take place,</w:t>
            </w:r>
          </w:p>
          <w:p w14:paraId="74994B2F">
            <w:pPr>
              <w:tabs>
                <w:tab w:val="right" w:pos="7254"/>
              </w:tabs>
              <w:spacing w:before="120" w:after="120"/>
              <w:rPr>
                <w:rFonts w:hint="default"/>
                <w:color w:val="auto"/>
                <w:highlight w:val="none"/>
                <w:lang w:val="en-US"/>
              </w:rPr>
            </w:pPr>
            <w:r>
              <w:rPr>
                <w:highlight w:val="none"/>
              </w:rPr>
              <w:t>D</w:t>
            </w:r>
            <w:r>
              <w:rPr>
                <w:color w:val="auto"/>
                <w:highlight w:val="none"/>
              </w:rPr>
              <w:t xml:space="preserve">ate: </w:t>
            </w:r>
            <w:r>
              <w:rPr>
                <w:rFonts w:hint="default"/>
                <w:b/>
                <w:bCs/>
                <w:i/>
                <w:iCs/>
                <w:color w:val="auto"/>
                <w:highlight w:val="none"/>
                <w:lang w:val="en-US"/>
              </w:rPr>
              <w:t>5</w:t>
            </w:r>
            <w:r>
              <w:rPr>
                <w:rFonts w:hint="default"/>
                <w:b/>
                <w:bCs/>
                <w:i/>
                <w:iCs/>
                <w:color w:val="auto"/>
                <w:highlight w:val="none"/>
                <w:vertAlign w:val="superscript"/>
                <w:lang w:val="en-US"/>
              </w:rPr>
              <w:t>TH</w:t>
            </w:r>
            <w:r>
              <w:rPr>
                <w:rFonts w:hint="default"/>
                <w:b/>
                <w:bCs/>
                <w:i/>
                <w:iCs/>
                <w:color w:val="auto"/>
                <w:highlight w:val="none"/>
                <w:lang w:val="en-US"/>
              </w:rPr>
              <w:t xml:space="preserve"> NOVEMBER,2024</w:t>
            </w:r>
          </w:p>
          <w:p w14:paraId="37E64FD2">
            <w:pPr>
              <w:tabs>
                <w:tab w:val="right" w:pos="7254"/>
              </w:tabs>
              <w:spacing w:before="120" w:after="120"/>
              <w:rPr>
                <w:i/>
                <w:color w:val="auto"/>
                <w:highlight w:val="none"/>
              </w:rPr>
            </w:pPr>
            <w:r>
              <w:rPr>
                <w:color w:val="auto"/>
                <w:highlight w:val="none"/>
              </w:rPr>
              <w:t xml:space="preserve">Time: </w:t>
            </w:r>
            <w:r>
              <w:rPr>
                <w:b/>
                <w:bCs/>
                <w:i/>
                <w:iCs/>
                <w:color w:val="auto"/>
                <w:highlight w:val="none"/>
              </w:rPr>
              <w:t>10:00hrs</w:t>
            </w:r>
          </w:p>
          <w:p w14:paraId="19910DF9">
            <w:pPr>
              <w:tabs>
                <w:tab w:val="right" w:pos="7254"/>
              </w:tabs>
              <w:spacing w:before="120" w:after="120"/>
              <w:rPr>
                <w:color w:val="auto"/>
                <w:highlight w:val="none"/>
              </w:rPr>
            </w:pPr>
            <w:r>
              <w:rPr>
                <w:color w:val="auto"/>
                <w:highlight w:val="none"/>
              </w:rPr>
              <w:t xml:space="preserve">Place: </w:t>
            </w:r>
            <w:r>
              <w:rPr>
                <w:b/>
                <w:bCs/>
                <w:i/>
                <w:iCs/>
                <w:color w:val="auto"/>
                <w:highlight w:val="none"/>
              </w:rPr>
              <w:t>WAJWASCO’s Boardroom</w:t>
            </w:r>
          </w:p>
          <w:p w14:paraId="6A958A37">
            <w:pPr>
              <w:pStyle w:val="76"/>
              <w:tabs>
                <w:tab w:val="right" w:pos="7254"/>
              </w:tabs>
              <w:suppressAutoHyphens w:val="0"/>
              <w:spacing w:before="160" w:after="160"/>
              <w:rPr>
                <w:rFonts w:ascii="Times New Roman" w:hAnsi="Times New Roman"/>
                <w:sz w:val="24"/>
                <w:szCs w:val="24"/>
              </w:rPr>
            </w:pPr>
            <w:r>
              <w:rPr>
                <w:rFonts w:ascii="Times New Roman" w:hAnsi="Times New Roman"/>
                <w:sz w:val="24"/>
                <w:szCs w:val="24"/>
              </w:rPr>
              <w:t xml:space="preserve">A site visit conducted by the Employer </w:t>
            </w:r>
            <w:r>
              <w:rPr>
                <w:rFonts w:ascii="Times New Roman" w:hAnsi="Times New Roman"/>
                <w:b/>
                <w:bCs/>
                <w:sz w:val="24"/>
                <w:szCs w:val="24"/>
              </w:rPr>
              <w:t>“</w:t>
            </w:r>
            <w:r>
              <w:rPr>
                <w:rFonts w:ascii="Times New Roman" w:hAnsi="Times New Roman"/>
                <w:b/>
                <w:bCs/>
                <w:i/>
                <w:sz w:val="24"/>
                <w:szCs w:val="24"/>
              </w:rPr>
              <w:t>s</w:t>
            </w:r>
            <w:r>
              <w:rPr>
                <w:rFonts w:ascii="Times New Roman" w:hAnsi="Times New Roman"/>
                <w:b/>
                <w:i/>
                <w:sz w:val="24"/>
                <w:szCs w:val="24"/>
              </w:rPr>
              <w:t xml:space="preserve">hall be” </w:t>
            </w:r>
            <w:r>
              <w:rPr>
                <w:rFonts w:ascii="Times New Roman" w:hAnsi="Times New Roman"/>
                <w:sz w:val="24"/>
                <w:szCs w:val="24"/>
              </w:rPr>
              <w:t>organized.</w:t>
            </w:r>
          </w:p>
        </w:tc>
      </w:tr>
    </w:tbl>
    <w:p w14:paraId="207C741A">
      <w:pPr>
        <w:pStyle w:val="21"/>
        <w:rPr>
          <w:rFonts w:ascii="Times New Roman" w:hAnsi="Times New Roman" w:cs="Times New Roman"/>
        </w:rPr>
      </w:pPr>
    </w:p>
    <w:p w14:paraId="617EBB92">
      <w:pPr>
        <w:pStyle w:val="21"/>
        <w:rPr>
          <w:rFonts w:ascii="Times New Roman" w:hAnsi="Times New Roman" w:cs="Times New Roman"/>
        </w:rPr>
      </w:pPr>
      <w:r>
        <w:rPr>
          <w:rFonts w:ascii="Times New Roman" w:hAnsi="Times New Roman" w:cs="Times New Roman"/>
        </w:rPr>
        <w:t>C.  Preparation of Bids</w:t>
      </w:r>
    </w:p>
    <w:tbl>
      <w:tblPr>
        <w:tblStyle w:val="12"/>
        <w:tblW w:w="9090" w:type="dxa"/>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Layout w:type="fixed"/>
        <w:tblCellMar>
          <w:top w:w="0" w:type="dxa"/>
          <w:left w:w="108" w:type="dxa"/>
          <w:bottom w:w="0" w:type="dxa"/>
          <w:right w:w="108" w:type="dxa"/>
        </w:tblCellMar>
      </w:tblPr>
      <w:tblGrid>
        <w:gridCol w:w="1620"/>
        <w:gridCol w:w="7470"/>
      </w:tblGrid>
      <w:tr w14:paraId="39AD6C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55EEBDBC">
            <w:pPr>
              <w:pStyle w:val="24"/>
              <w:tabs>
                <w:tab w:val="right" w:pos="7434"/>
              </w:tabs>
              <w:spacing w:before="180" w:after="180"/>
              <w:rPr>
                <w:rFonts w:ascii="Times New Roman" w:hAnsi="Times New Roman"/>
                <w:bCs w:val="0"/>
                <w:iCs/>
                <w:sz w:val="24"/>
                <w:szCs w:val="24"/>
                <w:lang w:val="en-US" w:eastAsia="en-US"/>
              </w:rPr>
            </w:pPr>
            <w:r>
              <w:rPr>
                <w:rFonts w:ascii="Times New Roman" w:hAnsi="Times New Roman"/>
                <w:bCs w:val="0"/>
                <w:iCs/>
                <w:sz w:val="24"/>
                <w:szCs w:val="24"/>
                <w:lang w:val="en-US" w:eastAsia="en-US"/>
              </w:rPr>
              <w:t>ITB 10.1</w:t>
            </w:r>
          </w:p>
        </w:tc>
        <w:tc>
          <w:tcPr>
            <w:tcW w:w="7470" w:type="dxa"/>
            <w:tcBorders>
              <w:top w:val="single" w:color="000000" w:sz="2" w:space="0"/>
              <w:bottom w:val="single" w:color="000000" w:sz="2" w:space="0"/>
              <w:right w:val="single" w:color="000000" w:sz="2" w:space="0"/>
            </w:tcBorders>
          </w:tcPr>
          <w:p w14:paraId="51F39A3D">
            <w:pPr>
              <w:spacing w:line="276" w:lineRule="auto"/>
              <w:rPr>
                <w:iCs/>
              </w:rPr>
            </w:pPr>
            <w:r>
              <w:rPr>
                <w:iCs/>
              </w:rPr>
              <w:t xml:space="preserve">The language of the bid is: </w:t>
            </w:r>
            <w:r>
              <w:rPr>
                <w:b/>
                <w:iCs/>
              </w:rPr>
              <w:t>English</w:t>
            </w:r>
          </w:p>
          <w:p w14:paraId="0970F686">
            <w:pPr>
              <w:spacing w:after="200" w:line="276" w:lineRule="auto"/>
              <w:rPr>
                <w:iCs/>
                <w:spacing w:val="-4"/>
              </w:rPr>
            </w:pPr>
            <w:r>
              <w:rPr>
                <w:iCs/>
                <w:spacing w:val="-4"/>
              </w:rPr>
              <w:t xml:space="preserve">All correspondence exchange shall be in </w:t>
            </w:r>
            <w:r>
              <w:rPr>
                <w:b/>
                <w:iCs/>
                <w:spacing w:val="-4"/>
              </w:rPr>
              <w:t>English</w:t>
            </w:r>
            <w:r>
              <w:rPr>
                <w:iCs/>
                <w:spacing w:val="-4"/>
              </w:rPr>
              <w:t xml:space="preserve"> language.</w:t>
            </w:r>
          </w:p>
          <w:p w14:paraId="70885839">
            <w:pPr>
              <w:tabs>
                <w:tab w:val="right" w:pos="7254"/>
              </w:tabs>
              <w:spacing w:before="180" w:after="180"/>
              <w:rPr>
                <w:iCs/>
              </w:rPr>
            </w:pPr>
            <w:r>
              <w:rPr>
                <w:iCs/>
                <w:spacing w:val="-4"/>
              </w:rPr>
              <w:t xml:space="preserve">Language for translation of supporting documents and printed literature is </w:t>
            </w:r>
            <w:r>
              <w:rPr>
                <w:b/>
                <w:iCs/>
                <w:spacing w:val="-4"/>
              </w:rPr>
              <w:t>English</w:t>
            </w:r>
          </w:p>
        </w:tc>
      </w:tr>
      <w:tr w14:paraId="52B458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4D22BD65">
            <w:pPr>
              <w:tabs>
                <w:tab w:val="right" w:pos="7434"/>
              </w:tabs>
              <w:spacing w:before="180" w:after="180"/>
              <w:rPr>
                <w:b/>
              </w:rPr>
            </w:pPr>
            <w:r>
              <w:rPr>
                <w:b/>
              </w:rPr>
              <w:t>ITB 11.1 (b)</w:t>
            </w:r>
          </w:p>
        </w:tc>
        <w:tc>
          <w:tcPr>
            <w:tcW w:w="7470" w:type="dxa"/>
            <w:tcBorders>
              <w:top w:val="single" w:color="000000" w:sz="2" w:space="0"/>
              <w:bottom w:val="single" w:color="000000" w:sz="2" w:space="0"/>
              <w:right w:val="single" w:color="000000" w:sz="2" w:space="0"/>
            </w:tcBorders>
          </w:tcPr>
          <w:p w14:paraId="2FEF8BC9">
            <w:pPr>
              <w:tabs>
                <w:tab w:val="right" w:pos="7254"/>
              </w:tabs>
              <w:spacing w:before="180" w:after="180"/>
              <w:jc w:val="both"/>
            </w:pPr>
            <w:r>
              <w:t xml:space="preserve">The following schedules shall be submitted with the bid: </w:t>
            </w:r>
          </w:p>
          <w:p w14:paraId="13D26B20">
            <w:pPr>
              <w:numPr>
                <w:ilvl w:val="0"/>
                <w:numId w:val="37"/>
              </w:numPr>
              <w:tabs>
                <w:tab w:val="right" w:pos="7254"/>
              </w:tabs>
              <w:spacing w:before="180" w:after="180"/>
              <w:jc w:val="both"/>
              <w:rPr>
                <w:b/>
                <w:bCs/>
              </w:rPr>
            </w:pPr>
            <w:r>
              <w:rPr>
                <w:b/>
                <w:bCs/>
              </w:rPr>
              <w:t>Bills of Quantities</w:t>
            </w:r>
          </w:p>
          <w:p w14:paraId="46F3C332">
            <w:pPr>
              <w:numPr>
                <w:ilvl w:val="0"/>
                <w:numId w:val="37"/>
              </w:numPr>
              <w:tabs>
                <w:tab w:val="right" w:pos="7254"/>
              </w:tabs>
              <w:spacing w:before="180" w:after="180"/>
              <w:jc w:val="both"/>
            </w:pPr>
            <w:r>
              <w:rPr>
                <w:b/>
                <w:bCs/>
              </w:rPr>
              <w:t>Schedule of Sub-Contractors</w:t>
            </w:r>
            <w:r>
              <w:t>, if any, including details of work for which the Sub-Contractor shall be employed, Value and % of Tender Price of Works sub-contracted and details of Sub-Contractor’s experience in that field of work.</w:t>
            </w:r>
          </w:p>
          <w:p w14:paraId="2012A895">
            <w:pPr>
              <w:numPr>
                <w:ilvl w:val="0"/>
                <w:numId w:val="37"/>
              </w:numPr>
              <w:tabs>
                <w:tab w:val="right" w:pos="7254"/>
              </w:tabs>
              <w:spacing w:before="180" w:after="180"/>
              <w:jc w:val="both"/>
            </w:pPr>
            <w:r>
              <w:rPr>
                <w:b/>
                <w:bCs/>
              </w:rPr>
              <w:t>Schedule of Projected Cash Flow</w:t>
            </w:r>
            <w:r>
              <w:t xml:space="preserve"> - should be based on the outline Programme for execution of the whole of the Works.</w:t>
            </w:r>
          </w:p>
          <w:p w14:paraId="7647E278">
            <w:pPr>
              <w:numPr>
                <w:ilvl w:val="0"/>
                <w:numId w:val="37"/>
              </w:numPr>
              <w:tabs>
                <w:tab w:val="right" w:pos="7254"/>
              </w:tabs>
              <w:spacing w:before="180" w:after="180"/>
              <w:jc w:val="both"/>
            </w:pPr>
            <w:r>
              <w:rPr>
                <w:b/>
                <w:bCs/>
              </w:rPr>
              <w:t>Schedule of Manufacturers</w:t>
            </w:r>
            <w:r>
              <w:t xml:space="preserve"> for the following key materials/equipment:</w:t>
            </w:r>
          </w:p>
          <w:p w14:paraId="3EC81187">
            <w:pPr>
              <w:numPr>
                <w:ilvl w:val="0"/>
                <w:numId w:val="38"/>
              </w:numPr>
              <w:tabs>
                <w:tab w:val="right" w:pos="7254"/>
              </w:tabs>
              <w:spacing w:before="180" w:after="180"/>
              <w:jc w:val="both"/>
            </w:pPr>
            <w:r>
              <w:t>uPVC and HDPE Water Pipes</w:t>
            </w:r>
          </w:p>
          <w:p w14:paraId="1C552C4E">
            <w:pPr>
              <w:numPr>
                <w:ilvl w:val="0"/>
                <w:numId w:val="38"/>
              </w:numPr>
              <w:tabs>
                <w:tab w:val="right" w:pos="7254"/>
              </w:tabs>
              <w:spacing w:before="180" w:after="180"/>
              <w:jc w:val="both"/>
            </w:pPr>
            <w:r>
              <w:t>Steel Sections</w:t>
            </w:r>
          </w:p>
          <w:p w14:paraId="0A917206">
            <w:pPr>
              <w:numPr>
                <w:ilvl w:val="0"/>
                <w:numId w:val="38"/>
              </w:numPr>
              <w:tabs>
                <w:tab w:val="right" w:pos="7254"/>
              </w:tabs>
              <w:spacing w:before="180" w:after="180"/>
              <w:jc w:val="both"/>
            </w:pPr>
            <w:r>
              <w:t>Reinforcement Steel</w:t>
            </w:r>
          </w:p>
          <w:p w14:paraId="08D000D0">
            <w:pPr>
              <w:numPr>
                <w:ilvl w:val="0"/>
                <w:numId w:val="38"/>
              </w:numPr>
              <w:tabs>
                <w:tab w:val="right" w:pos="7254"/>
              </w:tabs>
              <w:spacing w:before="180" w:after="180"/>
              <w:jc w:val="both"/>
            </w:pPr>
            <w:r>
              <w:t xml:space="preserve">Cement </w:t>
            </w:r>
          </w:p>
          <w:p w14:paraId="48C89977">
            <w:pPr>
              <w:tabs>
                <w:tab w:val="right" w:pos="7254"/>
              </w:tabs>
              <w:spacing w:before="180" w:after="180"/>
              <w:jc w:val="both"/>
            </w:pPr>
            <w:r>
              <w:t>For each item above the Bidder must indicate the name of the manufacturer, Country of Origin, make of the item where applicable and the standard to which the item is manufactured (ISO/EN/BS/AWWA. etc.).</w:t>
            </w:r>
          </w:p>
        </w:tc>
      </w:tr>
      <w:tr w14:paraId="6025C4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6BC35442">
            <w:pPr>
              <w:pStyle w:val="186"/>
              <w:rPr>
                <w:iCs/>
                <w:color w:val="000000"/>
                <w:lang w:val="en-US"/>
              </w:rPr>
            </w:pPr>
            <w:r>
              <w:rPr>
                <w:iCs/>
                <w:color w:val="000000"/>
                <w:lang w:val="en-US"/>
              </w:rPr>
              <w:t>ITB 11.1 (h)</w:t>
            </w:r>
          </w:p>
        </w:tc>
        <w:tc>
          <w:tcPr>
            <w:tcW w:w="7470" w:type="dxa"/>
            <w:tcBorders>
              <w:top w:val="single" w:color="000000" w:sz="2" w:space="0"/>
              <w:bottom w:val="single" w:color="000000" w:sz="2" w:space="0"/>
              <w:right w:val="single" w:color="000000" w:sz="2" w:space="0"/>
            </w:tcBorders>
          </w:tcPr>
          <w:p w14:paraId="508958D7">
            <w:pPr>
              <w:tabs>
                <w:tab w:val="right" w:pos="7254"/>
              </w:tabs>
              <w:spacing w:before="120" w:after="120"/>
              <w:rPr>
                <w:b/>
                <w:color w:val="000000" w:themeColor="text1"/>
                <w14:textFill>
                  <w14:solidFill>
                    <w14:schemeClr w14:val="tx1"/>
                  </w14:solidFill>
                </w14:textFill>
              </w:rPr>
            </w:pPr>
            <w:r>
              <w:rPr>
                <w:color w:val="000000" w:themeColor="text1"/>
                <w14:textFill>
                  <w14:solidFill>
                    <w14:schemeClr w14:val="tx1"/>
                  </w14:solidFill>
                </w14:textFill>
              </w:rPr>
              <w:t>The Bidder shall submit the following additional documents in its Bid:</w:t>
            </w:r>
          </w:p>
          <w:p w14:paraId="402213D6">
            <w:pPr>
              <w:tabs>
                <w:tab w:val="right" w:pos="4860"/>
              </w:tabs>
              <w:spacing w:before="80" w:after="80"/>
              <w:rPr>
                <w:b/>
                <w:color w:val="000000" w:themeColor="text1"/>
                <w14:textFill>
                  <w14:solidFill>
                    <w14:schemeClr w14:val="tx1"/>
                  </w14:solidFill>
                </w14:textFill>
              </w:rPr>
            </w:pPr>
            <w:r>
              <w:rPr>
                <w:b/>
                <w:color w:val="000000" w:themeColor="text1"/>
                <w14:textFill>
                  <w14:solidFill>
                    <w14:schemeClr w14:val="tx1"/>
                  </w14:solidFill>
                </w14:textFill>
              </w:rPr>
              <w:t xml:space="preserve">Code of Conduct for Contractor’s Personnel (ES) </w:t>
            </w:r>
          </w:p>
          <w:p w14:paraId="1A151199">
            <w:pPr>
              <w:spacing w:before="240"/>
              <w:jc w:val="both"/>
              <w:rPr>
                <w:color w:val="000000" w:themeColor="text1"/>
                <w14:textFill>
                  <w14:solidFill>
                    <w14:schemeClr w14:val="tx1"/>
                  </w14:solidFill>
                </w14:textFill>
              </w:rPr>
            </w:pPr>
            <w:r>
              <w:rPr>
                <w:color w:val="000000" w:themeColor="text1"/>
                <w14:textFill>
                  <w14:solidFill>
                    <w14:schemeClr w14:val="tx1"/>
                  </w14:solidFill>
                </w14:textFill>
              </w:rPr>
              <w:t xml:space="preserve">The Bidder shall submit its Code of Conduct that will apply to Contractor’s Personnel (as defined in Sub- Clause 1 (ii) of the General Conditions of Contract), to ensure compliance with the Contractor’s Environmental and Social (ES) obligations under the Contract. </w:t>
            </w:r>
          </w:p>
          <w:p w14:paraId="765FC983">
            <w:pPr>
              <w:spacing w:before="240"/>
              <w:jc w:val="both"/>
              <w:rPr>
                <w:color w:val="000000" w:themeColor="text1"/>
                <w14:textFill>
                  <w14:solidFill>
                    <w14:schemeClr w14:val="tx1"/>
                  </w14:solidFill>
                </w14:textFill>
              </w:rPr>
            </w:pPr>
            <w:r>
              <w:rPr>
                <w:color w:val="000000" w:themeColor="text1"/>
                <w14:textFill>
                  <w14:solidFill>
                    <w14:schemeClr w14:val="tx1"/>
                  </w14:solidFill>
                </w14:textFill>
              </w:rPr>
              <w:t xml:space="preserve">The Bidder shall use for this purpose the Code of Conduct form provided in Section IV.  No substantial modifications shall be made to this form, except that the Bidder may introduce additional requirements, including as necessary to take into account specific Contract issues/risks.  </w:t>
            </w:r>
          </w:p>
          <w:p w14:paraId="53C29F73">
            <w:pPr>
              <w:tabs>
                <w:tab w:val="right" w:pos="4860"/>
              </w:tabs>
              <w:spacing w:before="240" w:after="80"/>
              <w:rPr>
                <w:b/>
                <w:color w:val="000000" w:themeColor="text1"/>
                <w14:textFill>
                  <w14:solidFill>
                    <w14:schemeClr w14:val="tx1"/>
                  </w14:solidFill>
                </w14:textFill>
              </w:rPr>
            </w:pPr>
            <w:r>
              <w:rPr>
                <w:b/>
                <w:color w:val="000000" w:themeColor="text1"/>
                <w14:textFill>
                  <w14:solidFill>
                    <w14:schemeClr w14:val="tx1"/>
                  </w14:solidFill>
                </w14:textFill>
              </w:rPr>
              <w:t>Management Strategies and Implementation Plans (MSIP) to manage the (ES) risks</w:t>
            </w:r>
          </w:p>
          <w:p w14:paraId="6C6BD82A">
            <w:pPr>
              <w:tabs>
                <w:tab w:val="right" w:pos="4860"/>
              </w:tabs>
              <w:spacing w:before="80" w:after="80"/>
              <w:rPr>
                <w:i/>
                <w:color w:val="000000" w:themeColor="text1"/>
                <w14:textFill>
                  <w14:solidFill>
                    <w14:schemeClr w14:val="tx1"/>
                  </w14:solidFill>
                </w14:textFill>
              </w:rPr>
            </w:pPr>
            <w:r>
              <w:rPr>
                <w:i/>
                <w:color w:val="000000" w:themeColor="text1"/>
                <w14:textFill>
                  <w14:solidFill>
                    <w14:schemeClr w14:val="tx1"/>
                  </w14:solidFill>
                </w14:textFill>
              </w:rPr>
              <w:t xml:space="preserve">The Bidder shall submit </w:t>
            </w:r>
            <w:r>
              <w:rPr>
                <w:color w:val="000000" w:themeColor="text1"/>
                <w14:textFill>
                  <w14:solidFill>
                    <w14:schemeClr w14:val="tx1"/>
                  </w14:solidFill>
                </w14:textFill>
              </w:rPr>
              <w:t xml:space="preserve">well - costed Management Strategies and Implementation Plans (MSIPs) including the following: </w:t>
            </w:r>
          </w:p>
          <w:p w14:paraId="0050B7DA">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Sexual Exploitation, and Abuse (SEA) and Sexual Harassment (SH) prevention and response action plan</w:t>
            </w:r>
          </w:p>
          <w:p w14:paraId="33A9CB96">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Labour Influx Management Plan (LIMP) Including;</w:t>
            </w:r>
          </w:p>
          <w:p w14:paraId="13F40579">
            <w:pPr>
              <w:pStyle w:val="176"/>
              <w:numPr>
                <w:ilvl w:val="0"/>
                <w:numId w:val="40"/>
              </w:numPr>
              <w:spacing w:before="120" w:after="120"/>
              <w:ind w:left="601" w:hanging="270"/>
              <w:rPr>
                <w:color w:val="000000" w:themeColor="text1"/>
                <w14:textFill>
                  <w14:solidFill>
                    <w14:schemeClr w14:val="tx1"/>
                  </w14:solidFill>
                </w14:textFill>
              </w:rPr>
            </w:pPr>
            <w:r>
              <w:rPr>
                <w:color w:val="000000" w:themeColor="text1"/>
                <w14:textFill>
                  <w14:solidFill>
                    <w14:schemeClr w14:val="tx1"/>
                  </w14:solidFill>
                </w14:textFill>
              </w:rPr>
              <w:t>Plans/ proposals for tapping or maximizing use of labour from local workforce;</w:t>
            </w:r>
          </w:p>
          <w:p w14:paraId="1382BBDE">
            <w:pPr>
              <w:pStyle w:val="176"/>
              <w:numPr>
                <w:ilvl w:val="0"/>
                <w:numId w:val="40"/>
              </w:numPr>
              <w:spacing w:before="120" w:after="120"/>
              <w:ind w:left="601" w:hanging="270"/>
              <w:rPr>
                <w:color w:val="000000" w:themeColor="text1"/>
                <w14:textFill>
                  <w14:solidFill>
                    <w14:schemeClr w14:val="tx1"/>
                  </w14:solidFill>
                </w14:textFill>
              </w:rPr>
            </w:pPr>
            <w:r>
              <w:rPr>
                <w:color w:val="000000" w:themeColor="text1"/>
                <w14:textFill>
                  <w14:solidFill>
                    <w14:schemeClr w14:val="tx1"/>
                  </w14:solidFill>
                </w14:textFill>
              </w:rPr>
              <w:t>Proposals for worker camp site locations and amenities to be provided to workers within and without camps with the objectives of minimizing labour influx to the local community;</w:t>
            </w:r>
          </w:p>
          <w:p w14:paraId="196DDD03">
            <w:pPr>
              <w:pStyle w:val="176"/>
              <w:numPr>
                <w:ilvl w:val="0"/>
                <w:numId w:val="40"/>
              </w:numPr>
              <w:spacing w:before="120" w:after="120"/>
              <w:ind w:left="601" w:hanging="270"/>
              <w:rPr>
                <w:color w:val="000000" w:themeColor="text1"/>
                <w14:textFill>
                  <w14:solidFill>
                    <w14:schemeClr w14:val="tx1"/>
                  </w14:solidFill>
                </w14:textFill>
              </w:rPr>
            </w:pPr>
            <w:r>
              <w:rPr>
                <w:color w:val="000000" w:themeColor="text1"/>
                <w14:textFill>
                  <w14:solidFill>
                    <w14:schemeClr w14:val="tx1"/>
                  </w14:solidFill>
                </w14:textFill>
              </w:rPr>
              <w:t>Provision of equally working opportunities for both men and women;</w:t>
            </w:r>
          </w:p>
          <w:p w14:paraId="26C479C2">
            <w:pPr>
              <w:pStyle w:val="176"/>
              <w:numPr>
                <w:ilvl w:val="0"/>
                <w:numId w:val="40"/>
              </w:numPr>
              <w:spacing w:before="120" w:after="120"/>
              <w:ind w:left="601" w:hanging="270"/>
              <w:rPr>
                <w:color w:val="000000" w:themeColor="text1"/>
                <w14:textFill>
                  <w14:solidFill>
                    <w14:schemeClr w14:val="tx1"/>
                  </w14:solidFill>
                </w14:textFill>
              </w:rPr>
            </w:pPr>
            <w:r>
              <w:rPr>
                <w:color w:val="000000" w:themeColor="text1"/>
                <w14:textFill>
                  <w14:solidFill>
                    <w14:schemeClr w14:val="tx1"/>
                  </w14:solidFill>
                </w14:textFill>
              </w:rPr>
              <w:t>Provision for signing of worker code of conduct as part of employment contracts &amp; including sanctions for non-compliance;</w:t>
            </w:r>
          </w:p>
          <w:p w14:paraId="5A7FCDC2">
            <w:pPr>
              <w:pStyle w:val="176"/>
              <w:numPr>
                <w:ilvl w:val="0"/>
                <w:numId w:val="40"/>
              </w:numPr>
              <w:spacing w:before="120" w:after="120"/>
              <w:ind w:left="601" w:hanging="270"/>
              <w:rPr>
                <w:color w:val="000000" w:themeColor="text1"/>
                <w14:textFill>
                  <w14:solidFill>
                    <w14:schemeClr w14:val="tx1"/>
                  </w14:solidFill>
                </w14:textFill>
              </w:rPr>
            </w:pPr>
            <w:r>
              <w:rPr>
                <w:color w:val="000000" w:themeColor="text1"/>
                <w14:textFill>
                  <w14:solidFill>
                    <w14:schemeClr w14:val="tx1"/>
                  </w14:solidFill>
                </w14:textFill>
              </w:rPr>
              <w:t>Plans/ proposals for mandatory compliance with, or enforcement of, environmental, social, health and safety requirements including worker training/ awareness on unacceptable conduct toward local community, specifically women, and national laws that make sexual harassment and gender-based violence a punishable offence that is prosecuted.</w:t>
            </w:r>
          </w:p>
          <w:p w14:paraId="740573D9">
            <w:pPr>
              <w:pStyle w:val="176"/>
              <w:numPr>
                <w:ilvl w:val="0"/>
                <w:numId w:val="40"/>
              </w:numPr>
              <w:spacing w:before="120" w:after="120"/>
              <w:ind w:left="601" w:hanging="270"/>
              <w:rPr>
                <w:color w:val="000000" w:themeColor="text1"/>
                <w14:textFill>
                  <w14:solidFill>
                    <w14:schemeClr w14:val="tx1"/>
                  </w14:solidFill>
                </w14:textFill>
              </w:rPr>
            </w:pPr>
            <w:r>
              <w:rPr>
                <w:color w:val="000000" w:themeColor="text1"/>
                <w14:textFill>
                  <w14:solidFill>
                    <w14:schemeClr w14:val="tx1"/>
                  </w14:solidFill>
                </w14:textFill>
              </w:rPr>
              <w:t>Plans for monitoring and supervision of issues related to labour influx and workers’ camp</w:t>
            </w:r>
          </w:p>
          <w:p w14:paraId="103A4D03">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Stakeholder Engagement Plan (SEP)</w:t>
            </w:r>
          </w:p>
          <w:p w14:paraId="27A92543">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Grievance Redress Mechanism (GRM)</w:t>
            </w:r>
          </w:p>
          <w:p w14:paraId="1F074585">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Child Protection Strategy</w:t>
            </w:r>
          </w:p>
          <w:p w14:paraId="7502D269">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Traffic Management Plan to ensure safety of local communities from construction traffic;</w:t>
            </w:r>
          </w:p>
          <w:p w14:paraId="084EF0D9">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Workers and Community Health and Safety Management Plan to ensure that community hazards during construction, operations, and decommissioning are avoided and/or mitigated</w:t>
            </w:r>
          </w:p>
          <w:p w14:paraId="577A5B1F">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Water Resource Protection Plan to prevent contamination of drinking water;</w:t>
            </w:r>
          </w:p>
          <w:p w14:paraId="0C068723">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Waste Management Plan for management of hazardous and non-hazardous wastes</w:t>
            </w:r>
          </w:p>
          <w:p w14:paraId="717AF924">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Excessive noise, vibrations and air pollution;</w:t>
            </w:r>
          </w:p>
          <w:p w14:paraId="15B4D976">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Strategy for obtaining Consents/Permits prior to the start of relevant works such as opening a quarry or borrow pit and identification of dump areas for surplus excavated material;</w:t>
            </w:r>
          </w:p>
          <w:p w14:paraId="6CAC8A9B">
            <w:pPr>
              <w:pStyle w:val="176"/>
              <w:numPr>
                <w:ilvl w:val="0"/>
                <w:numId w:val="39"/>
              </w:numPr>
              <w:spacing w:before="120" w:after="120"/>
              <w:ind w:left="681" w:hanging="540"/>
              <w:rPr>
                <w:color w:val="000000" w:themeColor="text1"/>
                <w14:textFill>
                  <w14:solidFill>
                    <w14:schemeClr w14:val="tx1"/>
                  </w14:solidFill>
                </w14:textFill>
              </w:rPr>
            </w:pPr>
            <w:r>
              <w:rPr>
                <w:color w:val="000000" w:themeColor="text1"/>
                <w14:textFill>
                  <w14:solidFill>
                    <w14:schemeClr w14:val="tx1"/>
                  </w14:solidFill>
                </w14:textFill>
              </w:rPr>
              <w:t>Security management plan</w:t>
            </w:r>
          </w:p>
          <w:p w14:paraId="01D193F5">
            <w:pPr>
              <w:pStyle w:val="176"/>
              <w:numPr>
                <w:ilvl w:val="0"/>
                <w:numId w:val="39"/>
              </w:numPr>
              <w:spacing w:before="120" w:after="120"/>
              <w:ind w:left="681" w:hanging="540"/>
              <w:rPr>
                <w:i/>
                <w:color w:val="000000"/>
              </w:rPr>
            </w:pPr>
            <w:r>
              <w:rPr>
                <w:color w:val="000000" w:themeColor="text1"/>
                <w14:textFill>
                  <w14:solidFill>
                    <w14:schemeClr w14:val="tx1"/>
                  </w14:solidFill>
                </w14:textFill>
              </w:rPr>
              <w:t>Grievance management (project workers)</w:t>
            </w:r>
          </w:p>
        </w:tc>
      </w:tr>
      <w:tr w14:paraId="49F5F9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2400B306">
            <w:pPr>
              <w:tabs>
                <w:tab w:val="right" w:pos="7434"/>
              </w:tabs>
              <w:spacing w:before="180" w:after="180"/>
              <w:rPr>
                <w:b/>
              </w:rPr>
            </w:pPr>
            <w:r>
              <w:rPr>
                <w:b/>
              </w:rPr>
              <w:t>ITB 13.1</w:t>
            </w:r>
          </w:p>
        </w:tc>
        <w:tc>
          <w:tcPr>
            <w:tcW w:w="7470" w:type="dxa"/>
            <w:tcBorders>
              <w:top w:val="single" w:color="000000" w:sz="2" w:space="0"/>
              <w:bottom w:val="single" w:color="000000" w:sz="2" w:space="0"/>
              <w:right w:val="single" w:color="000000" w:sz="2" w:space="0"/>
            </w:tcBorders>
          </w:tcPr>
          <w:p w14:paraId="49E0A3BA">
            <w:pPr>
              <w:tabs>
                <w:tab w:val="right" w:pos="4860"/>
              </w:tabs>
              <w:spacing w:before="80" w:after="80"/>
              <w:rPr>
                <w:b/>
                <w:bCs/>
              </w:rPr>
            </w:pPr>
            <w:r>
              <w:rPr>
                <w:iCs/>
              </w:rPr>
              <w:t>Alternative</w:t>
            </w:r>
            <w:r>
              <w:t xml:space="preserve"> bids </w:t>
            </w:r>
            <w:r>
              <w:rPr>
                <w:b/>
                <w:i/>
              </w:rPr>
              <w:t>shall not be</w:t>
            </w:r>
            <w:r>
              <w:rPr>
                <w:i/>
              </w:rPr>
              <w:t xml:space="preserve"> </w:t>
            </w:r>
            <w:r>
              <w:t>permitted.</w:t>
            </w:r>
          </w:p>
        </w:tc>
      </w:tr>
      <w:tr w14:paraId="2ADFA7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7C6DAE4B">
            <w:pPr>
              <w:tabs>
                <w:tab w:val="right" w:pos="7434"/>
              </w:tabs>
              <w:spacing w:before="180" w:after="180"/>
              <w:rPr>
                <w:b/>
              </w:rPr>
            </w:pPr>
            <w:r>
              <w:rPr>
                <w:b/>
              </w:rPr>
              <w:t>ITB 13.2</w:t>
            </w:r>
          </w:p>
        </w:tc>
        <w:tc>
          <w:tcPr>
            <w:tcW w:w="7470" w:type="dxa"/>
            <w:tcBorders>
              <w:top w:val="single" w:color="000000" w:sz="2" w:space="0"/>
              <w:bottom w:val="single" w:color="000000" w:sz="2" w:space="0"/>
              <w:right w:val="single" w:color="000000" w:sz="2" w:space="0"/>
            </w:tcBorders>
          </w:tcPr>
          <w:p w14:paraId="0A1D8E10">
            <w:pPr>
              <w:tabs>
                <w:tab w:val="right" w:pos="4860"/>
              </w:tabs>
              <w:spacing w:before="80" w:after="80"/>
              <w:rPr>
                <w:iCs/>
              </w:rPr>
            </w:pPr>
            <w:r>
              <w:rPr>
                <w:iCs/>
              </w:rPr>
              <w:t>Alternative times for completion</w:t>
            </w:r>
            <w:r>
              <w:rPr>
                <w:b/>
                <w:i/>
              </w:rPr>
              <w:t xml:space="preserve"> shall not be</w:t>
            </w:r>
            <w:r>
              <w:rPr>
                <w:i/>
              </w:rPr>
              <w:t xml:space="preserve"> </w:t>
            </w:r>
            <w:r>
              <w:rPr>
                <w:iCs/>
              </w:rPr>
              <w:t>permitted.</w:t>
            </w:r>
          </w:p>
        </w:tc>
      </w:tr>
      <w:tr w14:paraId="7402892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612C68E0">
            <w:pPr>
              <w:tabs>
                <w:tab w:val="right" w:pos="7434"/>
              </w:tabs>
              <w:spacing w:before="180" w:after="180"/>
              <w:rPr>
                <w:b/>
                <w:iCs/>
              </w:rPr>
            </w:pPr>
            <w:r>
              <w:rPr>
                <w:b/>
                <w:iCs/>
              </w:rPr>
              <w:t>ITB 13.4</w:t>
            </w:r>
          </w:p>
        </w:tc>
        <w:tc>
          <w:tcPr>
            <w:tcW w:w="7470" w:type="dxa"/>
            <w:tcBorders>
              <w:top w:val="single" w:color="000000" w:sz="2" w:space="0"/>
              <w:bottom w:val="single" w:color="000000" w:sz="2" w:space="0"/>
              <w:right w:val="single" w:color="000000" w:sz="2" w:space="0"/>
            </w:tcBorders>
          </w:tcPr>
          <w:p w14:paraId="0BC7332A">
            <w:pPr>
              <w:tabs>
                <w:tab w:val="right" w:pos="4860"/>
              </w:tabs>
              <w:spacing w:before="80" w:after="80"/>
              <w:rPr>
                <w:b/>
                <w:iCs/>
              </w:rPr>
            </w:pPr>
            <w:r>
              <w:rPr>
                <w:iCs/>
              </w:rPr>
              <w:t xml:space="preserve">Alternative technical solutions shall be permitted for the following parts of the Works: </w:t>
            </w:r>
            <w:r>
              <w:rPr>
                <w:b/>
                <w:iCs/>
              </w:rPr>
              <w:t>None</w:t>
            </w:r>
          </w:p>
        </w:tc>
      </w:tr>
      <w:tr w14:paraId="345F219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20558906">
            <w:pPr>
              <w:tabs>
                <w:tab w:val="right" w:pos="7434"/>
              </w:tabs>
              <w:spacing w:before="180" w:after="180"/>
              <w:rPr>
                <w:b/>
              </w:rPr>
            </w:pPr>
            <w:r>
              <w:rPr>
                <w:b/>
              </w:rPr>
              <w:t>ITB 14.5</w:t>
            </w:r>
          </w:p>
        </w:tc>
        <w:tc>
          <w:tcPr>
            <w:tcW w:w="7470" w:type="dxa"/>
            <w:tcBorders>
              <w:top w:val="single" w:color="000000" w:sz="2" w:space="0"/>
              <w:bottom w:val="single" w:color="000000" w:sz="2" w:space="0"/>
              <w:right w:val="single" w:color="000000" w:sz="2" w:space="0"/>
            </w:tcBorders>
          </w:tcPr>
          <w:p w14:paraId="0C766075">
            <w:pPr>
              <w:tabs>
                <w:tab w:val="right" w:pos="4860"/>
              </w:tabs>
              <w:spacing w:before="80" w:after="80"/>
              <w:rPr>
                <w:b/>
              </w:rPr>
            </w:pPr>
            <w:r>
              <w:t xml:space="preserve">The </w:t>
            </w:r>
            <w:r>
              <w:rPr>
                <w:iCs/>
              </w:rPr>
              <w:t>prices</w:t>
            </w:r>
            <w:r>
              <w:t xml:space="preserve"> quoted by the Bidder </w:t>
            </w:r>
            <w:r>
              <w:rPr>
                <w:i/>
              </w:rPr>
              <w:t xml:space="preserve">shall NOT be </w:t>
            </w:r>
            <w:r>
              <w:t xml:space="preserve">subject to adjustment during the </w:t>
            </w:r>
            <w:r>
              <w:rPr>
                <w:iCs/>
              </w:rPr>
              <w:t>performance</w:t>
            </w:r>
            <w:r>
              <w:t xml:space="preserve"> of the Contract.  </w:t>
            </w:r>
          </w:p>
        </w:tc>
      </w:tr>
      <w:tr w14:paraId="2C59BF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0" w:hRule="atLeast"/>
          <w:jc w:val="center"/>
        </w:trPr>
        <w:tc>
          <w:tcPr>
            <w:tcW w:w="1620" w:type="dxa"/>
            <w:tcBorders>
              <w:top w:val="single" w:color="000000" w:sz="2" w:space="0"/>
              <w:left w:val="single" w:color="000000" w:sz="2" w:space="0"/>
              <w:bottom w:val="single" w:color="000000" w:sz="2" w:space="0"/>
              <w:right w:val="single" w:color="000000" w:sz="2" w:space="0"/>
            </w:tcBorders>
          </w:tcPr>
          <w:p w14:paraId="4098D428">
            <w:pPr>
              <w:tabs>
                <w:tab w:val="right" w:pos="7434"/>
              </w:tabs>
              <w:spacing w:before="180" w:after="180"/>
            </w:pPr>
            <w:r>
              <w:rPr>
                <w:b/>
              </w:rPr>
              <w:t>ITB 15.1</w:t>
            </w:r>
          </w:p>
        </w:tc>
        <w:tc>
          <w:tcPr>
            <w:tcW w:w="7470" w:type="dxa"/>
            <w:tcBorders>
              <w:top w:val="single" w:color="000000" w:sz="2" w:space="0"/>
              <w:left w:val="single" w:color="000000" w:sz="2" w:space="0"/>
              <w:bottom w:val="single" w:color="000000" w:sz="2" w:space="0"/>
              <w:right w:val="single" w:color="000000" w:sz="2" w:space="0"/>
            </w:tcBorders>
          </w:tcPr>
          <w:p w14:paraId="2784CA83">
            <w:pPr>
              <w:tabs>
                <w:tab w:val="right" w:pos="4860"/>
              </w:tabs>
              <w:spacing w:before="80" w:after="80"/>
              <w:rPr>
                <w:i/>
              </w:rPr>
            </w:pPr>
            <w:r>
              <w:t>The prices shall be quoted by the bidder in</w:t>
            </w:r>
            <w:r>
              <w:rPr>
                <w:b/>
                <w:bCs/>
                <w:i/>
              </w:rPr>
              <w:t xml:space="preserve"> Kenyan Shillings</w:t>
            </w:r>
          </w:p>
        </w:tc>
      </w:tr>
      <w:tr w14:paraId="5ADB9CA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trHeight w:val="382" w:hRule="atLeast"/>
          <w:jc w:val="center"/>
        </w:trPr>
        <w:tc>
          <w:tcPr>
            <w:tcW w:w="1620" w:type="dxa"/>
            <w:tcBorders>
              <w:top w:val="single" w:color="000000" w:sz="2" w:space="0"/>
              <w:left w:val="single" w:color="000000" w:sz="2" w:space="0"/>
              <w:bottom w:val="single" w:color="000000" w:sz="2" w:space="0"/>
            </w:tcBorders>
          </w:tcPr>
          <w:p w14:paraId="0A046B03">
            <w:pPr>
              <w:tabs>
                <w:tab w:val="right" w:pos="7434"/>
              </w:tabs>
              <w:spacing w:before="180" w:after="180"/>
              <w:rPr>
                <w:b/>
              </w:rPr>
            </w:pPr>
            <w:r>
              <w:rPr>
                <w:b/>
              </w:rPr>
              <w:t>ITB 18.1</w:t>
            </w:r>
          </w:p>
        </w:tc>
        <w:tc>
          <w:tcPr>
            <w:tcW w:w="7470" w:type="dxa"/>
            <w:tcBorders>
              <w:top w:val="single" w:color="000000" w:sz="2" w:space="0"/>
              <w:bottom w:val="single" w:color="000000" w:sz="2" w:space="0"/>
              <w:right w:val="single" w:color="000000" w:sz="2" w:space="0"/>
            </w:tcBorders>
          </w:tcPr>
          <w:p w14:paraId="668A1885">
            <w:pPr>
              <w:tabs>
                <w:tab w:val="right" w:pos="4860"/>
              </w:tabs>
              <w:spacing w:before="80" w:after="80"/>
              <w:rPr>
                <w:b/>
                <w:i/>
                <w:color w:val="000000" w:themeColor="text1"/>
                <w14:textFill>
                  <w14:solidFill>
                    <w14:schemeClr w14:val="tx1"/>
                  </w14:solidFill>
                </w14:textFill>
              </w:rPr>
            </w:pPr>
            <w:r>
              <w:t xml:space="preserve">The bid </w:t>
            </w:r>
            <w:r>
              <w:rPr>
                <w:iCs/>
              </w:rPr>
              <w:t>validity</w:t>
            </w:r>
            <w:r>
              <w:t xml:space="preserve"> period shall be </w:t>
            </w:r>
            <w:r>
              <w:rPr>
                <w:b/>
                <w:i/>
              </w:rPr>
              <w:t>1</w:t>
            </w:r>
            <w:r>
              <w:rPr>
                <w:rFonts w:hint="default"/>
                <w:b/>
                <w:i/>
                <w:lang w:val="en-US"/>
              </w:rPr>
              <w:t>19</w:t>
            </w:r>
            <w:r>
              <w:t xml:space="preserve"> days.</w:t>
            </w:r>
          </w:p>
        </w:tc>
      </w:tr>
      <w:tr w14:paraId="4DD7B7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36149F0F">
            <w:pPr>
              <w:tabs>
                <w:tab w:val="right" w:pos="7434"/>
              </w:tabs>
              <w:spacing w:before="180" w:after="180"/>
              <w:rPr>
                <w:b/>
              </w:rPr>
            </w:pPr>
            <w:r>
              <w:rPr>
                <w:b/>
              </w:rPr>
              <w:t>ITB 18.3 (a)</w:t>
            </w:r>
          </w:p>
        </w:tc>
        <w:tc>
          <w:tcPr>
            <w:tcW w:w="7470" w:type="dxa"/>
            <w:tcBorders>
              <w:top w:val="single" w:color="000000" w:sz="2" w:space="0"/>
              <w:bottom w:val="single" w:color="000000" w:sz="2" w:space="0"/>
              <w:right w:val="single" w:color="000000" w:sz="2" w:space="0"/>
            </w:tcBorders>
          </w:tcPr>
          <w:p w14:paraId="7ED5096E">
            <w:pPr>
              <w:tabs>
                <w:tab w:val="right" w:pos="4860"/>
              </w:tabs>
              <w:spacing w:before="80" w:after="80"/>
            </w:pPr>
            <w:r>
              <w:t xml:space="preserve">The bid </w:t>
            </w:r>
            <w:r>
              <w:rPr>
                <w:iCs/>
              </w:rPr>
              <w:t>price</w:t>
            </w:r>
            <w:r>
              <w:t xml:space="preserve"> shall be adjusted by the following factor(s):</w:t>
            </w:r>
            <w:r>
              <w:rPr>
                <w:b/>
              </w:rPr>
              <w:t xml:space="preserve"> Not Applicable</w:t>
            </w:r>
          </w:p>
        </w:tc>
      </w:tr>
      <w:tr w14:paraId="47ED76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67AA4A8E">
            <w:pPr>
              <w:tabs>
                <w:tab w:val="right" w:pos="7434"/>
              </w:tabs>
              <w:spacing w:before="180" w:after="180"/>
              <w:rPr>
                <w:b/>
              </w:rPr>
            </w:pPr>
            <w:r>
              <w:rPr>
                <w:b/>
              </w:rPr>
              <w:t>ITB 19.1</w:t>
            </w:r>
          </w:p>
          <w:p w14:paraId="0AFB26B8">
            <w:pPr>
              <w:tabs>
                <w:tab w:val="right" w:pos="7434"/>
              </w:tabs>
              <w:spacing w:before="180" w:after="180"/>
              <w:rPr>
                <w:b/>
              </w:rPr>
            </w:pPr>
          </w:p>
        </w:tc>
        <w:tc>
          <w:tcPr>
            <w:tcW w:w="7470" w:type="dxa"/>
            <w:tcBorders>
              <w:top w:val="single" w:color="000000" w:sz="2" w:space="0"/>
              <w:bottom w:val="single" w:color="000000" w:sz="2" w:space="0"/>
              <w:right w:val="single" w:color="000000" w:sz="2" w:space="0"/>
            </w:tcBorders>
          </w:tcPr>
          <w:p w14:paraId="7DE8E9D4">
            <w:pPr>
              <w:tabs>
                <w:tab w:val="right" w:pos="7254"/>
              </w:tabs>
              <w:spacing w:before="60" w:line="276" w:lineRule="auto"/>
            </w:pPr>
            <w:r>
              <w:t xml:space="preserve">A </w:t>
            </w:r>
            <w:r>
              <w:rPr>
                <w:i/>
              </w:rPr>
              <w:t xml:space="preserve">Bid Security in form of a Bank Guarantee </w:t>
            </w:r>
            <w:r>
              <w:rPr>
                <w:b/>
                <w:i/>
              </w:rPr>
              <w:t>shall be</w:t>
            </w:r>
            <w:r>
              <w:t xml:space="preserve"> required. </w:t>
            </w:r>
          </w:p>
          <w:p w14:paraId="6B5F5F33">
            <w:pPr>
              <w:tabs>
                <w:tab w:val="right" w:pos="7254"/>
              </w:tabs>
            </w:pPr>
            <w:r>
              <w:t xml:space="preserve"> </w:t>
            </w:r>
          </w:p>
          <w:p w14:paraId="44D42B07">
            <w:pPr>
              <w:tabs>
                <w:tab w:val="right" w:pos="7254"/>
              </w:tabs>
            </w:pPr>
            <w:r>
              <w:t xml:space="preserve">A Bid-Securing Declaration </w:t>
            </w:r>
            <w:r>
              <w:rPr>
                <w:b/>
                <w:bCs/>
                <w:i/>
              </w:rPr>
              <w:t xml:space="preserve">shall not be </w:t>
            </w:r>
            <w:r>
              <w:t>required.</w:t>
            </w:r>
          </w:p>
          <w:p w14:paraId="1A837CFE">
            <w:pPr>
              <w:tabs>
                <w:tab w:val="right" w:pos="7254"/>
              </w:tabs>
            </w:pPr>
          </w:p>
          <w:p w14:paraId="6511B83C">
            <w:pPr>
              <w:keepNext w:val="0"/>
              <w:keepLines w:val="0"/>
              <w:widowControl/>
              <w:suppressLineNumbers w:val="0"/>
              <w:jc w:val="left"/>
            </w:pPr>
            <w:r>
              <w:rPr>
                <w:iCs/>
              </w:rPr>
              <w:t xml:space="preserve">If a Bid Security shall be required, the amount and currency of the bid security shall be </w:t>
            </w:r>
            <w:r>
              <w:rPr>
                <w:b/>
                <w:iCs/>
                <w:highlight w:val="none"/>
              </w:rPr>
              <w:t>Kshs.1</w:t>
            </w:r>
            <w:r>
              <w:rPr>
                <w:rFonts w:hint="default"/>
                <w:b/>
                <w:iCs/>
                <w:highlight w:val="none"/>
                <w:lang w:val="en-US"/>
              </w:rPr>
              <w:t>1</w:t>
            </w:r>
            <w:r>
              <w:rPr>
                <w:b/>
                <w:iCs/>
                <w:highlight w:val="none"/>
              </w:rPr>
              <w:t>,</w:t>
            </w:r>
            <w:r>
              <w:rPr>
                <w:rFonts w:hint="default"/>
                <w:b/>
                <w:iCs/>
                <w:highlight w:val="none"/>
                <w:lang w:val="en-US"/>
              </w:rPr>
              <w:t>4</w:t>
            </w:r>
            <w:r>
              <w:rPr>
                <w:b/>
                <w:iCs/>
                <w:highlight w:val="none"/>
              </w:rPr>
              <w:t xml:space="preserve">00,000.00 (Kenya Shillings </w:t>
            </w:r>
            <w:r>
              <w:rPr>
                <w:rFonts w:hint="default"/>
                <w:b/>
                <w:iCs/>
                <w:highlight w:val="none"/>
                <w:lang w:val="en-US"/>
              </w:rPr>
              <w:t>Eleven</w:t>
            </w:r>
            <w:r>
              <w:rPr>
                <w:b/>
                <w:iCs/>
                <w:highlight w:val="none"/>
              </w:rPr>
              <w:t xml:space="preserve"> Million</w:t>
            </w:r>
            <w:r>
              <w:rPr>
                <w:rFonts w:hint="default"/>
                <w:b/>
                <w:iCs/>
                <w:highlight w:val="none"/>
                <w:lang w:val="en-US"/>
              </w:rPr>
              <w:t>,Four Hundred Thousand</w:t>
            </w:r>
            <w:r>
              <w:rPr>
                <w:b/>
                <w:iCs/>
                <w:highlight w:val="none"/>
              </w:rPr>
              <w:t xml:space="preserve"> Shillings only)</w:t>
            </w:r>
            <w:r>
              <w:rPr>
                <w:iCs/>
                <w:highlight w:val="none"/>
              </w:rPr>
              <w:t>.</w:t>
            </w:r>
            <w:r>
              <w:rPr>
                <w:rFonts w:hint="default" w:ascii="Times New Roman" w:hAnsi="Times New Roman" w:eastAsia="SimSun" w:cs="Times New Roman"/>
                <w:color w:val="000000"/>
                <w:kern w:val="0"/>
                <w:sz w:val="24"/>
                <w:szCs w:val="24"/>
                <w:lang w:val="en-US" w:eastAsia="zh-CN" w:bidi="ar"/>
              </w:rPr>
              <w:t xml:space="preserve">or </w:t>
            </w:r>
          </w:p>
          <w:p w14:paraId="3F5FF81A">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equivalent in a freely convertible currency. </w:t>
            </w:r>
          </w:p>
          <w:p w14:paraId="437365C9">
            <w:pPr>
              <w:keepNext w:val="0"/>
              <w:keepLines w:val="0"/>
              <w:widowControl/>
              <w:suppressLineNumbers w:val="0"/>
              <w:jc w:val="left"/>
              <w:rPr>
                <w:rFonts w:hint="default" w:ascii="Times New Roman" w:hAnsi="Times New Roman" w:eastAsia="SimSun" w:cs="Times New Roman"/>
                <w:color w:val="000000"/>
                <w:kern w:val="0"/>
                <w:sz w:val="24"/>
                <w:szCs w:val="24"/>
                <w:lang w:val="en-US" w:eastAsia="zh-CN" w:bidi="ar"/>
              </w:rPr>
            </w:pPr>
            <w:r>
              <w:rPr>
                <w:rFonts w:hint="default" w:ascii="Times New Roman" w:hAnsi="Times New Roman" w:eastAsia="SimSun" w:cs="Times New Roman"/>
                <w:color w:val="000000"/>
                <w:kern w:val="0"/>
                <w:sz w:val="24"/>
                <w:szCs w:val="24"/>
                <w:lang w:val="en-US" w:eastAsia="zh-CN" w:bidi="ar"/>
              </w:rPr>
              <w:t xml:space="preserve">The bid security shall be a demand guarantee in the following form: </w:t>
            </w:r>
          </w:p>
          <w:p w14:paraId="12372020">
            <w:pPr>
              <w:keepNext w:val="0"/>
              <w:keepLines w:val="0"/>
              <w:widowControl/>
              <w:suppressLineNumbers w:val="0"/>
              <w:jc w:val="left"/>
              <w:rPr>
                <w:rFonts w:hint="default" w:ascii="Times New Roman" w:hAnsi="Times New Roman" w:eastAsia="SimSun" w:cs="Times New Roman"/>
                <w:color w:val="000000"/>
                <w:kern w:val="0"/>
                <w:sz w:val="24"/>
                <w:szCs w:val="24"/>
                <w:lang w:val="en-US" w:eastAsia="zh-CN" w:bidi="ar"/>
              </w:rPr>
            </w:pPr>
          </w:p>
          <w:p w14:paraId="597567BA">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An Unconditional On-Demand Guarantee issued by a reputable bank from </w:t>
            </w:r>
          </w:p>
          <w:p w14:paraId="4BEA05C8">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an eligible country. The bid security shall be submitted either using the Bid </w:t>
            </w:r>
          </w:p>
          <w:p w14:paraId="1F62F047">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Security Form included in Section IV, Bidding Forms, or in another </w:t>
            </w:r>
          </w:p>
          <w:p w14:paraId="3C597AB0">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substantially similar format approved by the Employer prior to bid </w:t>
            </w:r>
          </w:p>
          <w:p w14:paraId="73518600">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submission. The bid security shall be valid for twenty-eight (28) days </w:t>
            </w:r>
          </w:p>
          <w:p w14:paraId="4F67CD6A">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beyond the original validity period of the bid, or beyond any period of </w:t>
            </w:r>
          </w:p>
          <w:p w14:paraId="6F026156">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extension if requested under ITB 18.2” </w:t>
            </w:r>
          </w:p>
          <w:p w14:paraId="7CB635AA">
            <w:pPr>
              <w:pStyle w:val="69"/>
              <w:numPr>
                <w:ilvl w:val="0"/>
                <w:numId w:val="0"/>
              </w:numPr>
              <w:spacing w:after="240"/>
              <w:rPr>
                <w:iCs/>
                <w:highlight w:val="none"/>
              </w:rPr>
            </w:pPr>
          </w:p>
        </w:tc>
      </w:tr>
      <w:tr w14:paraId="0EC9C9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7BED3F20">
            <w:pPr>
              <w:tabs>
                <w:tab w:val="right" w:pos="7434"/>
              </w:tabs>
              <w:spacing w:before="180" w:after="180"/>
              <w:rPr>
                <w:b/>
              </w:rPr>
            </w:pPr>
            <w:r>
              <w:rPr>
                <w:b/>
              </w:rPr>
              <w:t>ITB 19.3 (d)</w:t>
            </w:r>
          </w:p>
        </w:tc>
        <w:tc>
          <w:tcPr>
            <w:tcW w:w="7470" w:type="dxa"/>
            <w:tcBorders>
              <w:top w:val="single" w:color="000000" w:sz="2" w:space="0"/>
              <w:bottom w:val="single" w:color="000000" w:sz="2" w:space="0"/>
              <w:right w:val="single" w:color="000000" w:sz="2" w:space="0"/>
            </w:tcBorders>
          </w:tcPr>
          <w:p w14:paraId="350EAB2E">
            <w:pPr>
              <w:tabs>
                <w:tab w:val="right" w:pos="7254"/>
              </w:tabs>
              <w:spacing w:before="60" w:after="60"/>
            </w:pPr>
            <w:r>
              <w:t xml:space="preserve">Other types of acceptable securities: </w:t>
            </w:r>
            <w:r>
              <w:rPr>
                <w:b/>
                <w:bCs/>
              </w:rPr>
              <w:t>None</w:t>
            </w:r>
          </w:p>
        </w:tc>
      </w:tr>
      <w:tr w14:paraId="1DC5A4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6E3D1ECF">
            <w:pPr>
              <w:tabs>
                <w:tab w:val="right" w:pos="7434"/>
              </w:tabs>
              <w:spacing w:before="180" w:after="180"/>
              <w:rPr>
                <w:b/>
              </w:rPr>
            </w:pPr>
          </w:p>
        </w:tc>
        <w:tc>
          <w:tcPr>
            <w:tcW w:w="7470" w:type="dxa"/>
            <w:tcBorders>
              <w:top w:val="single" w:color="000000" w:sz="2" w:space="0"/>
              <w:bottom w:val="single" w:color="000000" w:sz="2" w:space="0"/>
              <w:right w:val="single" w:color="000000" w:sz="2" w:space="0"/>
            </w:tcBorders>
          </w:tcPr>
          <w:p w14:paraId="11EF20AF">
            <w:pPr>
              <w:tabs>
                <w:tab w:val="right" w:pos="7254"/>
              </w:tabs>
              <w:spacing w:before="180" w:after="180"/>
            </w:pPr>
          </w:p>
        </w:tc>
      </w:tr>
      <w:tr w14:paraId="1376531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423375B1">
            <w:pPr>
              <w:tabs>
                <w:tab w:val="right" w:pos="7434"/>
              </w:tabs>
              <w:spacing w:before="180" w:after="180"/>
              <w:rPr>
                <w:b/>
              </w:rPr>
            </w:pPr>
            <w:r>
              <w:rPr>
                <w:b/>
              </w:rPr>
              <w:t>ITB 20.1</w:t>
            </w:r>
          </w:p>
        </w:tc>
        <w:tc>
          <w:tcPr>
            <w:tcW w:w="7470" w:type="dxa"/>
            <w:tcBorders>
              <w:top w:val="single" w:color="000000" w:sz="2" w:space="0"/>
              <w:bottom w:val="single" w:color="000000" w:sz="2" w:space="0"/>
              <w:right w:val="single" w:color="000000" w:sz="2" w:space="0"/>
            </w:tcBorders>
          </w:tcPr>
          <w:p w14:paraId="4B36E184">
            <w:pPr>
              <w:tabs>
                <w:tab w:val="right" w:pos="7254"/>
              </w:tabs>
              <w:spacing w:before="180" w:after="180"/>
            </w:pPr>
            <w:r>
              <w:t xml:space="preserve">In addition to the original of the bid, the number of copies is: </w:t>
            </w:r>
            <w:r>
              <w:rPr>
                <w:rFonts w:hint="default"/>
                <w:b/>
                <w:lang w:val="en-US"/>
              </w:rPr>
              <w:t>One</w:t>
            </w:r>
            <w:r>
              <w:rPr>
                <w:b/>
              </w:rPr>
              <w:t xml:space="preserve"> (</w:t>
            </w:r>
            <w:r>
              <w:rPr>
                <w:rFonts w:hint="default"/>
                <w:b/>
                <w:lang w:val="en-US"/>
              </w:rPr>
              <w:t>1</w:t>
            </w:r>
            <w:r>
              <w:rPr>
                <w:b/>
              </w:rPr>
              <w:t>)</w:t>
            </w:r>
            <w:r>
              <w:t xml:space="preserve"> </w:t>
            </w:r>
          </w:p>
        </w:tc>
      </w:tr>
      <w:tr w14:paraId="545BCD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3D5EF798">
            <w:pPr>
              <w:tabs>
                <w:tab w:val="right" w:pos="7434"/>
              </w:tabs>
              <w:spacing w:before="180" w:after="180"/>
              <w:rPr>
                <w:b/>
              </w:rPr>
            </w:pPr>
            <w:r>
              <w:rPr>
                <w:b/>
              </w:rPr>
              <w:t>ITB 20.2</w:t>
            </w:r>
          </w:p>
        </w:tc>
        <w:tc>
          <w:tcPr>
            <w:tcW w:w="7470" w:type="dxa"/>
            <w:tcBorders>
              <w:top w:val="single" w:color="000000" w:sz="2" w:space="0"/>
              <w:bottom w:val="single" w:color="000000" w:sz="2" w:space="0"/>
              <w:right w:val="single" w:color="000000" w:sz="2" w:space="0"/>
            </w:tcBorders>
          </w:tcPr>
          <w:p w14:paraId="081C9D98">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The written confirmation of authorization to sign on behalf of the Bidder </w:t>
            </w:r>
          </w:p>
          <w:p w14:paraId="4D234C4F">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shall consist of the Notarized Power of Attorney (POA); No authorization </w:t>
            </w:r>
          </w:p>
          <w:p w14:paraId="7F77460D">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to sign the bid on behalf of the Bidder is required if the signing person is </w:t>
            </w:r>
          </w:p>
          <w:p w14:paraId="3333901D">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the Managing Director, Chief Executive or Proprietor of the bidding firm. </w:t>
            </w:r>
          </w:p>
          <w:p w14:paraId="658C2F50">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If, however, the signatory of the bid is a person holding a lesser position in </w:t>
            </w:r>
          </w:p>
          <w:p w14:paraId="1973EFD8">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the firm, submission of a written confirmation of authorization is </w:t>
            </w:r>
          </w:p>
          <w:p w14:paraId="73592DBD">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mandatory. </w:t>
            </w:r>
          </w:p>
          <w:p w14:paraId="0EA247DE">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In case of JV, POA shall be signed by all JV members.</w:t>
            </w:r>
          </w:p>
          <w:p w14:paraId="7F4D5250">
            <w:pPr>
              <w:pStyle w:val="27"/>
              <w:spacing w:after="120"/>
              <w:jc w:val="both"/>
              <w:rPr>
                <w:rFonts w:ascii="Times New Roman" w:hAnsi="Times New Roman"/>
                <w:sz w:val="24"/>
                <w:szCs w:val="24"/>
              </w:rPr>
            </w:pPr>
          </w:p>
        </w:tc>
      </w:tr>
    </w:tbl>
    <w:p w14:paraId="60F821DD">
      <w:pPr>
        <w:pStyle w:val="21"/>
        <w:tabs>
          <w:tab w:val="right" w:pos="7434"/>
          <w:tab w:val="clear" w:pos="7254"/>
        </w:tabs>
        <w:rPr>
          <w:rFonts w:ascii="Times New Roman" w:hAnsi="Times New Roman" w:cs="Times New Roman"/>
        </w:rPr>
      </w:pPr>
    </w:p>
    <w:p w14:paraId="46838A4B">
      <w:pPr>
        <w:pStyle w:val="21"/>
        <w:tabs>
          <w:tab w:val="right" w:pos="7434"/>
          <w:tab w:val="clear" w:pos="7254"/>
        </w:tabs>
        <w:rPr>
          <w:rFonts w:ascii="Times New Roman" w:hAnsi="Times New Roman" w:cs="Times New Roman"/>
        </w:rPr>
      </w:pPr>
    </w:p>
    <w:p w14:paraId="758F1C3B">
      <w:pPr>
        <w:pStyle w:val="21"/>
        <w:tabs>
          <w:tab w:val="right" w:pos="7434"/>
          <w:tab w:val="clear" w:pos="7254"/>
        </w:tabs>
        <w:rPr>
          <w:rFonts w:ascii="Times New Roman" w:hAnsi="Times New Roman" w:cs="Times New Roman"/>
        </w:rPr>
      </w:pPr>
    </w:p>
    <w:p w14:paraId="2A380589">
      <w:pPr>
        <w:pStyle w:val="21"/>
        <w:tabs>
          <w:tab w:val="right" w:pos="7434"/>
          <w:tab w:val="clear" w:pos="7254"/>
        </w:tabs>
        <w:rPr>
          <w:rFonts w:ascii="Times New Roman" w:hAnsi="Times New Roman" w:cs="Times New Roman"/>
        </w:rPr>
      </w:pPr>
      <w:r>
        <w:rPr>
          <w:rFonts w:ascii="Times New Roman" w:hAnsi="Times New Roman" w:cs="Times New Roman"/>
        </w:rPr>
        <w:t>D.  Submission and Opening of Bids</w:t>
      </w:r>
    </w:p>
    <w:tbl>
      <w:tblPr>
        <w:tblStyle w:val="12"/>
        <w:tblW w:w="0" w:type="auto"/>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Layout w:type="fixed"/>
        <w:tblCellMar>
          <w:top w:w="0" w:type="dxa"/>
          <w:left w:w="108" w:type="dxa"/>
          <w:bottom w:w="0" w:type="dxa"/>
          <w:right w:w="108" w:type="dxa"/>
        </w:tblCellMar>
      </w:tblPr>
      <w:tblGrid>
        <w:gridCol w:w="1620"/>
        <w:gridCol w:w="7470"/>
      </w:tblGrid>
      <w:tr w14:paraId="3C6EA1A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423921FA">
            <w:pPr>
              <w:tabs>
                <w:tab w:val="right" w:pos="7434"/>
              </w:tabs>
              <w:spacing w:before="120" w:after="120"/>
              <w:rPr>
                <w:b/>
              </w:rPr>
            </w:pPr>
            <w:r>
              <w:rPr>
                <w:b/>
              </w:rPr>
              <w:t>ITB 22.1</w:t>
            </w:r>
          </w:p>
        </w:tc>
        <w:tc>
          <w:tcPr>
            <w:tcW w:w="7470" w:type="dxa"/>
            <w:tcBorders>
              <w:top w:val="single" w:color="000000" w:sz="2" w:space="0"/>
              <w:bottom w:val="single" w:color="000000" w:sz="2" w:space="0"/>
              <w:right w:val="single" w:color="000000" w:sz="2" w:space="0"/>
            </w:tcBorders>
          </w:tcPr>
          <w:p w14:paraId="24D9390E">
            <w:pPr>
              <w:tabs>
                <w:tab w:val="right" w:pos="7254"/>
              </w:tabs>
              <w:spacing w:before="120" w:after="120"/>
            </w:pPr>
            <w:r>
              <w:t xml:space="preserve">Bidders </w:t>
            </w:r>
            <w:r>
              <w:rPr>
                <w:b/>
                <w:i/>
                <w:iCs/>
              </w:rPr>
              <w:t xml:space="preserve">SHALL NOT </w:t>
            </w:r>
            <w:r>
              <w:rPr>
                <w:b/>
                <w:i/>
              </w:rPr>
              <w:t>have</w:t>
            </w:r>
            <w:r>
              <w:t xml:space="preserve"> the option of submitting their bids electronically.</w:t>
            </w:r>
          </w:p>
        </w:tc>
      </w:tr>
      <w:tr w14:paraId="1214D5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7B3B8BA1">
            <w:pPr>
              <w:tabs>
                <w:tab w:val="right" w:pos="7434"/>
              </w:tabs>
              <w:spacing w:before="120" w:after="120"/>
              <w:rPr>
                <w:b/>
              </w:rPr>
            </w:pPr>
            <w:r>
              <w:rPr>
                <w:b/>
              </w:rPr>
              <w:t xml:space="preserve">ITB 22.1 </w:t>
            </w:r>
          </w:p>
        </w:tc>
        <w:tc>
          <w:tcPr>
            <w:tcW w:w="7470" w:type="dxa"/>
            <w:tcBorders>
              <w:top w:val="single" w:color="000000" w:sz="2" w:space="0"/>
              <w:bottom w:val="single" w:color="000000" w:sz="2" w:space="0"/>
              <w:right w:val="single" w:color="000000" w:sz="2" w:space="0"/>
            </w:tcBorders>
          </w:tcPr>
          <w:p w14:paraId="0827459F">
            <w:pPr>
              <w:tabs>
                <w:tab w:val="right" w:pos="7254"/>
              </w:tabs>
              <w:spacing w:before="120" w:after="120"/>
            </w:pPr>
            <w:r>
              <w:t xml:space="preserve">For </w:t>
            </w:r>
            <w:r>
              <w:rPr>
                <w:b/>
                <w:u w:val="single"/>
              </w:rPr>
              <w:t>bid submission purposes</w:t>
            </w:r>
            <w:r>
              <w:rPr>
                <w:u w:val="single"/>
              </w:rPr>
              <w:t xml:space="preserve"> </w:t>
            </w:r>
            <w:r>
              <w:t xml:space="preserve">only, the </w:t>
            </w:r>
            <w:r>
              <w:rPr>
                <w:iCs/>
              </w:rPr>
              <w:t xml:space="preserve">Employer’s </w:t>
            </w:r>
            <w:r>
              <w:t>address is:</w:t>
            </w:r>
          </w:p>
          <w:p w14:paraId="65935581">
            <w:pPr>
              <w:tabs>
                <w:tab w:val="right" w:pos="7254"/>
              </w:tabs>
              <w:spacing w:before="120" w:after="120"/>
            </w:pPr>
            <w:r>
              <w:t xml:space="preserve"> </w:t>
            </w:r>
            <w:r>
              <w:rPr>
                <w:b/>
                <w:i/>
              </w:rPr>
              <w:t>Wajir Water &amp; Sewerage Co. Ltd</w:t>
            </w:r>
          </w:p>
          <w:p w14:paraId="60443504">
            <w:pPr>
              <w:tabs>
                <w:tab w:val="right" w:pos="7254"/>
              </w:tabs>
              <w:spacing w:before="120" w:after="120"/>
            </w:pPr>
            <w:r>
              <w:t xml:space="preserve">Attention: </w:t>
            </w:r>
            <w:r>
              <w:rPr>
                <w:b/>
              </w:rPr>
              <w:t>Managing Director</w:t>
            </w:r>
          </w:p>
          <w:p w14:paraId="33B2BDA9">
            <w:pPr>
              <w:tabs>
                <w:tab w:val="right" w:pos="7254"/>
              </w:tabs>
              <w:spacing w:before="120" w:after="120"/>
            </w:pPr>
            <w:r>
              <w:t xml:space="preserve">Street Address: </w:t>
            </w:r>
            <w:r>
              <w:rPr>
                <w:rFonts w:hint="default"/>
                <w:b/>
                <w:lang w:val="en-US"/>
              </w:rPr>
              <w:t xml:space="preserve">Along Wajir High School </w:t>
            </w:r>
            <w:r>
              <w:rPr>
                <w:b/>
              </w:rPr>
              <w:t>Road</w:t>
            </w:r>
          </w:p>
          <w:p w14:paraId="6B22C2C0">
            <w:pPr>
              <w:tabs>
                <w:tab w:val="right" w:pos="7254"/>
              </w:tabs>
              <w:spacing w:before="120" w:after="120"/>
            </w:pPr>
            <w:r>
              <w:t xml:space="preserve">Floor/Room number: </w:t>
            </w:r>
            <w:r>
              <w:rPr>
                <w:b/>
                <w:bCs/>
                <w:iCs/>
              </w:rPr>
              <w:t>Managing Director’s</w:t>
            </w:r>
            <w:r>
              <w:t xml:space="preserve"> </w:t>
            </w:r>
            <w:r>
              <w:rPr>
                <w:b/>
                <w:bCs/>
                <w:iCs/>
              </w:rPr>
              <w:t>Secretary Office</w:t>
            </w:r>
          </w:p>
          <w:p w14:paraId="2F962F18">
            <w:pPr>
              <w:tabs>
                <w:tab w:val="right" w:pos="7254"/>
              </w:tabs>
              <w:spacing w:before="120" w:after="120"/>
            </w:pPr>
            <w:r>
              <w:t xml:space="preserve">City: </w:t>
            </w:r>
            <w:r>
              <w:rPr>
                <w:b/>
              </w:rPr>
              <w:t>Wajir</w:t>
            </w:r>
          </w:p>
          <w:p w14:paraId="2F998290">
            <w:pPr>
              <w:tabs>
                <w:tab w:val="right" w:pos="7254"/>
              </w:tabs>
              <w:spacing w:before="120" w:after="120"/>
              <w:rPr>
                <w:i/>
              </w:rPr>
            </w:pPr>
            <w:r>
              <w:t xml:space="preserve">Country: </w:t>
            </w:r>
            <w:r>
              <w:rPr>
                <w:b/>
              </w:rPr>
              <w:t>Kenya</w:t>
            </w:r>
          </w:p>
          <w:p w14:paraId="2F3295CC">
            <w:pPr>
              <w:tabs>
                <w:tab w:val="right" w:pos="7254"/>
              </w:tabs>
              <w:spacing w:before="120" w:after="120"/>
              <w:rPr>
                <w:b/>
              </w:rPr>
            </w:pPr>
            <w:r>
              <w:rPr>
                <w:b/>
              </w:rPr>
              <w:t>The deadline for bid submission is:</w:t>
            </w:r>
          </w:p>
          <w:p w14:paraId="42A97186">
            <w:pPr>
              <w:tabs>
                <w:tab w:val="right" w:pos="7254"/>
              </w:tabs>
              <w:spacing w:before="120" w:after="120"/>
              <w:rPr>
                <w:rFonts w:hint="default"/>
                <w:lang w:val="en-US"/>
              </w:rPr>
            </w:pPr>
            <w:r>
              <w:t xml:space="preserve">Date: </w:t>
            </w:r>
            <w:r>
              <w:rPr>
                <w:rFonts w:hint="default"/>
                <w:b/>
                <w:bCs/>
                <w:i/>
                <w:iCs/>
                <w:color w:val="auto"/>
                <w:highlight w:val="none"/>
                <w:lang w:val="en-US"/>
              </w:rPr>
              <w:t>21</w:t>
            </w:r>
            <w:r>
              <w:rPr>
                <w:rFonts w:hint="default"/>
                <w:b/>
                <w:bCs/>
                <w:i/>
                <w:iCs/>
                <w:color w:val="auto"/>
                <w:highlight w:val="none"/>
                <w:vertAlign w:val="superscript"/>
                <w:lang w:val="en-US"/>
              </w:rPr>
              <w:t>ST</w:t>
            </w:r>
            <w:r>
              <w:rPr>
                <w:rFonts w:hint="default"/>
                <w:b/>
                <w:bCs/>
                <w:i/>
                <w:iCs/>
                <w:color w:val="auto"/>
                <w:highlight w:val="none"/>
                <w:lang w:val="en-US"/>
              </w:rPr>
              <w:t xml:space="preserve"> November,2024</w:t>
            </w:r>
          </w:p>
          <w:p w14:paraId="15630072">
            <w:pPr>
              <w:tabs>
                <w:tab w:val="right" w:pos="7254"/>
              </w:tabs>
              <w:spacing w:before="120" w:after="120"/>
            </w:pPr>
            <w:r>
              <w:t xml:space="preserve">Time: </w:t>
            </w:r>
            <w:r>
              <w:rPr>
                <w:b/>
                <w:bCs/>
                <w:i/>
                <w:iCs/>
              </w:rPr>
              <w:t>1</w:t>
            </w:r>
            <w:r>
              <w:rPr>
                <w:rFonts w:hint="default"/>
                <w:b/>
                <w:bCs/>
                <w:i/>
                <w:iCs/>
                <w:lang w:val="en-US"/>
              </w:rPr>
              <w:t>0</w:t>
            </w:r>
            <w:r>
              <w:rPr>
                <w:b/>
                <w:bCs/>
                <w:i/>
                <w:iCs/>
              </w:rPr>
              <w:t>:00hrs local time</w:t>
            </w:r>
          </w:p>
        </w:tc>
      </w:tr>
      <w:tr w14:paraId="5E29614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44572E63">
            <w:pPr>
              <w:tabs>
                <w:tab w:val="right" w:pos="7434"/>
              </w:tabs>
              <w:spacing w:before="120" w:after="120"/>
              <w:rPr>
                <w:b/>
              </w:rPr>
            </w:pPr>
            <w:r>
              <w:rPr>
                <w:b/>
              </w:rPr>
              <w:t>ITB 25.1</w:t>
            </w:r>
          </w:p>
        </w:tc>
        <w:tc>
          <w:tcPr>
            <w:tcW w:w="7470" w:type="dxa"/>
            <w:tcBorders>
              <w:top w:val="single" w:color="000000" w:sz="2" w:space="0"/>
              <w:bottom w:val="single" w:color="000000" w:sz="2" w:space="0"/>
              <w:right w:val="single" w:color="000000" w:sz="2" w:space="0"/>
            </w:tcBorders>
          </w:tcPr>
          <w:p w14:paraId="77DA7ECE">
            <w:pPr>
              <w:tabs>
                <w:tab w:val="right" w:pos="7254"/>
              </w:tabs>
              <w:spacing w:before="120" w:after="120"/>
            </w:pPr>
            <w:r>
              <w:t xml:space="preserve">The bid opening shall take place at: </w:t>
            </w:r>
            <w:r>
              <w:rPr>
                <w:b/>
                <w:i/>
              </w:rPr>
              <w:t xml:space="preserve">Wajir Water &amp; Sewerage Co. Ltd. </w:t>
            </w:r>
          </w:p>
          <w:p w14:paraId="143F908C">
            <w:pPr>
              <w:tabs>
                <w:tab w:val="right" w:pos="7254"/>
              </w:tabs>
              <w:spacing w:before="120" w:after="120"/>
            </w:pPr>
            <w:r>
              <w:t xml:space="preserve">Street Address: </w:t>
            </w:r>
            <w:r>
              <w:rPr>
                <w:rFonts w:hint="default"/>
                <w:b/>
                <w:bCs/>
                <w:lang w:val="en-US"/>
              </w:rPr>
              <w:t xml:space="preserve">Along Wajir  High School </w:t>
            </w:r>
            <w:r>
              <w:rPr>
                <w:b/>
                <w:bCs/>
              </w:rPr>
              <w:t>Road</w:t>
            </w:r>
          </w:p>
          <w:p w14:paraId="659915B6">
            <w:pPr>
              <w:tabs>
                <w:tab w:val="right" w:pos="7254"/>
              </w:tabs>
              <w:spacing w:before="120" w:after="120"/>
            </w:pPr>
            <w:r>
              <w:t xml:space="preserve">Floor/Room number: </w:t>
            </w:r>
            <w:r>
              <w:rPr>
                <w:b/>
                <w:bCs/>
                <w:i/>
                <w:iCs/>
              </w:rPr>
              <w:t>WAJWASCO’s</w:t>
            </w:r>
            <w:r>
              <w:rPr>
                <w:b/>
                <w:i/>
              </w:rPr>
              <w:t xml:space="preserve"> Boardroom</w:t>
            </w:r>
          </w:p>
          <w:p w14:paraId="3CE2D291">
            <w:pPr>
              <w:tabs>
                <w:tab w:val="right" w:pos="7254"/>
              </w:tabs>
              <w:spacing w:before="120" w:after="120"/>
            </w:pPr>
            <w:r>
              <w:t xml:space="preserve">City: </w:t>
            </w:r>
            <w:r>
              <w:rPr>
                <w:b/>
              </w:rPr>
              <w:t>Wajir</w:t>
            </w:r>
          </w:p>
          <w:p w14:paraId="64B4CA48">
            <w:pPr>
              <w:tabs>
                <w:tab w:val="right" w:pos="7254"/>
              </w:tabs>
              <w:spacing w:before="120" w:after="120"/>
            </w:pPr>
            <w:r>
              <w:t xml:space="preserve">Country: </w:t>
            </w:r>
            <w:r>
              <w:rPr>
                <w:b/>
              </w:rPr>
              <w:t>Kenya</w:t>
            </w:r>
          </w:p>
          <w:p w14:paraId="06C1228C">
            <w:pPr>
              <w:tabs>
                <w:tab w:val="right" w:pos="7254"/>
              </w:tabs>
              <w:spacing w:before="120" w:after="120"/>
              <w:rPr>
                <w:rFonts w:hint="default"/>
                <w:i/>
                <w:iCs/>
                <w:lang w:val="en-US"/>
              </w:rPr>
            </w:pPr>
            <w:r>
              <w:t>Date:</w:t>
            </w:r>
            <w:r>
              <w:rPr>
                <w:b/>
                <w:bCs/>
              </w:rPr>
              <w:t xml:space="preserve"> </w:t>
            </w:r>
            <w:r>
              <w:rPr>
                <w:rFonts w:hint="default"/>
                <w:b/>
                <w:bCs/>
                <w:lang w:val="en-US"/>
              </w:rPr>
              <w:t>21</w:t>
            </w:r>
            <w:r>
              <w:rPr>
                <w:rFonts w:hint="default"/>
                <w:b/>
                <w:bCs/>
                <w:vertAlign w:val="superscript"/>
                <w:lang w:val="en-US"/>
              </w:rPr>
              <w:t>st</w:t>
            </w:r>
            <w:r>
              <w:rPr>
                <w:rFonts w:hint="default"/>
                <w:b/>
                <w:bCs/>
                <w:lang w:val="en-US"/>
              </w:rPr>
              <w:t xml:space="preserve"> November,2024</w:t>
            </w:r>
          </w:p>
          <w:p w14:paraId="0FEEFB3F">
            <w:pPr>
              <w:tabs>
                <w:tab w:val="right" w:pos="7254"/>
              </w:tabs>
              <w:spacing w:before="120" w:after="120"/>
            </w:pPr>
            <w:r>
              <w:t>Time:</w:t>
            </w:r>
            <w:r>
              <w:rPr>
                <w:b/>
                <w:bCs/>
                <w:i/>
                <w:iCs/>
              </w:rPr>
              <w:t xml:space="preserve"> 1</w:t>
            </w:r>
            <w:r>
              <w:rPr>
                <w:rFonts w:hint="default"/>
                <w:b/>
                <w:bCs/>
                <w:i/>
                <w:iCs/>
                <w:lang w:val="en-US"/>
              </w:rPr>
              <w:t>0</w:t>
            </w:r>
            <w:r>
              <w:rPr>
                <w:b/>
                <w:bCs/>
                <w:i/>
                <w:iCs/>
              </w:rPr>
              <w:t>:0</w:t>
            </w:r>
            <w:r>
              <w:rPr>
                <w:rFonts w:hint="default"/>
                <w:b/>
                <w:bCs/>
                <w:i/>
                <w:iCs/>
                <w:lang w:val="en-US"/>
              </w:rPr>
              <w:t>0</w:t>
            </w:r>
            <w:r>
              <w:rPr>
                <w:b/>
                <w:bCs/>
                <w:i/>
                <w:iCs/>
              </w:rPr>
              <w:t>hrs local time</w:t>
            </w:r>
          </w:p>
        </w:tc>
      </w:tr>
      <w:tr w14:paraId="6D35CA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74869066">
            <w:pPr>
              <w:pageBreakBefore/>
              <w:tabs>
                <w:tab w:val="right" w:pos="7434"/>
              </w:tabs>
              <w:spacing w:before="120" w:after="120"/>
              <w:rPr>
                <w:b/>
              </w:rPr>
            </w:pPr>
            <w:r>
              <w:rPr>
                <w:b/>
              </w:rPr>
              <w:t>ITB 25.3</w:t>
            </w:r>
          </w:p>
        </w:tc>
        <w:tc>
          <w:tcPr>
            <w:tcW w:w="7470" w:type="dxa"/>
            <w:tcBorders>
              <w:top w:val="single" w:color="000000" w:sz="2" w:space="0"/>
              <w:bottom w:val="single" w:color="000000" w:sz="2" w:space="0"/>
              <w:right w:val="single" w:color="000000" w:sz="2" w:space="0"/>
            </w:tcBorders>
          </w:tcPr>
          <w:p w14:paraId="268D84EA">
            <w:pPr>
              <w:tabs>
                <w:tab w:val="right" w:pos="7254"/>
              </w:tabs>
              <w:spacing w:before="120" w:after="120"/>
            </w:pPr>
            <w:r>
              <w:t xml:space="preserve">The Letter of Bid and Priced Bill of Quantities </w:t>
            </w:r>
            <w:r>
              <w:rPr>
                <w:iCs/>
              </w:rPr>
              <w:t>shall</w:t>
            </w:r>
            <w:r>
              <w:rPr>
                <w:i/>
                <w:iCs/>
              </w:rPr>
              <w:t xml:space="preserve"> </w:t>
            </w:r>
            <w:r>
              <w:t xml:space="preserve">be initialed by </w:t>
            </w:r>
            <w:r>
              <w:rPr>
                <w:b/>
              </w:rPr>
              <w:t>3(Three)</w:t>
            </w:r>
            <w:r>
              <w:t xml:space="preserve"> representatives of the Employer conducting Bid opening. </w:t>
            </w:r>
          </w:p>
          <w:p w14:paraId="695E998E">
            <w:pPr>
              <w:tabs>
                <w:tab w:val="right" w:pos="7254"/>
              </w:tabs>
              <w:spacing w:before="120" w:after="120"/>
            </w:pPr>
            <w:r>
              <w:t xml:space="preserve"> Each Bid shall be initialed by all representatives and shall be numbered.  Any modification to the unit or total price shall also be initialed by the Employer’s Representative.</w:t>
            </w:r>
          </w:p>
        </w:tc>
      </w:tr>
    </w:tbl>
    <w:p w14:paraId="439B2321">
      <w:pPr>
        <w:pStyle w:val="21"/>
        <w:keepNext/>
        <w:tabs>
          <w:tab w:val="right" w:pos="7434"/>
          <w:tab w:val="clear" w:pos="7254"/>
        </w:tabs>
        <w:rPr>
          <w:rFonts w:ascii="Times New Roman" w:hAnsi="Times New Roman" w:cs="Times New Roman"/>
        </w:rPr>
      </w:pPr>
    </w:p>
    <w:p w14:paraId="319F74BE">
      <w:pPr>
        <w:pStyle w:val="21"/>
        <w:keepNext/>
        <w:tabs>
          <w:tab w:val="right" w:pos="7434"/>
          <w:tab w:val="clear" w:pos="7254"/>
        </w:tabs>
        <w:rPr>
          <w:rFonts w:ascii="Times New Roman" w:hAnsi="Times New Roman" w:cs="Times New Roman"/>
        </w:rPr>
      </w:pPr>
      <w:r>
        <w:rPr>
          <w:rFonts w:ascii="Times New Roman" w:hAnsi="Times New Roman" w:cs="Times New Roman"/>
        </w:rPr>
        <w:t>E.  Evaluation and Comparison of Bids</w:t>
      </w:r>
    </w:p>
    <w:tbl>
      <w:tblPr>
        <w:tblStyle w:val="12"/>
        <w:tblW w:w="0" w:type="auto"/>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Layout w:type="fixed"/>
        <w:tblCellMar>
          <w:top w:w="0" w:type="dxa"/>
          <w:left w:w="108" w:type="dxa"/>
          <w:bottom w:w="0" w:type="dxa"/>
          <w:right w:w="108" w:type="dxa"/>
        </w:tblCellMar>
      </w:tblPr>
      <w:tblGrid>
        <w:gridCol w:w="1620"/>
        <w:gridCol w:w="7470"/>
      </w:tblGrid>
      <w:tr w14:paraId="1069D2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trHeight w:val="490" w:hRule="atLeast"/>
          <w:jc w:val="center"/>
        </w:trPr>
        <w:tc>
          <w:tcPr>
            <w:tcW w:w="1620" w:type="dxa"/>
            <w:tcBorders>
              <w:top w:val="single" w:color="000000" w:sz="2" w:space="0"/>
              <w:left w:val="single" w:color="000000" w:sz="2" w:space="0"/>
              <w:bottom w:val="single" w:color="000000" w:sz="2" w:space="0"/>
            </w:tcBorders>
          </w:tcPr>
          <w:p w14:paraId="541F05E2">
            <w:pPr>
              <w:tabs>
                <w:tab w:val="right" w:pos="7434"/>
              </w:tabs>
              <w:spacing w:before="120" w:after="120"/>
              <w:rPr>
                <w:b/>
              </w:rPr>
            </w:pPr>
            <w:r>
              <w:rPr>
                <w:b/>
              </w:rPr>
              <w:t>ITB 32.1</w:t>
            </w:r>
          </w:p>
        </w:tc>
        <w:tc>
          <w:tcPr>
            <w:tcW w:w="7470" w:type="dxa"/>
            <w:tcBorders>
              <w:top w:val="single" w:color="000000" w:sz="2" w:space="0"/>
              <w:bottom w:val="single" w:color="000000" w:sz="2" w:space="0"/>
              <w:right w:val="single" w:color="000000" w:sz="2" w:space="0"/>
            </w:tcBorders>
          </w:tcPr>
          <w:p w14:paraId="3B60ECD1">
            <w:pPr>
              <w:tabs>
                <w:tab w:val="right" w:pos="7254"/>
              </w:tabs>
              <w:spacing w:before="120" w:after="120"/>
              <w:jc w:val="both"/>
            </w:pPr>
            <w:r>
              <w:rPr>
                <w:b/>
              </w:rPr>
              <w:t>Not applicable.</w:t>
            </w:r>
          </w:p>
        </w:tc>
      </w:tr>
      <w:tr w14:paraId="70FA47A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trHeight w:val="418" w:hRule="atLeast"/>
          <w:jc w:val="center"/>
        </w:trPr>
        <w:tc>
          <w:tcPr>
            <w:tcW w:w="1620" w:type="dxa"/>
            <w:tcBorders>
              <w:top w:val="single" w:color="000000" w:sz="2" w:space="0"/>
              <w:left w:val="single" w:color="000000" w:sz="2" w:space="0"/>
              <w:bottom w:val="single" w:color="000000" w:sz="2" w:space="0"/>
            </w:tcBorders>
          </w:tcPr>
          <w:p w14:paraId="46C84016">
            <w:pPr>
              <w:tabs>
                <w:tab w:val="right" w:pos="7434"/>
              </w:tabs>
              <w:spacing w:before="120" w:after="120"/>
              <w:rPr>
                <w:b/>
              </w:rPr>
            </w:pPr>
            <w:r>
              <w:rPr>
                <w:b/>
              </w:rPr>
              <w:t>ITB 33.1</w:t>
            </w:r>
          </w:p>
        </w:tc>
        <w:tc>
          <w:tcPr>
            <w:tcW w:w="7470" w:type="dxa"/>
            <w:tcBorders>
              <w:top w:val="single" w:color="000000" w:sz="2" w:space="0"/>
              <w:bottom w:val="single" w:color="000000" w:sz="2" w:space="0"/>
              <w:right w:val="single" w:color="000000" w:sz="2" w:space="0"/>
            </w:tcBorders>
          </w:tcPr>
          <w:p w14:paraId="1D9ED266">
            <w:pPr>
              <w:tabs>
                <w:tab w:val="right" w:pos="7254"/>
              </w:tabs>
              <w:spacing w:before="120" w:after="120"/>
              <w:rPr>
                <w:bCs/>
                <w:i/>
              </w:rPr>
            </w:pPr>
            <w:r>
              <w:rPr>
                <w:bCs/>
              </w:rPr>
              <w:t>A margin of preference</w:t>
            </w:r>
            <w:r>
              <w:rPr>
                <w:bCs/>
                <w:i/>
              </w:rPr>
              <w:t xml:space="preserve"> </w:t>
            </w:r>
            <w:r>
              <w:rPr>
                <w:b/>
                <w:i/>
              </w:rPr>
              <w:t xml:space="preserve">SHALL NOT </w:t>
            </w:r>
            <w:r>
              <w:rPr>
                <w:bCs/>
              </w:rPr>
              <w:t>apply</w:t>
            </w:r>
            <w:r>
              <w:rPr>
                <w:bCs/>
                <w:i/>
              </w:rPr>
              <w:t xml:space="preserve">. </w:t>
            </w:r>
          </w:p>
        </w:tc>
      </w:tr>
      <w:tr w14:paraId="7A8DDA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jc w:val="center"/>
        </w:trPr>
        <w:tc>
          <w:tcPr>
            <w:tcW w:w="1620" w:type="dxa"/>
            <w:tcBorders>
              <w:top w:val="single" w:color="000000" w:sz="2" w:space="0"/>
              <w:left w:val="single" w:color="000000" w:sz="2" w:space="0"/>
              <w:bottom w:val="single" w:color="000000" w:sz="2" w:space="0"/>
            </w:tcBorders>
          </w:tcPr>
          <w:p w14:paraId="4C9BCD86">
            <w:pPr>
              <w:tabs>
                <w:tab w:val="right" w:pos="7434"/>
              </w:tabs>
              <w:spacing w:before="120" w:after="120"/>
            </w:pPr>
            <w:r>
              <w:rPr>
                <w:b/>
                <w:iCs/>
              </w:rPr>
              <w:t>ITB 34.1</w:t>
            </w:r>
          </w:p>
        </w:tc>
        <w:tc>
          <w:tcPr>
            <w:tcW w:w="7470" w:type="dxa"/>
            <w:tcBorders>
              <w:top w:val="single" w:color="000000" w:sz="2" w:space="0"/>
              <w:bottom w:val="single" w:color="000000" w:sz="2" w:space="0"/>
              <w:right w:val="single" w:color="000000" w:sz="2" w:space="0"/>
            </w:tcBorders>
          </w:tcPr>
          <w:p w14:paraId="10287143">
            <w:pPr>
              <w:tabs>
                <w:tab w:val="right" w:pos="7254"/>
              </w:tabs>
              <w:spacing w:before="120" w:after="120"/>
              <w:rPr>
                <w:bCs/>
              </w:rPr>
            </w:pPr>
            <w:r>
              <w:rPr>
                <w:bCs/>
              </w:rPr>
              <w:t xml:space="preserve">At this time the Employer </w:t>
            </w:r>
            <w:r>
              <w:rPr>
                <w:b/>
                <w:bCs/>
                <w:iCs/>
              </w:rPr>
              <w:t xml:space="preserve">does not intend </w:t>
            </w:r>
            <w:r>
              <w:rPr>
                <w:bCs/>
              </w:rPr>
              <w:t>to execute certain specific parts of the Works by sub-contractors selected in advance.</w:t>
            </w:r>
          </w:p>
        </w:tc>
      </w:tr>
      <w:tr w14:paraId="5BD5D8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trHeight w:val="1572" w:hRule="atLeast"/>
          <w:jc w:val="center"/>
        </w:trPr>
        <w:tc>
          <w:tcPr>
            <w:tcW w:w="1620" w:type="dxa"/>
            <w:tcBorders>
              <w:top w:val="single" w:color="000000" w:sz="2" w:space="0"/>
              <w:left w:val="single" w:color="000000" w:sz="2" w:space="0"/>
              <w:bottom w:val="single" w:color="000000" w:sz="2" w:space="0"/>
            </w:tcBorders>
          </w:tcPr>
          <w:p w14:paraId="2EF7CB16">
            <w:pPr>
              <w:tabs>
                <w:tab w:val="right" w:pos="7434"/>
              </w:tabs>
              <w:spacing w:before="120" w:after="120"/>
              <w:rPr>
                <w:b/>
                <w:iCs/>
              </w:rPr>
            </w:pPr>
            <w:r>
              <w:rPr>
                <w:b/>
                <w:iCs/>
              </w:rPr>
              <w:t>ITB 34.3</w:t>
            </w:r>
          </w:p>
        </w:tc>
        <w:tc>
          <w:tcPr>
            <w:tcW w:w="7470" w:type="dxa"/>
            <w:tcBorders>
              <w:top w:val="single" w:color="000000" w:sz="2" w:space="0"/>
              <w:bottom w:val="single" w:color="000000" w:sz="2" w:space="0"/>
              <w:right w:val="single" w:color="000000" w:sz="2" w:space="0"/>
            </w:tcBorders>
          </w:tcPr>
          <w:p w14:paraId="7521EAED">
            <w:pPr>
              <w:spacing w:after="200"/>
              <w:ind w:left="58"/>
              <w:rPr>
                <w:spacing w:val="-4"/>
              </w:rPr>
            </w:pPr>
            <w:r>
              <w:rPr>
                <w:spacing w:val="-4"/>
              </w:rPr>
              <w:t>a) Contractor’s proposed subcontracting: Maximum percentage of subcontracting permitted is:</w:t>
            </w:r>
            <w:r>
              <w:rPr>
                <w:i/>
                <w:spacing w:val="-4"/>
              </w:rPr>
              <w:t xml:space="preserve"> </w:t>
            </w:r>
            <w:r>
              <w:rPr>
                <w:b/>
                <w:spacing w:val="-4"/>
              </w:rPr>
              <w:t>20%</w:t>
            </w:r>
            <w:r>
              <w:rPr>
                <w:i/>
                <w:spacing w:val="-4"/>
              </w:rPr>
              <w:t xml:space="preserve"> of the total contract amount or </w:t>
            </w:r>
            <w:r>
              <w:rPr>
                <w:b/>
                <w:spacing w:val="-4"/>
              </w:rPr>
              <w:t>20%</w:t>
            </w:r>
            <w:r>
              <w:rPr>
                <w:i/>
                <w:spacing w:val="-4"/>
              </w:rPr>
              <w:t xml:space="preserve"> of the volume of work. </w:t>
            </w:r>
          </w:p>
          <w:p w14:paraId="1BC7931F">
            <w:pPr>
              <w:spacing w:after="200"/>
              <w:ind w:left="58"/>
              <w:rPr>
                <w:spacing w:val="-4"/>
              </w:rPr>
            </w:pPr>
            <w:r>
              <w:rPr>
                <w:spacing w:val="-4"/>
              </w:rPr>
              <w:t>b) Bidders planning to subcontract more than 10% of total volume of work shall specify, in the Letter of Bid, the activity (ies) or parts of the works to be subcontracted along with complete details of the sub-contractors and their qualification and experience. The qualification and experience of the sub-contractors must meet the minimum criteria for the relevant work to be sub-contracted failing which such sub-contractors will not be permitted to participate.</w:t>
            </w:r>
          </w:p>
          <w:p w14:paraId="5263DB03">
            <w:pPr>
              <w:tabs>
                <w:tab w:val="right" w:pos="7254"/>
              </w:tabs>
              <w:spacing w:before="120" w:after="120"/>
              <w:rPr>
                <w:bCs/>
              </w:rPr>
            </w:pPr>
            <w:r>
              <w:rPr>
                <w:spacing w:val="-4"/>
              </w:rPr>
              <w:t>c) Sub-contractors’ qualification and experience will not be considered for evaluation of the Bidder. The Bidder on its own (without taking into account the qualification and experience of the sub-contractor) should meet the qualification criteria.</w:t>
            </w:r>
          </w:p>
        </w:tc>
      </w:tr>
    </w:tbl>
    <w:p w14:paraId="35D63178">
      <w:pPr>
        <w:pStyle w:val="80"/>
        <w:ind w:right="288"/>
        <w:jc w:val="left"/>
        <w:rPr>
          <w:rFonts w:ascii="Times New Roman" w:hAnsi="Times New Roman"/>
          <w:sz w:val="24"/>
          <w:szCs w:val="24"/>
          <w:lang w:val="en-US"/>
        </w:rPr>
      </w:pPr>
    </w:p>
    <w:p w14:paraId="7534AC18">
      <w:pPr>
        <w:pStyle w:val="21"/>
        <w:keepNext/>
        <w:tabs>
          <w:tab w:val="right" w:pos="7434"/>
          <w:tab w:val="clear" w:pos="7254"/>
        </w:tabs>
        <w:rPr>
          <w:rFonts w:ascii="Times New Roman" w:hAnsi="Times New Roman" w:cs="Times New Roman"/>
        </w:rPr>
      </w:pPr>
      <w:r>
        <w:rPr>
          <w:rFonts w:ascii="Times New Roman" w:hAnsi="Times New Roman" w:cs="Times New Roman"/>
        </w:rPr>
        <w:t>F.  Award of Contract</w:t>
      </w:r>
    </w:p>
    <w:tbl>
      <w:tblPr>
        <w:tblStyle w:val="12"/>
        <w:tblW w:w="0" w:type="auto"/>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Layout w:type="fixed"/>
        <w:tblCellMar>
          <w:top w:w="0" w:type="dxa"/>
          <w:left w:w="108" w:type="dxa"/>
          <w:bottom w:w="0" w:type="dxa"/>
          <w:right w:w="108" w:type="dxa"/>
        </w:tblCellMar>
      </w:tblPr>
      <w:tblGrid>
        <w:gridCol w:w="1620"/>
        <w:gridCol w:w="7470"/>
      </w:tblGrid>
      <w:tr w14:paraId="64EE8E6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trHeight w:val="778" w:hRule="atLeast"/>
          <w:jc w:val="center"/>
        </w:trPr>
        <w:tc>
          <w:tcPr>
            <w:tcW w:w="1620" w:type="dxa"/>
            <w:tcBorders>
              <w:top w:val="single" w:color="000000" w:sz="2" w:space="0"/>
              <w:left w:val="single" w:color="000000" w:sz="2" w:space="0"/>
              <w:bottom w:val="single" w:color="000000" w:sz="2" w:space="0"/>
            </w:tcBorders>
          </w:tcPr>
          <w:p w14:paraId="2F0CDBAD">
            <w:pPr>
              <w:spacing w:before="120" w:after="120"/>
              <w:rPr>
                <w:b/>
                <w:color w:val="000000"/>
              </w:rPr>
            </w:pPr>
            <w:r>
              <w:rPr>
                <w:b/>
                <w:color w:val="000000"/>
              </w:rPr>
              <w:t>ITB 42.1 and 42.2</w:t>
            </w:r>
          </w:p>
          <w:p w14:paraId="25606500">
            <w:pPr>
              <w:spacing w:before="120" w:after="120"/>
              <w:rPr>
                <w:b/>
                <w:color w:val="000000"/>
              </w:rPr>
            </w:pPr>
          </w:p>
        </w:tc>
        <w:tc>
          <w:tcPr>
            <w:tcW w:w="7470" w:type="dxa"/>
            <w:tcBorders>
              <w:top w:val="single" w:color="000000" w:sz="2" w:space="0"/>
              <w:bottom w:val="single" w:color="000000" w:sz="2" w:space="0"/>
              <w:right w:val="single" w:color="000000" w:sz="2" w:space="0"/>
            </w:tcBorders>
          </w:tcPr>
          <w:p w14:paraId="1D5F1D2A">
            <w:pPr>
              <w:tabs>
                <w:tab w:val="right" w:pos="7254"/>
              </w:tabs>
              <w:spacing w:before="120" w:after="120"/>
              <w:rPr>
                <w:color w:val="000000"/>
              </w:rPr>
            </w:pPr>
            <w:r>
              <w:rPr>
                <w:color w:val="000000"/>
              </w:rPr>
              <w:t xml:space="preserve">The successful Bidder shall be required to submit an </w:t>
            </w:r>
            <w:r>
              <w:t>Environmental and Social (ES) Performance Security</w:t>
            </w:r>
          </w:p>
        </w:tc>
      </w:tr>
      <w:tr w14:paraId="7E5CA4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6" w:space="0"/>
          </w:tblBorders>
          <w:tblCellMar>
            <w:top w:w="0" w:type="dxa"/>
            <w:left w:w="108" w:type="dxa"/>
            <w:bottom w:w="0" w:type="dxa"/>
            <w:right w:w="108" w:type="dxa"/>
          </w:tblCellMar>
        </w:tblPrEx>
        <w:trPr>
          <w:trHeight w:val="1741" w:hRule="atLeast"/>
          <w:jc w:val="center"/>
        </w:trPr>
        <w:tc>
          <w:tcPr>
            <w:tcW w:w="1620" w:type="dxa"/>
            <w:tcBorders>
              <w:top w:val="single" w:color="000000" w:sz="2" w:space="0"/>
              <w:left w:val="single" w:color="000000" w:sz="2" w:space="0"/>
              <w:bottom w:val="single" w:color="000000" w:sz="2" w:space="0"/>
            </w:tcBorders>
          </w:tcPr>
          <w:p w14:paraId="46CE95E8">
            <w:pPr>
              <w:spacing w:before="120" w:after="120"/>
              <w:rPr>
                <w:b/>
                <w:color w:val="000000"/>
              </w:rPr>
            </w:pPr>
            <w:r>
              <w:rPr>
                <w:b/>
                <w:color w:val="000000"/>
              </w:rPr>
              <w:t>ITB 43.1</w:t>
            </w:r>
          </w:p>
          <w:p w14:paraId="5411596A"/>
          <w:p w14:paraId="73022FC1"/>
          <w:p w14:paraId="2D1054D0"/>
          <w:p w14:paraId="2ED9DD76">
            <w:pPr>
              <w:tabs>
                <w:tab w:val="left" w:pos="1280"/>
              </w:tabs>
            </w:pPr>
          </w:p>
        </w:tc>
        <w:tc>
          <w:tcPr>
            <w:tcW w:w="7470" w:type="dxa"/>
            <w:tcBorders>
              <w:top w:val="single" w:color="000000" w:sz="2" w:space="0"/>
              <w:bottom w:val="single" w:color="000000" w:sz="2" w:space="0"/>
              <w:right w:val="single" w:color="000000" w:sz="2" w:space="0"/>
            </w:tcBorders>
          </w:tcPr>
          <w:p w14:paraId="71D53F5C">
            <w:pPr>
              <w:keepNext w:val="0"/>
              <w:keepLines w:val="0"/>
              <w:widowControl/>
              <w:suppressLineNumbers w:val="0"/>
              <w:jc w:val="left"/>
              <w:rPr>
                <w:b/>
                <w:bCs/>
              </w:rPr>
            </w:pPr>
            <w:r>
              <w:rPr>
                <w:rFonts w:hint="default" w:ascii="Times New Roman" w:hAnsi="Times New Roman" w:eastAsia="SimSun" w:cs="Times New Roman"/>
                <w:color w:val="000000"/>
                <w:kern w:val="0"/>
                <w:sz w:val="24"/>
                <w:szCs w:val="24"/>
                <w:lang w:val="en-US" w:eastAsia="zh-CN" w:bidi="ar"/>
              </w:rPr>
              <w:t xml:space="preserve">The Adjudicator proposed by the Employer is: </w:t>
            </w:r>
            <w:r>
              <w:rPr>
                <w:rFonts w:hint="default" w:ascii="Times New Roman" w:hAnsi="Times New Roman" w:eastAsia="SimSun" w:cs="Times New Roman"/>
                <w:b/>
                <w:bCs/>
                <w:color w:val="000000"/>
                <w:kern w:val="0"/>
                <w:sz w:val="24"/>
                <w:szCs w:val="24"/>
                <w:lang w:val="en-US" w:eastAsia="zh-CN" w:bidi="ar"/>
              </w:rPr>
              <w:t xml:space="preserve">Eng. Lucas A. Nyandondo </w:t>
            </w:r>
          </w:p>
          <w:p w14:paraId="416F11C9">
            <w:pPr>
              <w:keepNext w:val="0"/>
              <w:keepLines w:val="0"/>
              <w:widowControl/>
              <w:suppressLineNumbers w:val="0"/>
              <w:jc w:val="left"/>
              <w:rPr>
                <w:b/>
                <w:bCs/>
              </w:rPr>
            </w:pPr>
            <w:r>
              <w:rPr>
                <w:rFonts w:hint="default" w:ascii="Times New Roman" w:hAnsi="Times New Roman" w:eastAsia="SimSun" w:cs="Times New Roman"/>
                <w:b/>
                <w:bCs/>
                <w:color w:val="000000"/>
                <w:kern w:val="0"/>
                <w:sz w:val="24"/>
                <w:szCs w:val="24"/>
                <w:lang w:val="en-US" w:eastAsia="zh-CN" w:bidi="ar"/>
              </w:rPr>
              <w:t xml:space="preserve">Ochieng. </w:t>
            </w:r>
          </w:p>
          <w:p w14:paraId="144390AA">
            <w:pPr>
              <w:keepNext w:val="0"/>
              <w:keepLines w:val="0"/>
              <w:widowControl/>
              <w:suppressLineNumbers w:val="0"/>
              <w:jc w:val="left"/>
              <w:rPr>
                <w:b/>
                <w:bCs/>
              </w:rPr>
            </w:pPr>
            <w:r>
              <w:rPr>
                <w:rFonts w:hint="default" w:ascii="Times New Roman" w:hAnsi="Times New Roman" w:eastAsia="SimSun" w:cs="Times New Roman"/>
                <w:color w:val="000000"/>
                <w:kern w:val="0"/>
                <w:sz w:val="24"/>
                <w:szCs w:val="24"/>
                <w:lang w:val="en-US" w:eastAsia="zh-CN" w:bidi="ar"/>
              </w:rPr>
              <w:t xml:space="preserve">The hourly fee for this proposed Adjudicator shall be: </w:t>
            </w:r>
            <w:r>
              <w:rPr>
                <w:rFonts w:hint="default" w:ascii="Times New Roman" w:hAnsi="Times New Roman" w:eastAsia="SimSun" w:cs="Times New Roman"/>
                <w:b/>
                <w:bCs/>
                <w:color w:val="000000"/>
                <w:kern w:val="0"/>
                <w:sz w:val="24"/>
                <w:szCs w:val="24"/>
                <w:lang w:val="en-US" w:eastAsia="zh-CN" w:bidi="ar"/>
              </w:rPr>
              <w:t xml:space="preserve">Ksh 25,000/= </w:t>
            </w:r>
          </w:p>
          <w:p w14:paraId="6114B7A4">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The biographical data of the proposed: See Annex 1 </w:t>
            </w:r>
          </w:p>
          <w:p w14:paraId="15EC722D">
            <w:pPr>
              <w:keepNext w:val="0"/>
              <w:keepLines w:val="0"/>
              <w:widowControl/>
              <w:suppressLineNumbers w:val="0"/>
              <w:jc w:val="left"/>
            </w:pPr>
            <w:r>
              <w:rPr>
                <w:bCs/>
              </w:rPr>
              <w:t xml:space="preserve"> </w:t>
            </w:r>
            <w:r>
              <w:rPr>
                <w:rFonts w:hint="default" w:ascii="Times New Roman" w:hAnsi="Times New Roman" w:eastAsia="SimSun" w:cs="Times New Roman"/>
                <w:color w:val="000000"/>
                <w:kern w:val="0"/>
                <w:sz w:val="24"/>
                <w:szCs w:val="24"/>
                <w:lang w:val="en-US" w:eastAsia="zh-CN" w:bidi="ar"/>
              </w:rPr>
              <w:t xml:space="preserve">Name: Eng. Lucas A. Nyandondo Ochieng. </w:t>
            </w:r>
          </w:p>
          <w:p w14:paraId="4CC6B4CA">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Nationality: Kenyan </w:t>
            </w:r>
          </w:p>
          <w:p w14:paraId="74DE6376">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Profession: Dispute- Resolution Expert/Civil Engineering &amp; Project </w:t>
            </w:r>
          </w:p>
          <w:p w14:paraId="178AA969">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Management </w:t>
            </w:r>
          </w:p>
          <w:p w14:paraId="1677C58E">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Date of Birth: 1965 </w:t>
            </w:r>
          </w:p>
          <w:p w14:paraId="024D0E9D">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Experience: +19 years as an alternative dispute resolution (ADR) &amp; +29 </w:t>
            </w:r>
          </w:p>
          <w:p w14:paraId="56405848">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years as CIArb accredited Mediator &amp; examiner for arbitration, </w:t>
            </w:r>
          </w:p>
          <w:p w14:paraId="2BB25EB7">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adjudication &amp; mediation and over 29 years’ experience in many aspects </w:t>
            </w:r>
          </w:p>
          <w:p w14:paraId="5BC38CDD">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of civil engineering, including planning, design &amp; construction of road </w:t>
            </w:r>
          </w:p>
          <w:p w14:paraId="68354CFB">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works and infrastructure projects. </w:t>
            </w:r>
          </w:p>
          <w:p w14:paraId="489BA10C">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Eng. Lucas has been responsible for guidance, co-ordination and execution </w:t>
            </w:r>
          </w:p>
          <w:p w14:paraId="179049FD">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of more than 200 projects covering all the disciplines of Civil Engineering </w:t>
            </w:r>
          </w:p>
          <w:p w14:paraId="40FEE530">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including Highways and Bridges, Water Supply, Sewerage, Ports and </w:t>
            </w:r>
          </w:p>
          <w:p w14:paraId="355F5104">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Harbors, Housing Estates, Infrastructural services and Buildings. He has </w:t>
            </w:r>
          </w:p>
          <w:p w14:paraId="718EA800">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also acted as arbitrator, conciliator, adjudicator, expert witness and lay</w:t>
            </w:r>
            <w:r>
              <w:rPr>
                <w:rFonts w:hint="default" w:ascii="Times New Roman" w:hAnsi="Times New Roman" w:eastAsia="SimSun" w:cs="Times New Roman"/>
                <w:color w:val="000000"/>
                <w:kern w:val="0"/>
                <w:sz w:val="24"/>
                <w:szCs w:val="24"/>
                <w:lang w:val="en-US" w:eastAsia="zh-CN" w:bidi="ar"/>
              </w:rPr>
              <w:t/>
            </w:r>
          </w:p>
          <w:p w14:paraId="01FF98D8">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advocate in dispute resolution tribunals </w:t>
            </w:r>
          </w:p>
          <w:p w14:paraId="7711BBC0">
            <w:pPr>
              <w:tabs>
                <w:tab w:val="right" w:pos="7254"/>
              </w:tabs>
              <w:spacing w:before="120" w:after="120"/>
              <w:rPr>
                <w:bCs/>
              </w:rPr>
            </w:pPr>
          </w:p>
        </w:tc>
      </w:tr>
    </w:tbl>
    <w:p w14:paraId="2335D0AC">
      <w:pPr>
        <w:pStyle w:val="15"/>
        <w:rPr>
          <w:rFonts w:ascii="Times New Roman" w:hAnsi="Times New Roman" w:cs="Times New Roman"/>
          <w:sz w:val="24"/>
        </w:rPr>
      </w:pPr>
    </w:p>
    <w:p w14:paraId="5F9724EC">
      <w:pPr>
        <w:pStyle w:val="15"/>
        <w:rPr>
          <w:rFonts w:ascii="Times New Roman" w:hAnsi="Times New Roman" w:cs="Times New Roman"/>
          <w:sz w:val="24"/>
        </w:rPr>
        <w:sectPr>
          <w:headerReference r:id="rId13" w:type="default"/>
          <w:headerReference r:id="rId14" w:type="even"/>
          <w:type w:val="oddPage"/>
          <w:pgSz w:w="12240" w:h="15840"/>
          <w:pgMar w:top="1440" w:right="1440" w:bottom="1440" w:left="1800" w:header="720" w:footer="720" w:gutter="0"/>
          <w:paperSrc w:first="15" w:other="15"/>
          <w:cols w:space="720" w:num="1"/>
          <w:titlePg/>
        </w:sectPr>
      </w:pPr>
    </w:p>
    <w:p w14:paraId="416A2C14">
      <w:pPr>
        <w:pStyle w:val="54"/>
        <w:spacing w:after="120"/>
        <w:rPr>
          <w:rFonts w:cs="Arial"/>
        </w:rPr>
      </w:pPr>
      <w:bookmarkStart w:id="366" w:name="_Toc41971240"/>
      <w:bookmarkStart w:id="367" w:name="_Toc438366666"/>
      <w:bookmarkStart w:id="368" w:name="_Toc438266925"/>
      <w:bookmarkStart w:id="369" w:name="_Toc178543289"/>
      <w:bookmarkStart w:id="370" w:name="_Toc438267899"/>
      <w:r>
        <w:rPr>
          <w:rFonts w:cs="Arial"/>
        </w:rPr>
        <w:t>Section III - Evaluation and Qualification Criteria</w:t>
      </w:r>
      <w:bookmarkEnd w:id="366"/>
      <w:bookmarkEnd w:id="367"/>
      <w:bookmarkEnd w:id="368"/>
      <w:bookmarkEnd w:id="369"/>
      <w:bookmarkEnd w:id="370"/>
    </w:p>
    <w:p w14:paraId="2129CD3D">
      <w:pPr>
        <w:pStyle w:val="3"/>
        <w:ind w:left="0" w:right="0" w:firstLine="0"/>
        <w:jc w:val="left"/>
      </w:pPr>
    </w:p>
    <w:p w14:paraId="5BB36C0F">
      <w:pPr>
        <w:jc w:val="both"/>
      </w:pPr>
      <w:r>
        <w:t>This section contains all the criteria that the Employer shall use to evaluate bids and qualify Bidders if the bidding was not preceded by a prequalification exercise and post qualification is applied. In accordance with ITB 35 and ITB 37, no other methods, criteria and factors shall be used. The Bidder shall provide all the information requested in the forms included in Section 4 (Bidding Forms).</w:t>
      </w:r>
    </w:p>
    <w:p w14:paraId="0D455F8F">
      <w:pPr>
        <w:jc w:val="both"/>
      </w:pPr>
    </w:p>
    <w:p w14:paraId="396F97D6">
      <w:pPr>
        <w:spacing w:after="160"/>
        <w:rPr>
          <w:rFonts w:cs="Arial"/>
          <w:b/>
          <w:bCs/>
          <w:iCs/>
          <w:spacing w:val="-2"/>
          <w:sz w:val="28"/>
          <w:szCs w:val="28"/>
        </w:rPr>
      </w:pPr>
      <w:r>
        <w:rPr>
          <w:spacing w:val="-2"/>
        </w:rPr>
        <w:t>Wherever a Bidder is required to state a monetary amount, Bidders should indicate the USD equivalent using the rate of exchange determined as follows:</w:t>
      </w:r>
    </w:p>
    <w:p w14:paraId="0920D100">
      <w:pPr>
        <w:numPr>
          <w:ilvl w:val="0"/>
          <w:numId w:val="41"/>
        </w:numPr>
        <w:spacing w:after="160"/>
        <w:rPr>
          <w:rFonts w:cs="Arial"/>
          <w:b/>
          <w:bCs/>
          <w:iCs/>
          <w:spacing w:val="-2"/>
          <w:sz w:val="28"/>
          <w:szCs w:val="28"/>
        </w:rPr>
      </w:pPr>
      <w:r>
        <w:rPr>
          <w:spacing w:val="-2"/>
        </w:rPr>
        <w:t>-For construction turnover or financial data required for each year - Exchange rate prevailing on the last day of the respective calendar year (in which the amounts for that year is to be converted) was originally established.</w:t>
      </w:r>
    </w:p>
    <w:p w14:paraId="4AFEA1D3">
      <w:pPr>
        <w:numPr>
          <w:ilvl w:val="0"/>
          <w:numId w:val="41"/>
        </w:numPr>
        <w:spacing w:after="160"/>
        <w:rPr>
          <w:rFonts w:cs="Arial"/>
          <w:b/>
          <w:bCs/>
          <w:iCs/>
          <w:spacing w:val="-2"/>
          <w:sz w:val="28"/>
          <w:szCs w:val="28"/>
        </w:rPr>
      </w:pPr>
      <w:r>
        <w:rPr>
          <w:spacing w:val="-2"/>
        </w:rPr>
        <w:t>-Value of single contract - Exchange rate prevailing on the date of the contract.</w:t>
      </w:r>
    </w:p>
    <w:p w14:paraId="2592F7AB">
      <w:pPr>
        <w:jc w:val="both"/>
      </w:pPr>
      <w:r>
        <w:rPr>
          <w:spacing w:val="-2"/>
        </w:rPr>
        <w:t>Exchange rates shall be taken from the publicly available source identified in the ITB 32.1. Any error in determining the exchange rates in the Bid may be corrected by the Employer</w:t>
      </w:r>
    </w:p>
    <w:p w14:paraId="123410B3">
      <w:pPr>
        <w:pStyle w:val="3"/>
        <w:ind w:left="360" w:right="0"/>
        <w:rPr>
          <w:rFonts w:ascii="Times New Roman" w:hAnsi="Times New Roman" w:cs="Times New Roman"/>
        </w:rPr>
      </w:pPr>
      <w:r>
        <w:rPr>
          <w:rFonts w:ascii="Times New Roman" w:hAnsi="Times New Roman" w:cs="Times New Roman"/>
        </w:rPr>
        <w:br w:type="page"/>
      </w:r>
    </w:p>
    <w:p w14:paraId="727151A1">
      <w:pPr>
        <w:pStyle w:val="3"/>
        <w:ind w:left="360" w:right="0"/>
        <w:rPr>
          <w:rFonts w:ascii="Times New Roman" w:hAnsi="Times New Roman" w:cs="Times New Roman"/>
        </w:rPr>
      </w:pPr>
      <w:r>
        <w:rPr>
          <w:rFonts w:ascii="Times New Roman" w:hAnsi="Times New Roman" w:cs="Times New Roman"/>
        </w:rPr>
        <w:t>Table of Criteria</w:t>
      </w:r>
    </w:p>
    <w:p w14:paraId="00558CF2">
      <w:pPr>
        <w:pStyle w:val="58"/>
        <w:tabs>
          <w:tab w:val="left" w:pos="720"/>
          <w:tab w:val="right" w:leader="dot" w:pos="8990"/>
        </w:tabs>
        <w:rPr>
          <w:rFonts w:ascii="Calibri" w:hAnsi="Calibri"/>
          <w:b w:val="0"/>
          <w:sz w:val="22"/>
          <w:szCs w:val="22"/>
        </w:rPr>
      </w:pPr>
      <w:r>
        <w:fldChar w:fldCharType="begin"/>
      </w:r>
      <w:r>
        <w:instrText xml:space="preserve"> TOC \h \z \t "S3-Header 1,1,S3-Heading 2,2" </w:instrText>
      </w:r>
      <w:r>
        <w:fldChar w:fldCharType="separate"/>
      </w:r>
      <w:r>
        <w:fldChar w:fldCharType="begin"/>
      </w:r>
      <w:r>
        <w:instrText xml:space="preserve"> HYPERLINK \l "_Toc325555956" </w:instrText>
      </w:r>
      <w:r>
        <w:fldChar w:fldCharType="separate"/>
      </w:r>
      <w:r>
        <w:rPr>
          <w:rStyle w:val="31"/>
        </w:rPr>
        <w:t xml:space="preserve">1. </w:t>
      </w:r>
      <w:r>
        <w:rPr>
          <w:rFonts w:ascii="Calibri" w:hAnsi="Calibri"/>
          <w:b w:val="0"/>
          <w:sz w:val="22"/>
          <w:szCs w:val="22"/>
        </w:rPr>
        <w:tab/>
      </w:r>
      <w:r>
        <w:rPr>
          <w:rStyle w:val="31"/>
        </w:rPr>
        <w:t>Margin of Preference</w:t>
      </w:r>
      <w:r>
        <w:tab/>
      </w:r>
      <w:r>
        <w:fldChar w:fldCharType="begin"/>
      </w:r>
      <w:r>
        <w:instrText xml:space="preserve"> PAGEREF _Toc325555956 \h </w:instrText>
      </w:r>
      <w:r>
        <w:fldChar w:fldCharType="separate"/>
      </w:r>
      <w:r>
        <w:t>37</w:t>
      </w:r>
      <w:r>
        <w:fldChar w:fldCharType="end"/>
      </w:r>
      <w:r>
        <w:fldChar w:fldCharType="end"/>
      </w:r>
    </w:p>
    <w:p w14:paraId="6D0CD257">
      <w:pPr>
        <w:pStyle w:val="58"/>
        <w:tabs>
          <w:tab w:val="left" w:pos="720"/>
          <w:tab w:val="right" w:leader="dot" w:pos="8990"/>
        </w:tabs>
        <w:rPr>
          <w:rFonts w:ascii="Calibri" w:hAnsi="Calibri"/>
          <w:b w:val="0"/>
          <w:sz w:val="22"/>
          <w:szCs w:val="22"/>
        </w:rPr>
      </w:pPr>
      <w:r>
        <w:fldChar w:fldCharType="begin"/>
      </w:r>
      <w:r>
        <w:instrText xml:space="preserve"> HYPERLINK \l "_Toc325555964" </w:instrText>
      </w:r>
      <w:r>
        <w:fldChar w:fldCharType="separate"/>
      </w:r>
      <w:r>
        <w:rPr>
          <w:rStyle w:val="31"/>
        </w:rPr>
        <w:t>2.</w:t>
      </w:r>
      <w:r>
        <w:rPr>
          <w:rFonts w:ascii="Calibri" w:hAnsi="Calibri"/>
          <w:b w:val="0"/>
          <w:sz w:val="22"/>
          <w:szCs w:val="22"/>
        </w:rPr>
        <w:tab/>
      </w:r>
      <w:r>
        <w:rPr>
          <w:rStyle w:val="31"/>
        </w:rPr>
        <w:t>Evaluation</w:t>
      </w:r>
      <w:r>
        <w:tab/>
      </w:r>
      <w:r>
        <w:fldChar w:fldCharType="begin"/>
      </w:r>
      <w:r>
        <w:instrText xml:space="preserve"> PAGEREF _Toc325555964 \h </w:instrText>
      </w:r>
      <w:r>
        <w:fldChar w:fldCharType="separate"/>
      </w:r>
      <w:r>
        <w:t>37</w:t>
      </w:r>
      <w:r>
        <w:fldChar w:fldCharType="end"/>
      </w:r>
      <w:r>
        <w:fldChar w:fldCharType="end"/>
      </w:r>
    </w:p>
    <w:p w14:paraId="1FEE36D0">
      <w:pPr>
        <w:pStyle w:val="59"/>
        <w:rPr>
          <w:rFonts w:ascii="Calibri" w:hAnsi="Calibri"/>
          <w:sz w:val="22"/>
          <w:szCs w:val="22"/>
        </w:rPr>
      </w:pPr>
      <w:r>
        <w:fldChar w:fldCharType="begin"/>
      </w:r>
      <w:r>
        <w:instrText xml:space="preserve"> HYPERLINK \l "_Toc325555965" </w:instrText>
      </w:r>
      <w:r>
        <w:fldChar w:fldCharType="separate"/>
      </w:r>
      <w:r>
        <w:rPr>
          <w:rStyle w:val="31"/>
        </w:rPr>
        <w:t>2.1</w:t>
      </w:r>
      <w:r>
        <w:rPr>
          <w:rFonts w:ascii="Calibri" w:hAnsi="Calibri"/>
          <w:sz w:val="22"/>
          <w:szCs w:val="22"/>
        </w:rPr>
        <w:tab/>
      </w:r>
      <w:r>
        <w:rPr>
          <w:rStyle w:val="31"/>
        </w:rPr>
        <w:t>Adequacy of Technical Proposal</w:t>
      </w:r>
      <w:r>
        <w:tab/>
      </w:r>
      <w:r>
        <w:fldChar w:fldCharType="begin"/>
      </w:r>
      <w:r>
        <w:instrText xml:space="preserve"> PAGEREF _Toc325555965 \h </w:instrText>
      </w:r>
      <w:r>
        <w:fldChar w:fldCharType="separate"/>
      </w:r>
      <w:r>
        <w:t>37</w:t>
      </w:r>
      <w:r>
        <w:fldChar w:fldCharType="end"/>
      </w:r>
      <w:r>
        <w:fldChar w:fldCharType="end"/>
      </w:r>
    </w:p>
    <w:p w14:paraId="10B99E4F">
      <w:pPr>
        <w:pStyle w:val="59"/>
        <w:rPr>
          <w:rFonts w:ascii="Calibri" w:hAnsi="Calibri"/>
          <w:sz w:val="22"/>
          <w:szCs w:val="22"/>
        </w:rPr>
      </w:pPr>
      <w:r>
        <w:fldChar w:fldCharType="begin"/>
      </w:r>
      <w:r>
        <w:instrText xml:space="preserve"> HYPERLINK \l "_Toc325555966" </w:instrText>
      </w:r>
      <w:r>
        <w:fldChar w:fldCharType="separate"/>
      </w:r>
      <w:r>
        <w:rPr>
          <w:rStyle w:val="31"/>
        </w:rPr>
        <w:t>2.2</w:t>
      </w:r>
      <w:r>
        <w:rPr>
          <w:rFonts w:ascii="Calibri" w:hAnsi="Calibri"/>
          <w:sz w:val="22"/>
          <w:szCs w:val="22"/>
        </w:rPr>
        <w:tab/>
      </w:r>
      <w:r>
        <w:rPr>
          <w:rStyle w:val="31"/>
        </w:rPr>
        <w:t>Multiple Contracts</w:t>
      </w:r>
      <w:r>
        <w:tab/>
      </w:r>
      <w:r>
        <w:fldChar w:fldCharType="begin"/>
      </w:r>
      <w:r>
        <w:instrText xml:space="preserve"> PAGEREF _Toc325555966 \h </w:instrText>
      </w:r>
      <w:r>
        <w:fldChar w:fldCharType="separate"/>
      </w:r>
      <w:r>
        <w:t>38</w:t>
      </w:r>
      <w:r>
        <w:fldChar w:fldCharType="end"/>
      </w:r>
      <w:r>
        <w:fldChar w:fldCharType="end"/>
      </w:r>
    </w:p>
    <w:p w14:paraId="3BFB00E2">
      <w:pPr>
        <w:pStyle w:val="59"/>
        <w:rPr>
          <w:rFonts w:ascii="Calibri" w:hAnsi="Calibri"/>
          <w:sz w:val="22"/>
          <w:szCs w:val="22"/>
        </w:rPr>
      </w:pPr>
      <w:r>
        <w:fldChar w:fldCharType="begin"/>
      </w:r>
      <w:r>
        <w:instrText xml:space="preserve"> HYPERLINK \l "_Toc325555967" </w:instrText>
      </w:r>
      <w:r>
        <w:fldChar w:fldCharType="separate"/>
      </w:r>
      <w:r>
        <w:rPr>
          <w:rStyle w:val="31"/>
        </w:rPr>
        <w:t>2.3</w:t>
      </w:r>
      <w:r>
        <w:rPr>
          <w:rFonts w:ascii="Calibri" w:hAnsi="Calibri"/>
          <w:sz w:val="22"/>
          <w:szCs w:val="22"/>
        </w:rPr>
        <w:tab/>
      </w:r>
      <w:r>
        <w:rPr>
          <w:rStyle w:val="31"/>
        </w:rPr>
        <w:t>Alternative Completion Times</w:t>
      </w:r>
      <w:r>
        <w:tab/>
      </w:r>
      <w:r>
        <w:fldChar w:fldCharType="begin"/>
      </w:r>
      <w:r>
        <w:instrText xml:space="preserve"> PAGEREF _Toc325555967 \h </w:instrText>
      </w:r>
      <w:r>
        <w:fldChar w:fldCharType="separate"/>
      </w:r>
      <w:r>
        <w:t>40</w:t>
      </w:r>
      <w:r>
        <w:fldChar w:fldCharType="end"/>
      </w:r>
      <w:r>
        <w:fldChar w:fldCharType="end"/>
      </w:r>
    </w:p>
    <w:p w14:paraId="275DC32F">
      <w:pPr>
        <w:pStyle w:val="59"/>
        <w:rPr>
          <w:rStyle w:val="31"/>
        </w:rPr>
      </w:pPr>
      <w:r>
        <w:fldChar w:fldCharType="begin"/>
      </w:r>
      <w:r>
        <w:instrText xml:space="preserve"> HYPERLINK \l "_Toc325555968" </w:instrText>
      </w:r>
      <w:r>
        <w:fldChar w:fldCharType="separate"/>
      </w:r>
      <w:r>
        <w:rPr>
          <w:rStyle w:val="31"/>
        </w:rPr>
        <w:t>2.4</w:t>
      </w:r>
      <w:r>
        <w:rPr>
          <w:rFonts w:ascii="Calibri" w:hAnsi="Calibri"/>
          <w:sz w:val="22"/>
          <w:szCs w:val="22"/>
        </w:rPr>
        <w:tab/>
      </w:r>
      <w:r>
        <w:rPr>
          <w:rStyle w:val="31"/>
        </w:rPr>
        <w:t>Technical Alternatives</w:t>
      </w:r>
      <w:r>
        <w:tab/>
      </w:r>
      <w:r>
        <w:fldChar w:fldCharType="begin"/>
      </w:r>
      <w:r>
        <w:instrText xml:space="preserve"> PAGEREF _Toc325555968 \h </w:instrText>
      </w:r>
      <w:r>
        <w:fldChar w:fldCharType="separate"/>
      </w:r>
      <w:r>
        <w:t>40</w:t>
      </w:r>
      <w:r>
        <w:fldChar w:fldCharType="end"/>
      </w:r>
      <w:r>
        <w:fldChar w:fldCharType="end"/>
      </w:r>
    </w:p>
    <w:p w14:paraId="531596D3">
      <w:pPr>
        <w:ind w:left="180"/>
      </w:pPr>
      <w:r>
        <w:t>2.5 Specialized Subcontractors</w:t>
      </w:r>
    </w:p>
    <w:p w14:paraId="7E47F1B1">
      <w:pPr>
        <w:pStyle w:val="58"/>
        <w:tabs>
          <w:tab w:val="left" w:pos="720"/>
          <w:tab w:val="right" w:leader="dot" w:pos="8990"/>
        </w:tabs>
        <w:rPr>
          <w:rFonts w:ascii="Calibri" w:hAnsi="Calibri"/>
          <w:b w:val="0"/>
          <w:sz w:val="22"/>
          <w:szCs w:val="22"/>
        </w:rPr>
      </w:pPr>
      <w:r>
        <w:fldChar w:fldCharType="begin"/>
      </w:r>
      <w:r>
        <w:instrText xml:space="preserve"> HYPERLINK \l "_Toc325555969" </w:instrText>
      </w:r>
      <w:r>
        <w:fldChar w:fldCharType="separate"/>
      </w:r>
      <w:r>
        <w:rPr>
          <w:rStyle w:val="31"/>
        </w:rPr>
        <w:t>3.</w:t>
      </w:r>
      <w:r>
        <w:rPr>
          <w:rFonts w:ascii="Calibri" w:hAnsi="Calibri"/>
          <w:b w:val="0"/>
          <w:sz w:val="22"/>
          <w:szCs w:val="22"/>
        </w:rPr>
        <w:tab/>
      </w:r>
      <w:r>
        <w:rPr>
          <w:rStyle w:val="31"/>
        </w:rPr>
        <w:t>Qualification</w:t>
      </w:r>
      <w:r>
        <w:tab/>
      </w:r>
      <w:r>
        <w:fldChar w:fldCharType="begin"/>
      </w:r>
      <w:r>
        <w:instrText xml:space="preserve"> PAGEREF _Toc325555969 \h </w:instrText>
      </w:r>
      <w:r>
        <w:fldChar w:fldCharType="separate"/>
      </w:r>
      <w:r>
        <w:t>41</w:t>
      </w:r>
      <w:r>
        <w:fldChar w:fldCharType="end"/>
      </w:r>
      <w:r>
        <w:fldChar w:fldCharType="end"/>
      </w:r>
    </w:p>
    <w:p w14:paraId="291019B9">
      <w:pPr>
        <w:pStyle w:val="59"/>
      </w:pPr>
      <w:r>
        <w:fldChar w:fldCharType="begin"/>
      </w:r>
      <w:r>
        <w:instrText xml:space="preserve"> HYPERLINK \l "_Toc325555970" </w:instrText>
      </w:r>
      <w:r>
        <w:fldChar w:fldCharType="separate"/>
      </w:r>
      <w:r>
        <w:rPr>
          <w:rStyle w:val="31"/>
        </w:rPr>
        <w:t>3.1</w:t>
      </w:r>
      <w:r>
        <w:rPr>
          <w:rStyle w:val="31"/>
        </w:rPr>
        <w:tab/>
      </w:r>
      <w:r>
        <w:rPr>
          <w:rStyle w:val="31"/>
        </w:rPr>
        <w:t>Eligibility</w:t>
      </w:r>
      <w:r>
        <w:rPr>
          <w:rStyle w:val="31"/>
        </w:rPr>
        <w:tab/>
      </w:r>
      <w:r>
        <w:rPr>
          <w:rStyle w:val="31"/>
        </w:rPr>
        <w:t>41</w:t>
      </w:r>
      <w:r>
        <w:rPr>
          <w:rStyle w:val="31"/>
        </w:rPr>
        <w:fldChar w:fldCharType="end"/>
      </w:r>
    </w:p>
    <w:p w14:paraId="69B7A2F3">
      <w:pPr>
        <w:pStyle w:val="59"/>
      </w:pPr>
      <w:r>
        <w:fldChar w:fldCharType="begin"/>
      </w:r>
      <w:r>
        <w:instrText xml:space="preserve"> HYPERLINK \l "_Toc325555970" </w:instrText>
      </w:r>
      <w:r>
        <w:fldChar w:fldCharType="separate"/>
      </w:r>
      <w:r>
        <w:rPr>
          <w:rStyle w:val="31"/>
        </w:rPr>
        <w:t>3.2</w:t>
      </w:r>
      <w:r>
        <w:rPr>
          <w:rStyle w:val="31"/>
        </w:rPr>
        <w:tab/>
      </w:r>
      <w:r>
        <w:rPr>
          <w:rStyle w:val="31"/>
        </w:rPr>
        <w:t>Historical Contract Non Performance</w:t>
      </w:r>
      <w:r>
        <w:rPr>
          <w:rStyle w:val="31"/>
        </w:rPr>
        <w:tab/>
      </w:r>
      <w:r>
        <w:rPr>
          <w:rStyle w:val="31"/>
        </w:rPr>
        <w:t>42</w:t>
      </w:r>
      <w:r>
        <w:rPr>
          <w:rStyle w:val="31"/>
        </w:rPr>
        <w:fldChar w:fldCharType="end"/>
      </w:r>
    </w:p>
    <w:p w14:paraId="44F32ED3">
      <w:pPr>
        <w:pStyle w:val="59"/>
      </w:pPr>
      <w:r>
        <w:fldChar w:fldCharType="begin"/>
      </w:r>
      <w:r>
        <w:instrText xml:space="preserve"> HYPERLINK \l "_Toc325555970" </w:instrText>
      </w:r>
      <w:r>
        <w:fldChar w:fldCharType="separate"/>
      </w:r>
      <w:r>
        <w:rPr>
          <w:rStyle w:val="31"/>
        </w:rPr>
        <w:t>3.3</w:t>
      </w:r>
      <w:r>
        <w:rPr>
          <w:rStyle w:val="31"/>
        </w:rPr>
        <w:tab/>
      </w:r>
      <w:r>
        <w:rPr>
          <w:rStyle w:val="31"/>
        </w:rPr>
        <w:t>Financial Situation</w:t>
      </w:r>
      <w:r>
        <w:rPr>
          <w:rStyle w:val="31"/>
        </w:rPr>
        <w:tab/>
      </w:r>
      <w:r>
        <w:rPr>
          <w:rStyle w:val="31"/>
        </w:rPr>
        <w:t>44</w:t>
      </w:r>
      <w:r>
        <w:rPr>
          <w:rStyle w:val="31"/>
        </w:rPr>
        <w:fldChar w:fldCharType="end"/>
      </w:r>
    </w:p>
    <w:p w14:paraId="405839BB">
      <w:pPr>
        <w:pStyle w:val="59"/>
      </w:pPr>
      <w:r>
        <w:fldChar w:fldCharType="begin"/>
      </w:r>
      <w:r>
        <w:instrText xml:space="preserve"> HYPERLINK \l "_Toc325555970" </w:instrText>
      </w:r>
      <w:r>
        <w:fldChar w:fldCharType="separate"/>
      </w:r>
      <w:r>
        <w:rPr>
          <w:rStyle w:val="31"/>
        </w:rPr>
        <w:t>3.4</w:t>
      </w:r>
      <w:r>
        <w:rPr>
          <w:rStyle w:val="31"/>
        </w:rPr>
        <w:tab/>
      </w:r>
      <w:r>
        <w:rPr>
          <w:rStyle w:val="31"/>
        </w:rPr>
        <w:t>Experience</w:t>
      </w:r>
      <w:r>
        <w:rPr>
          <w:rStyle w:val="31"/>
        </w:rPr>
        <w:tab/>
      </w:r>
      <w:r>
        <w:rPr>
          <w:rStyle w:val="31"/>
        </w:rPr>
        <w:t>46</w:t>
      </w:r>
      <w:r>
        <w:rPr>
          <w:rStyle w:val="31"/>
        </w:rPr>
        <w:fldChar w:fldCharType="end"/>
      </w:r>
    </w:p>
    <w:p w14:paraId="13AB960D">
      <w:pPr>
        <w:pStyle w:val="59"/>
        <w:rPr>
          <w:rFonts w:ascii="Calibri" w:hAnsi="Calibri"/>
          <w:sz w:val="22"/>
          <w:szCs w:val="22"/>
        </w:rPr>
      </w:pPr>
      <w:r>
        <w:fldChar w:fldCharType="begin"/>
      </w:r>
      <w:r>
        <w:instrText xml:space="preserve"> HYPERLINK \l "_Toc325555970" </w:instrText>
      </w:r>
      <w:r>
        <w:fldChar w:fldCharType="separate"/>
      </w:r>
      <w:r>
        <w:rPr>
          <w:rStyle w:val="31"/>
        </w:rPr>
        <w:t>3.5</w:t>
      </w:r>
      <w:r>
        <w:rPr>
          <w:rFonts w:ascii="Calibri" w:hAnsi="Calibri"/>
          <w:sz w:val="22"/>
          <w:szCs w:val="22"/>
        </w:rPr>
        <w:tab/>
      </w:r>
      <w:r>
        <w:rPr>
          <w:rStyle w:val="31"/>
        </w:rPr>
        <w:t>Personnel</w:t>
      </w:r>
      <w:r>
        <w:tab/>
      </w:r>
      <w:r>
        <w:fldChar w:fldCharType="begin"/>
      </w:r>
      <w:r>
        <w:instrText xml:space="preserve"> PAGEREF _Toc325555970 \h </w:instrText>
      </w:r>
      <w:r>
        <w:fldChar w:fldCharType="separate"/>
      </w:r>
      <w:r>
        <w:t>51</w:t>
      </w:r>
      <w:r>
        <w:fldChar w:fldCharType="end"/>
      </w:r>
      <w:r>
        <w:fldChar w:fldCharType="end"/>
      </w:r>
    </w:p>
    <w:p w14:paraId="38A81F67">
      <w:pPr>
        <w:pStyle w:val="59"/>
        <w:rPr>
          <w:rFonts w:ascii="Calibri" w:hAnsi="Calibri"/>
          <w:sz w:val="22"/>
          <w:szCs w:val="22"/>
        </w:rPr>
      </w:pPr>
      <w:r>
        <w:fldChar w:fldCharType="begin"/>
      </w:r>
      <w:r>
        <w:instrText xml:space="preserve"> HYPERLINK \l "_Toc325555971" </w:instrText>
      </w:r>
      <w:r>
        <w:fldChar w:fldCharType="separate"/>
      </w:r>
      <w:r>
        <w:rPr>
          <w:rStyle w:val="31"/>
        </w:rPr>
        <w:t>3.6</w:t>
      </w:r>
      <w:r>
        <w:rPr>
          <w:rFonts w:ascii="Calibri" w:hAnsi="Calibri"/>
          <w:sz w:val="22"/>
          <w:szCs w:val="22"/>
        </w:rPr>
        <w:tab/>
      </w:r>
      <w:r>
        <w:rPr>
          <w:rStyle w:val="31"/>
        </w:rPr>
        <w:t>Equipment</w:t>
      </w:r>
      <w:r>
        <w:tab/>
      </w:r>
      <w:r>
        <w:fldChar w:fldCharType="begin"/>
      </w:r>
      <w:r>
        <w:instrText xml:space="preserve"> PAGEREF _Toc325555971 \h </w:instrText>
      </w:r>
      <w:r>
        <w:fldChar w:fldCharType="separate"/>
      </w:r>
      <w:r>
        <w:t>51</w:t>
      </w:r>
      <w:r>
        <w:fldChar w:fldCharType="end"/>
      </w:r>
      <w:r>
        <w:fldChar w:fldCharType="end"/>
      </w:r>
    </w:p>
    <w:p w14:paraId="24C9927A">
      <w:r>
        <w:fldChar w:fldCharType="end"/>
      </w:r>
    </w:p>
    <w:p w14:paraId="640526EA"/>
    <w:p w14:paraId="34B2BB9F">
      <w:r>
        <w:br w:type="page"/>
      </w:r>
    </w:p>
    <w:p w14:paraId="47D489B8">
      <w:pPr>
        <w:pStyle w:val="149"/>
        <w:rPr>
          <w:szCs w:val="28"/>
        </w:rPr>
      </w:pPr>
      <w:bookmarkStart w:id="371" w:name="_Toc325555956"/>
      <w:bookmarkStart w:id="372" w:name="_Toc103401411"/>
      <w:r>
        <w:rPr>
          <w:szCs w:val="28"/>
        </w:rPr>
        <w:t xml:space="preserve">1. </w:t>
      </w:r>
      <w:r>
        <w:rPr>
          <w:szCs w:val="28"/>
        </w:rPr>
        <w:tab/>
      </w:r>
      <w:r>
        <w:rPr>
          <w:szCs w:val="28"/>
        </w:rPr>
        <w:t>Margin of Preference</w:t>
      </w:r>
      <w:bookmarkEnd w:id="371"/>
      <w:r>
        <w:rPr>
          <w:szCs w:val="28"/>
        </w:rPr>
        <w:t xml:space="preserve"> </w:t>
      </w:r>
    </w:p>
    <w:p w14:paraId="3DBDCD46">
      <w:pPr>
        <w:pStyle w:val="149"/>
        <w:tabs>
          <w:tab w:val="left" w:pos="540"/>
        </w:tabs>
        <w:ind w:left="720" w:firstLine="0"/>
        <w:rPr>
          <w:b w:val="0"/>
          <w:i/>
          <w:iCs/>
          <w:sz w:val="24"/>
          <w:szCs w:val="24"/>
        </w:rPr>
      </w:pPr>
      <w:bookmarkStart w:id="373" w:name="_Toc325555963"/>
      <w:r>
        <w:rPr>
          <w:b w:val="0"/>
          <w:i/>
          <w:iCs/>
          <w:sz w:val="24"/>
          <w:szCs w:val="24"/>
        </w:rPr>
        <w:t xml:space="preserve">     </w:t>
      </w:r>
      <w:bookmarkStart w:id="374" w:name="_Toc38527240"/>
      <w:bookmarkStart w:id="375" w:name="_Toc325555957"/>
      <w:r>
        <w:rPr>
          <w:b w:val="0"/>
          <w:i/>
          <w:iCs/>
          <w:sz w:val="24"/>
          <w:szCs w:val="24"/>
        </w:rPr>
        <w:t>Not Applicable</w:t>
      </w:r>
      <w:bookmarkEnd w:id="374"/>
    </w:p>
    <w:bookmarkEnd w:id="373"/>
    <w:bookmarkEnd w:id="375"/>
    <w:p w14:paraId="1AFAFC3A">
      <w:pPr>
        <w:pStyle w:val="149"/>
      </w:pPr>
      <w:bookmarkStart w:id="376" w:name="_Toc325555964"/>
      <w:r>
        <w:t>2.</w:t>
      </w:r>
      <w:r>
        <w:tab/>
      </w:r>
      <w:r>
        <w:t>Evaluation</w:t>
      </w:r>
      <w:bookmarkEnd w:id="372"/>
      <w:bookmarkEnd w:id="376"/>
    </w:p>
    <w:p w14:paraId="29AAF425">
      <w:pPr>
        <w:spacing w:after="200"/>
        <w:ind w:left="1080" w:right="288"/>
        <w:jc w:val="both"/>
      </w:pPr>
      <w:r>
        <w:t xml:space="preserve"> </w:t>
      </w:r>
      <w:r>
        <w:rPr>
          <w:i/>
          <w:iCs/>
        </w:rPr>
        <w:t>Not Applicable</w:t>
      </w:r>
    </w:p>
    <w:p w14:paraId="44F15E70">
      <w:pPr>
        <w:pStyle w:val="149"/>
        <w:rPr>
          <w:rFonts w:ascii="Arial" w:hAnsi="Arial" w:cs="Arial"/>
          <w:sz w:val="20"/>
        </w:rPr>
      </w:pPr>
    </w:p>
    <w:p w14:paraId="708F6D6A">
      <w:pPr>
        <w:pStyle w:val="149"/>
        <w:rPr>
          <w:rFonts w:ascii="Arial" w:hAnsi="Arial" w:cs="Arial"/>
          <w:sz w:val="20"/>
        </w:rPr>
      </w:pPr>
      <w:r>
        <w:rPr>
          <w:rFonts w:ascii="Arial" w:hAnsi="Arial" w:cs="Arial"/>
          <w:sz w:val="20"/>
        </w:rPr>
        <w:t>A. MANDATORY REQUIREMENTS</w:t>
      </w:r>
    </w:p>
    <w:p w14:paraId="49657C02">
      <w:pPr>
        <w:pStyle w:val="149"/>
        <w:rPr>
          <w:rFonts w:ascii="Arial" w:hAnsi="Arial" w:cs="Arial"/>
          <w:b/>
          <w:bCs/>
          <w:sz w:val="20"/>
        </w:rPr>
      </w:pPr>
      <w:r>
        <w:rPr>
          <w:rFonts w:ascii="Arial" w:hAnsi="Arial" w:cs="Arial"/>
          <w:b/>
          <w:bCs/>
          <w:sz w:val="20"/>
        </w:rPr>
        <w:t>The following must be submitted together with the Bid</w:t>
      </w:r>
    </w:p>
    <w:p w14:paraId="76BE9434">
      <w:pPr>
        <w:pStyle w:val="149"/>
        <w:rPr>
          <w:rFonts w:ascii="Arial" w:hAnsi="Arial" w:cs="Arial"/>
          <w:b/>
          <w:bCs/>
          <w:sz w:val="20"/>
        </w:rPr>
      </w:pPr>
      <w:r>
        <w:rPr>
          <w:rFonts w:ascii="Arial" w:hAnsi="Arial" w:cs="Arial"/>
          <w:b/>
          <w:bCs/>
          <w:sz w:val="20"/>
        </w:rPr>
        <w:t>1. Certified Copy of Certificate of incorporation or Registration Certificate.</w:t>
      </w:r>
    </w:p>
    <w:p w14:paraId="4713D853">
      <w:pPr>
        <w:pStyle w:val="149"/>
        <w:rPr>
          <w:rFonts w:hint="default" w:ascii="Arial" w:hAnsi="Arial" w:cs="Arial"/>
          <w:b/>
          <w:bCs/>
          <w:sz w:val="20"/>
          <w:lang w:val="en-US"/>
        </w:rPr>
      </w:pPr>
      <w:r>
        <w:rPr>
          <w:rFonts w:ascii="Arial" w:hAnsi="Arial" w:cs="Arial"/>
          <w:b/>
          <w:bCs/>
          <w:sz w:val="20"/>
        </w:rPr>
        <w:t xml:space="preserve">2. Certified copy of Practicing License </w:t>
      </w:r>
      <w:r>
        <w:rPr>
          <w:rFonts w:hint="default" w:ascii="Arial" w:hAnsi="Arial" w:cs="Arial"/>
          <w:b/>
          <w:bCs/>
          <w:sz w:val="20"/>
          <w:lang w:val="en-US"/>
        </w:rPr>
        <w:t xml:space="preserve">For </w:t>
      </w:r>
      <w:r>
        <w:rPr>
          <w:rFonts w:ascii="Arial" w:hAnsi="Arial" w:cs="Arial"/>
          <w:b/>
          <w:bCs/>
          <w:sz w:val="20"/>
        </w:rPr>
        <w:t xml:space="preserve">NCA </w:t>
      </w:r>
      <w:r>
        <w:rPr>
          <w:rFonts w:hint="default" w:ascii="Arial" w:hAnsi="Arial" w:cs="Arial"/>
          <w:b/>
          <w:bCs/>
          <w:sz w:val="20"/>
          <w:lang w:val="en-US"/>
        </w:rPr>
        <w:t>2</w:t>
      </w:r>
      <w:r>
        <w:rPr>
          <w:rFonts w:ascii="Arial" w:hAnsi="Arial" w:cs="Arial"/>
          <w:b/>
          <w:bCs/>
          <w:sz w:val="20"/>
        </w:rPr>
        <w:t xml:space="preserve"> &amp; Above</w:t>
      </w:r>
      <w:r>
        <w:rPr>
          <w:rFonts w:hint="default" w:ascii="Arial" w:hAnsi="Arial" w:cs="Arial"/>
          <w:b/>
          <w:bCs/>
          <w:sz w:val="20"/>
          <w:lang w:val="en-US"/>
        </w:rPr>
        <w:t xml:space="preserve"> for Roads Works,NC3 </w:t>
      </w:r>
      <w:r>
        <w:rPr>
          <w:rFonts w:ascii="Arial" w:hAnsi="Arial" w:cs="Arial"/>
          <w:b/>
          <w:bCs/>
          <w:sz w:val="20"/>
        </w:rPr>
        <w:t xml:space="preserve"> </w:t>
      </w:r>
      <w:r>
        <w:rPr>
          <w:rFonts w:hint="default" w:ascii="Arial" w:hAnsi="Arial" w:cs="Arial"/>
          <w:b/>
          <w:bCs/>
          <w:sz w:val="20"/>
          <w:lang w:val="en-US"/>
        </w:rPr>
        <w:t xml:space="preserve">and </w:t>
      </w:r>
    </w:p>
    <w:p w14:paraId="5DE21575">
      <w:pPr>
        <w:pStyle w:val="149"/>
        <w:rPr>
          <w:rFonts w:hint="default" w:ascii="Arial" w:hAnsi="Arial" w:cs="Arial"/>
          <w:b/>
          <w:bCs/>
          <w:sz w:val="20"/>
          <w:lang w:val="en-US"/>
        </w:rPr>
      </w:pPr>
      <w:r>
        <w:rPr>
          <w:rFonts w:ascii="Arial" w:hAnsi="Arial" w:cs="Arial"/>
          <w:b/>
          <w:bCs/>
          <w:sz w:val="20"/>
        </w:rPr>
        <w:t>Above For building works</w:t>
      </w:r>
      <w:r>
        <w:rPr>
          <w:rFonts w:hint="default" w:ascii="Arial" w:hAnsi="Arial" w:cs="Arial"/>
          <w:b/>
          <w:bCs/>
          <w:sz w:val="20"/>
          <w:lang w:val="en-US"/>
        </w:rPr>
        <w:t>,Water and Electrical Works.</w:t>
      </w:r>
    </w:p>
    <w:p w14:paraId="4B19E75D">
      <w:pPr>
        <w:pStyle w:val="149"/>
        <w:rPr>
          <w:rFonts w:ascii="Arial" w:hAnsi="Arial" w:cs="Arial"/>
          <w:b/>
          <w:bCs/>
          <w:sz w:val="20"/>
        </w:rPr>
      </w:pPr>
      <w:r>
        <w:rPr>
          <w:rFonts w:ascii="Arial" w:hAnsi="Arial" w:cs="Arial"/>
          <w:b/>
          <w:bCs/>
          <w:sz w:val="20"/>
        </w:rPr>
        <w:t>3. Certified copy of company’s list of directors, beneficial owners,</w:t>
      </w:r>
    </w:p>
    <w:p w14:paraId="3BCDAA6F">
      <w:pPr>
        <w:pStyle w:val="149"/>
        <w:rPr>
          <w:rFonts w:ascii="Arial" w:hAnsi="Arial" w:cs="Arial"/>
          <w:b/>
          <w:bCs/>
          <w:sz w:val="20"/>
        </w:rPr>
      </w:pPr>
      <w:r>
        <w:rPr>
          <w:rFonts w:ascii="Arial" w:hAnsi="Arial" w:cs="Arial"/>
          <w:b/>
          <w:bCs/>
          <w:sz w:val="20"/>
        </w:rPr>
        <w:t>name of proprietor or names of partners (Copy of CR12 )</w:t>
      </w:r>
    </w:p>
    <w:p w14:paraId="5C104162">
      <w:pPr>
        <w:pStyle w:val="149"/>
        <w:rPr>
          <w:rFonts w:ascii="Arial" w:hAnsi="Arial" w:cs="Arial"/>
          <w:b/>
          <w:bCs/>
          <w:sz w:val="20"/>
        </w:rPr>
      </w:pPr>
      <w:r>
        <w:rPr>
          <w:rFonts w:ascii="Arial" w:hAnsi="Arial" w:cs="Arial"/>
          <w:b/>
          <w:bCs/>
          <w:sz w:val="20"/>
        </w:rPr>
        <w:t>issued within the last one year and showing the list of directors</w:t>
      </w:r>
    </w:p>
    <w:p w14:paraId="76A93D5E">
      <w:pPr>
        <w:pStyle w:val="149"/>
        <w:rPr>
          <w:rFonts w:ascii="Arial" w:hAnsi="Arial" w:cs="Arial"/>
          <w:b/>
          <w:bCs/>
          <w:sz w:val="20"/>
        </w:rPr>
      </w:pPr>
      <w:r>
        <w:rPr>
          <w:rFonts w:ascii="Arial" w:hAnsi="Arial" w:cs="Arial"/>
          <w:b/>
          <w:bCs/>
          <w:sz w:val="20"/>
        </w:rPr>
        <w:t>(certified by commissioner for oaths)</w:t>
      </w:r>
    </w:p>
    <w:p w14:paraId="55A42726">
      <w:pPr>
        <w:pStyle w:val="149"/>
        <w:rPr>
          <w:rFonts w:hint="default" w:ascii="Arial" w:hAnsi="Arial" w:cs="Arial"/>
          <w:b/>
          <w:bCs/>
          <w:sz w:val="20"/>
          <w:lang w:val="en-US"/>
        </w:rPr>
      </w:pPr>
      <w:r>
        <w:rPr>
          <w:rFonts w:ascii="Arial" w:hAnsi="Arial" w:cs="Arial"/>
          <w:b/>
          <w:bCs/>
          <w:sz w:val="20"/>
        </w:rPr>
        <w:t>4.Certified Copy of Current Single business permit</w:t>
      </w:r>
      <w:r>
        <w:rPr>
          <w:rFonts w:hint="default" w:ascii="Arial" w:hAnsi="Arial" w:cs="Arial"/>
          <w:b/>
          <w:bCs/>
          <w:sz w:val="20"/>
          <w:lang w:val="en-US"/>
        </w:rPr>
        <w:t>.</w:t>
      </w:r>
    </w:p>
    <w:p w14:paraId="157EBB24">
      <w:pPr>
        <w:pStyle w:val="149"/>
        <w:rPr>
          <w:rFonts w:ascii="Arial" w:hAnsi="Arial" w:cs="Arial"/>
          <w:b/>
          <w:bCs/>
          <w:sz w:val="20"/>
        </w:rPr>
      </w:pPr>
      <w:r>
        <w:rPr>
          <w:rFonts w:ascii="Arial" w:hAnsi="Arial" w:cs="Arial"/>
          <w:b/>
          <w:bCs/>
          <w:sz w:val="20"/>
        </w:rPr>
        <w:t>5. Certified Copy of Valid Tax Compliance Certificate and</w:t>
      </w:r>
    </w:p>
    <w:p w14:paraId="39DE21DB">
      <w:pPr>
        <w:pStyle w:val="149"/>
        <w:rPr>
          <w:rFonts w:ascii="Arial" w:hAnsi="Arial" w:cs="Arial"/>
          <w:b/>
          <w:bCs/>
          <w:sz w:val="20"/>
        </w:rPr>
      </w:pPr>
      <w:r>
        <w:rPr>
          <w:rFonts w:ascii="Arial" w:hAnsi="Arial" w:cs="Arial"/>
          <w:b/>
          <w:bCs/>
          <w:sz w:val="20"/>
        </w:rPr>
        <w:t>Company KRA pin(Will be verified on the KRA TCC Checker)</w:t>
      </w:r>
    </w:p>
    <w:p w14:paraId="19C596DE">
      <w:pPr>
        <w:pStyle w:val="149"/>
        <w:rPr>
          <w:rFonts w:ascii="Arial" w:hAnsi="Arial" w:cs="Arial"/>
          <w:b/>
          <w:bCs/>
          <w:sz w:val="20"/>
        </w:rPr>
      </w:pPr>
      <w:r>
        <w:rPr>
          <w:rFonts w:ascii="Arial" w:hAnsi="Arial" w:cs="Arial"/>
          <w:b/>
          <w:bCs/>
          <w:sz w:val="20"/>
        </w:rPr>
        <w:t>6. Bid document MUST be in the original and copy and MUST be</w:t>
      </w:r>
    </w:p>
    <w:p w14:paraId="4C3980FD">
      <w:pPr>
        <w:pStyle w:val="149"/>
        <w:rPr>
          <w:rFonts w:ascii="Arial" w:hAnsi="Arial" w:cs="Arial"/>
          <w:b/>
          <w:bCs/>
          <w:sz w:val="20"/>
        </w:rPr>
      </w:pPr>
      <w:r>
        <w:rPr>
          <w:rFonts w:ascii="Arial" w:hAnsi="Arial" w:cs="Arial"/>
          <w:b/>
          <w:bCs/>
          <w:sz w:val="20"/>
        </w:rPr>
        <w:t>sequentially serialized (paginated) on every page including and not</w:t>
      </w:r>
    </w:p>
    <w:p w14:paraId="5516488B">
      <w:pPr>
        <w:pStyle w:val="149"/>
        <w:rPr>
          <w:rFonts w:ascii="Arial" w:hAnsi="Arial" w:cs="Arial"/>
          <w:b/>
          <w:bCs/>
          <w:sz w:val="20"/>
        </w:rPr>
      </w:pPr>
      <w:r>
        <w:rPr>
          <w:rFonts w:ascii="Arial" w:hAnsi="Arial" w:cs="Arial"/>
          <w:b/>
          <w:bCs/>
          <w:sz w:val="20"/>
        </w:rPr>
        <w:t>limited to attachments etc.</w:t>
      </w:r>
    </w:p>
    <w:p w14:paraId="61F0799E">
      <w:pPr>
        <w:pStyle w:val="149"/>
        <w:rPr>
          <w:rFonts w:hint="default" w:ascii="Arial" w:hAnsi="Arial" w:cs="Arial"/>
          <w:b/>
          <w:bCs/>
          <w:sz w:val="20"/>
          <w:lang w:val="en-US"/>
        </w:rPr>
      </w:pPr>
      <w:r>
        <w:rPr>
          <w:rFonts w:ascii="Arial" w:hAnsi="Arial" w:cs="Arial"/>
          <w:b/>
          <w:bCs/>
          <w:sz w:val="20"/>
        </w:rPr>
        <w:t xml:space="preserve">7. </w:t>
      </w:r>
      <w:r>
        <w:rPr>
          <w:rFonts w:hint="default" w:ascii="Arial" w:hAnsi="Arial" w:cs="Arial"/>
          <w:b/>
          <w:bCs/>
          <w:sz w:val="20"/>
          <w:lang w:val="en-US"/>
        </w:rPr>
        <w:t>Registration with EPRA Class - C2 for Solar Photo voltic</w:t>
      </w:r>
    </w:p>
    <w:p w14:paraId="1AE23FBC">
      <w:pPr>
        <w:pStyle w:val="149"/>
        <w:numPr>
          <w:numId w:val="0"/>
        </w:numPr>
        <w:ind w:left="360" w:leftChars="0"/>
        <w:rPr>
          <w:rFonts w:hint="default" w:ascii="Arial" w:hAnsi="Arial" w:cs="Arial"/>
          <w:b w:val="0"/>
          <w:bCs w:val="0"/>
          <w:sz w:val="20"/>
          <w:lang w:val="en-US"/>
        </w:rPr>
      </w:pPr>
    </w:p>
    <w:p w14:paraId="3C720544">
      <w:pPr>
        <w:pStyle w:val="149"/>
        <w:numPr>
          <w:ilvl w:val="0"/>
          <w:numId w:val="0"/>
        </w:numPr>
        <w:ind w:left="360" w:leftChars="0"/>
        <w:rPr>
          <w:rFonts w:hint="default" w:ascii="Arial" w:hAnsi="Arial" w:cs="Arial"/>
          <w:b w:val="0"/>
          <w:bCs w:val="0"/>
          <w:sz w:val="20"/>
          <w:lang w:val="en-US"/>
        </w:rPr>
      </w:pPr>
    </w:p>
    <w:p w14:paraId="3D350E15">
      <w:pPr>
        <w:pStyle w:val="149"/>
        <w:numPr>
          <w:ilvl w:val="0"/>
          <w:numId w:val="0"/>
        </w:numPr>
        <w:ind w:left="360" w:leftChars="0"/>
        <w:rPr>
          <w:rFonts w:hint="default" w:ascii="Arial" w:hAnsi="Arial" w:cs="Arial"/>
          <w:b w:val="0"/>
          <w:bCs w:val="0"/>
          <w:sz w:val="20"/>
          <w:lang w:val="en-US"/>
        </w:rPr>
      </w:pPr>
    </w:p>
    <w:p w14:paraId="7F7434C5">
      <w:pPr>
        <w:pStyle w:val="149"/>
        <w:tabs>
          <w:tab w:val="left" w:pos="540"/>
        </w:tabs>
        <w:ind w:left="720" w:firstLine="0"/>
        <w:rPr>
          <w:rFonts w:hint="default"/>
          <w:b w:val="0"/>
          <w:i/>
          <w:iCs/>
          <w:sz w:val="24"/>
          <w:szCs w:val="24"/>
          <w:lang w:val="en-US"/>
        </w:rPr>
      </w:pPr>
    </w:p>
    <w:p w14:paraId="40E95ABA">
      <w:pPr>
        <w:ind w:left="1440"/>
      </w:pPr>
    </w:p>
    <w:p w14:paraId="534A7141"/>
    <w:p w14:paraId="5AFE5B60">
      <w:pPr>
        <w:pStyle w:val="2"/>
        <w:spacing w:before="360" w:after="120"/>
        <w:ind w:left="1080"/>
        <w:rPr>
          <w:i/>
        </w:rPr>
        <w:sectPr>
          <w:headerReference r:id="rId15" w:type="default"/>
          <w:footerReference r:id="rId17" w:type="default"/>
          <w:headerReference r:id="rId16" w:type="even"/>
          <w:footerReference r:id="rId18" w:type="even"/>
          <w:type w:val="oddPage"/>
          <w:pgSz w:w="12240" w:h="15840"/>
          <w:pgMar w:top="1440" w:right="1440" w:bottom="1440" w:left="1800" w:header="720" w:footer="720" w:gutter="0"/>
          <w:paperSrc w:first="15" w:other="15"/>
          <w:cols w:space="720" w:num="1"/>
          <w:titlePg/>
        </w:sectPr>
      </w:pPr>
    </w:p>
    <w:p w14:paraId="765AAAC9">
      <w:pPr>
        <w:pStyle w:val="149"/>
      </w:pPr>
      <w:bookmarkStart w:id="377" w:name="_Toc325555969"/>
      <w:bookmarkStart w:id="378" w:name="_Toc103401422"/>
      <w:r>
        <w:t>3.</w:t>
      </w:r>
      <w:r>
        <w:tab/>
      </w:r>
      <w:r>
        <w:t>Qualification</w:t>
      </w:r>
      <w:bookmarkEnd w:id="377"/>
      <w:bookmarkEnd w:id="378"/>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5"/>
        <w:gridCol w:w="2214"/>
        <w:gridCol w:w="2055"/>
        <w:gridCol w:w="1416"/>
        <w:gridCol w:w="1477"/>
        <w:gridCol w:w="1663"/>
        <w:gridCol w:w="1663"/>
        <w:gridCol w:w="1657"/>
      </w:tblGrid>
      <w:tr w14:paraId="35387B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805" w:type="dxa"/>
            <w:tcBorders>
              <w:bottom w:val="single" w:color="auto" w:sz="4" w:space="0"/>
            </w:tcBorders>
          </w:tcPr>
          <w:p w14:paraId="32A82439">
            <w:pPr>
              <w:pStyle w:val="174"/>
              <w:tabs>
                <w:tab w:val="left" w:leader="dot" w:pos="8424"/>
              </w:tabs>
              <w:spacing w:line="240" w:lineRule="auto"/>
              <w:rPr>
                <w:sz w:val="20"/>
                <w:szCs w:val="20"/>
              </w:rPr>
            </w:pPr>
          </w:p>
        </w:tc>
        <w:tc>
          <w:tcPr>
            <w:tcW w:w="2214" w:type="dxa"/>
            <w:tcBorders>
              <w:bottom w:val="single" w:color="auto" w:sz="4" w:space="0"/>
            </w:tcBorders>
          </w:tcPr>
          <w:p w14:paraId="7782753F">
            <w:pPr>
              <w:pStyle w:val="174"/>
              <w:tabs>
                <w:tab w:val="left" w:leader="dot" w:pos="8424"/>
              </w:tabs>
              <w:spacing w:line="240" w:lineRule="auto"/>
              <w:rPr>
                <w:sz w:val="20"/>
                <w:szCs w:val="20"/>
              </w:rPr>
            </w:pPr>
          </w:p>
        </w:tc>
        <w:tc>
          <w:tcPr>
            <w:tcW w:w="2055" w:type="dxa"/>
            <w:tcBorders>
              <w:bottom w:val="single" w:color="auto" w:sz="4" w:space="0"/>
            </w:tcBorders>
          </w:tcPr>
          <w:p w14:paraId="62D8EA38">
            <w:pPr>
              <w:pStyle w:val="174"/>
              <w:tabs>
                <w:tab w:val="left" w:leader="dot" w:pos="8424"/>
              </w:tabs>
              <w:spacing w:line="240" w:lineRule="auto"/>
              <w:rPr>
                <w:sz w:val="20"/>
                <w:szCs w:val="20"/>
              </w:rPr>
            </w:pPr>
          </w:p>
        </w:tc>
        <w:tc>
          <w:tcPr>
            <w:tcW w:w="1416" w:type="dxa"/>
            <w:tcBorders>
              <w:bottom w:val="single" w:color="auto" w:sz="4" w:space="0"/>
            </w:tcBorders>
          </w:tcPr>
          <w:p w14:paraId="369E5BC2">
            <w:pPr>
              <w:pStyle w:val="174"/>
              <w:tabs>
                <w:tab w:val="left" w:leader="dot" w:pos="8424"/>
              </w:tabs>
              <w:spacing w:line="240" w:lineRule="auto"/>
              <w:rPr>
                <w:sz w:val="20"/>
                <w:szCs w:val="20"/>
              </w:rPr>
            </w:pPr>
          </w:p>
        </w:tc>
        <w:tc>
          <w:tcPr>
            <w:tcW w:w="1477" w:type="dxa"/>
            <w:tcBorders>
              <w:bottom w:val="single" w:color="auto" w:sz="4" w:space="0"/>
            </w:tcBorders>
          </w:tcPr>
          <w:p w14:paraId="7432ED27">
            <w:pPr>
              <w:pStyle w:val="174"/>
              <w:tabs>
                <w:tab w:val="left" w:leader="dot" w:pos="8424"/>
              </w:tabs>
              <w:spacing w:line="240" w:lineRule="auto"/>
              <w:rPr>
                <w:sz w:val="20"/>
                <w:szCs w:val="20"/>
              </w:rPr>
            </w:pPr>
          </w:p>
        </w:tc>
        <w:tc>
          <w:tcPr>
            <w:tcW w:w="1663" w:type="dxa"/>
            <w:tcBorders>
              <w:bottom w:val="single" w:color="auto" w:sz="4" w:space="0"/>
            </w:tcBorders>
          </w:tcPr>
          <w:p w14:paraId="60C0DC8A">
            <w:pPr>
              <w:pStyle w:val="174"/>
              <w:tabs>
                <w:tab w:val="left" w:leader="dot" w:pos="8424"/>
              </w:tabs>
              <w:spacing w:line="240" w:lineRule="auto"/>
              <w:rPr>
                <w:sz w:val="20"/>
                <w:szCs w:val="20"/>
              </w:rPr>
            </w:pPr>
          </w:p>
        </w:tc>
        <w:tc>
          <w:tcPr>
            <w:tcW w:w="1663" w:type="dxa"/>
            <w:tcBorders>
              <w:bottom w:val="single" w:color="auto" w:sz="4" w:space="0"/>
            </w:tcBorders>
          </w:tcPr>
          <w:p w14:paraId="61D97F36">
            <w:pPr>
              <w:pStyle w:val="174"/>
              <w:tabs>
                <w:tab w:val="left" w:leader="dot" w:pos="8424"/>
              </w:tabs>
              <w:spacing w:line="240" w:lineRule="auto"/>
              <w:rPr>
                <w:sz w:val="20"/>
                <w:szCs w:val="20"/>
              </w:rPr>
            </w:pPr>
          </w:p>
        </w:tc>
        <w:tc>
          <w:tcPr>
            <w:tcW w:w="1657" w:type="dxa"/>
            <w:tcBorders>
              <w:bottom w:val="single" w:color="auto" w:sz="4" w:space="0"/>
            </w:tcBorders>
          </w:tcPr>
          <w:p w14:paraId="6FF215BA">
            <w:pPr>
              <w:pStyle w:val="174"/>
              <w:tabs>
                <w:tab w:val="left" w:leader="dot" w:pos="8424"/>
              </w:tabs>
              <w:spacing w:line="240" w:lineRule="auto"/>
              <w:rPr>
                <w:sz w:val="20"/>
                <w:szCs w:val="20"/>
              </w:rPr>
            </w:pPr>
          </w:p>
        </w:tc>
      </w:tr>
      <w:tr w14:paraId="361B9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5074" w:type="dxa"/>
            <w:gridSpan w:val="3"/>
            <w:shd w:val="clear" w:color="auto" w:fill="000000"/>
          </w:tcPr>
          <w:p w14:paraId="52F905F4">
            <w:pPr>
              <w:pStyle w:val="174"/>
              <w:tabs>
                <w:tab w:val="left" w:leader="dot" w:pos="8424"/>
              </w:tabs>
              <w:spacing w:line="240" w:lineRule="auto"/>
              <w:jc w:val="center"/>
              <w:rPr>
                <w:b/>
                <w:sz w:val="20"/>
                <w:szCs w:val="20"/>
              </w:rPr>
            </w:pPr>
            <w:r>
              <w:rPr>
                <w:b/>
                <w:sz w:val="20"/>
                <w:szCs w:val="20"/>
              </w:rPr>
              <w:t>Eligibility and Qualification Criteria</w:t>
            </w:r>
          </w:p>
        </w:tc>
        <w:tc>
          <w:tcPr>
            <w:tcW w:w="6219" w:type="dxa"/>
            <w:gridSpan w:val="4"/>
            <w:shd w:val="clear" w:color="auto" w:fill="000000"/>
          </w:tcPr>
          <w:p w14:paraId="36663D34">
            <w:pPr>
              <w:pStyle w:val="174"/>
              <w:tabs>
                <w:tab w:val="left" w:leader="dot" w:pos="8424"/>
              </w:tabs>
              <w:spacing w:line="240" w:lineRule="auto"/>
              <w:jc w:val="center"/>
              <w:rPr>
                <w:b/>
                <w:sz w:val="20"/>
                <w:szCs w:val="20"/>
              </w:rPr>
            </w:pPr>
            <w:r>
              <w:rPr>
                <w:b/>
                <w:sz w:val="20"/>
                <w:szCs w:val="20"/>
              </w:rPr>
              <w:t>Compliance Requirements</w:t>
            </w:r>
          </w:p>
        </w:tc>
        <w:tc>
          <w:tcPr>
            <w:tcW w:w="1657" w:type="dxa"/>
            <w:shd w:val="clear" w:color="auto" w:fill="000000"/>
          </w:tcPr>
          <w:p w14:paraId="0B46CC62">
            <w:pPr>
              <w:pStyle w:val="174"/>
              <w:tabs>
                <w:tab w:val="left" w:leader="dot" w:pos="8424"/>
              </w:tabs>
              <w:spacing w:line="240" w:lineRule="auto"/>
              <w:jc w:val="center"/>
              <w:rPr>
                <w:b/>
                <w:sz w:val="20"/>
                <w:szCs w:val="20"/>
              </w:rPr>
            </w:pPr>
            <w:r>
              <w:rPr>
                <w:b/>
                <w:sz w:val="20"/>
                <w:szCs w:val="20"/>
              </w:rPr>
              <w:t>Documentation</w:t>
            </w:r>
          </w:p>
        </w:tc>
      </w:tr>
      <w:tr w14:paraId="29358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805" w:type="dxa"/>
            <w:vMerge w:val="restart"/>
          </w:tcPr>
          <w:p w14:paraId="5AE0B1AA">
            <w:pPr>
              <w:pStyle w:val="174"/>
              <w:tabs>
                <w:tab w:val="left" w:leader="dot" w:pos="8424"/>
              </w:tabs>
              <w:jc w:val="center"/>
              <w:rPr>
                <w:b/>
                <w:sz w:val="20"/>
                <w:szCs w:val="20"/>
              </w:rPr>
            </w:pPr>
            <w:r>
              <w:rPr>
                <w:b/>
                <w:sz w:val="20"/>
                <w:szCs w:val="20"/>
              </w:rPr>
              <w:t>No.</w:t>
            </w:r>
          </w:p>
        </w:tc>
        <w:tc>
          <w:tcPr>
            <w:tcW w:w="2214" w:type="dxa"/>
            <w:vMerge w:val="restart"/>
          </w:tcPr>
          <w:p w14:paraId="790CB499">
            <w:pPr>
              <w:pStyle w:val="174"/>
              <w:tabs>
                <w:tab w:val="left" w:leader="dot" w:pos="8424"/>
              </w:tabs>
              <w:jc w:val="center"/>
              <w:rPr>
                <w:b/>
                <w:sz w:val="20"/>
                <w:szCs w:val="20"/>
              </w:rPr>
            </w:pPr>
            <w:r>
              <w:rPr>
                <w:b/>
                <w:sz w:val="20"/>
                <w:szCs w:val="20"/>
              </w:rPr>
              <w:t>Subject</w:t>
            </w:r>
          </w:p>
        </w:tc>
        <w:tc>
          <w:tcPr>
            <w:tcW w:w="2055" w:type="dxa"/>
            <w:vMerge w:val="restart"/>
          </w:tcPr>
          <w:p w14:paraId="77795CB9">
            <w:pPr>
              <w:pStyle w:val="174"/>
              <w:tabs>
                <w:tab w:val="left" w:leader="dot" w:pos="8424"/>
              </w:tabs>
              <w:jc w:val="center"/>
              <w:rPr>
                <w:b/>
                <w:sz w:val="20"/>
                <w:szCs w:val="20"/>
              </w:rPr>
            </w:pPr>
            <w:r>
              <w:rPr>
                <w:b/>
                <w:sz w:val="20"/>
                <w:szCs w:val="20"/>
              </w:rPr>
              <w:t>Requirement</w:t>
            </w:r>
          </w:p>
        </w:tc>
        <w:tc>
          <w:tcPr>
            <w:tcW w:w="1416" w:type="dxa"/>
            <w:vMerge w:val="restart"/>
          </w:tcPr>
          <w:p w14:paraId="05E70AE3">
            <w:pPr>
              <w:pStyle w:val="174"/>
              <w:tabs>
                <w:tab w:val="left" w:leader="dot" w:pos="8424"/>
              </w:tabs>
              <w:jc w:val="center"/>
              <w:rPr>
                <w:b/>
                <w:sz w:val="20"/>
                <w:szCs w:val="20"/>
              </w:rPr>
            </w:pPr>
            <w:r>
              <w:rPr>
                <w:b/>
                <w:sz w:val="20"/>
                <w:szCs w:val="20"/>
              </w:rPr>
              <w:t>Single Entity</w:t>
            </w:r>
          </w:p>
        </w:tc>
        <w:tc>
          <w:tcPr>
            <w:tcW w:w="4803" w:type="dxa"/>
            <w:gridSpan w:val="3"/>
          </w:tcPr>
          <w:p w14:paraId="0B996CAD">
            <w:pPr>
              <w:pStyle w:val="174"/>
              <w:tabs>
                <w:tab w:val="left" w:leader="dot" w:pos="8424"/>
              </w:tabs>
              <w:spacing w:line="240" w:lineRule="auto"/>
              <w:jc w:val="center"/>
              <w:rPr>
                <w:b/>
                <w:sz w:val="20"/>
                <w:szCs w:val="20"/>
              </w:rPr>
            </w:pPr>
            <w:r>
              <w:rPr>
                <w:b/>
                <w:sz w:val="20"/>
                <w:szCs w:val="20"/>
              </w:rPr>
              <w:t>Joint Venture (existing or intended)</w:t>
            </w:r>
          </w:p>
        </w:tc>
        <w:tc>
          <w:tcPr>
            <w:tcW w:w="1657" w:type="dxa"/>
            <w:vMerge w:val="restart"/>
          </w:tcPr>
          <w:p w14:paraId="17EAE3E5">
            <w:pPr>
              <w:pStyle w:val="174"/>
              <w:tabs>
                <w:tab w:val="left" w:leader="dot" w:pos="8424"/>
              </w:tabs>
              <w:jc w:val="center"/>
              <w:rPr>
                <w:b/>
                <w:sz w:val="20"/>
                <w:szCs w:val="20"/>
              </w:rPr>
            </w:pPr>
            <w:r>
              <w:rPr>
                <w:b/>
                <w:sz w:val="20"/>
                <w:szCs w:val="20"/>
              </w:rPr>
              <w:t>Submission Requirements</w:t>
            </w:r>
          </w:p>
        </w:tc>
      </w:tr>
      <w:tr w14:paraId="26EAF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805" w:type="dxa"/>
            <w:vMerge w:val="continue"/>
          </w:tcPr>
          <w:p w14:paraId="04999801">
            <w:pPr>
              <w:pStyle w:val="174"/>
              <w:tabs>
                <w:tab w:val="left" w:leader="dot" w:pos="8424"/>
              </w:tabs>
              <w:spacing w:line="240" w:lineRule="auto"/>
              <w:jc w:val="center"/>
              <w:rPr>
                <w:b/>
                <w:sz w:val="20"/>
                <w:szCs w:val="20"/>
              </w:rPr>
            </w:pPr>
          </w:p>
        </w:tc>
        <w:tc>
          <w:tcPr>
            <w:tcW w:w="2214" w:type="dxa"/>
            <w:vMerge w:val="continue"/>
          </w:tcPr>
          <w:p w14:paraId="136905B4">
            <w:pPr>
              <w:pStyle w:val="174"/>
              <w:tabs>
                <w:tab w:val="left" w:leader="dot" w:pos="8424"/>
              </w:tabs>
              <w:spacing w:line="240" w:lineRule="auto"/>
              <w:jc w:val="center"/>
              <w:rPr>
                <w:b/>
                <w:sz w:val="20"/>
                <w:szCs w:val="20"/>
              </w:rPr>
            </w:pPr>
          </w:p>
        </w:tc>
        <w:tc>
          <w:tcPr>
            <w:tcW w:w="2055" w:type="dxa"/>
            <w:vMerge w:val="continue"/>
          </w:tcPr>
          <w:p w14:paraId="3F0C8BBA">
            <w:pPr>
              <w:pStyle w:val="174"/>
              <w:tabs>
                <w:tab w:val="left" w:leader="dot" w:pos="8424"/>
              </w:tabs>
              <w:spacing w:line="240" w:lineRule="auto"/>
              <w:jc w:val="center"/>
              <w:rPr>
                <w:b/>
                <w:sz w:val="20"/>
                <w:szCs w:val="20"/>
              </w:rPr>
            </w:pPr>
          </w:p>
        </w:tc>
        <w:tc>
          <w:tcPr>
            <w:tcW w:w="1416" w:type="dxa"/>
            <w:vMerge w:val="continue"/>
          </w:tcPr>
          <w:p w14:paraId="5F594765">
            <w:pPr>
              <w:pStyle w:val="174"/>
              <w:tabs>
                <w:tab w:val="left" w:leader="dot" w:pos="8424"/>
              </w:tabs>
              <w:spacing w:line="240" w:lineRule="auto"/>
              <w:jc w:val="center"/>
              <w:rPr>
                <w:b/>
                <w:sz w:val="20"/>
                <w:szCs w:val="20"/>
              </w:rPr>
            </w:pPr>
          </w:p>
        </w:tc>
        <w:tc>
          <w:tcPr>
            <w:tcW w:w="1477" w:type="dxa"/>
          </w:tcPr>
          <w:p w14:paraId="7F14CBF3">
            <w:pPr>
              <w:pStyle w:val="174"/>
              <w:tabs>
                <w:tab w:val="left" w:leader="dot" w:pos="8424"/>
              </w:tabs>
              <w:spacing w:line="240" w:lineRule="auto"/>
              <w:jc w:val="center"/>
              <w:rPr>
                <w:b/>
                <w:sz w:val="20"/>
                <w:szCs w:val="20"/>
              </w:rPr>
            </w:pPr>
            <w:r>
              <w:rPr>
                <w:b/>
                <w:sz w:val="20"/>
                <w:szCs w:val="20"/>
              </w:rPr>
              <w:t>All Parties Combined</w:t>
            </w:r>
          </w:p>
        </w:tc>
        <w:tc>
          <w:tcPr>
            <w:tcW w:w="1663" w:type="dxa"/>
          </w:tcPr>
          <w:p w14:paraId="5BE11672">
            <w:pPr>
              <w:pStyle w:val="174"/>
              <w:tabs>
                <w:tab w:val="left" w:leader="dot" w:pos="8424"/>
              </w:tabs>
              <w:spacing w:line="240" w:lineRule="auto"/>
              <w:jc w:val="center"/>
              <w:rPr>
                <w:b/>
                <w:sz w:val="20"/>
                <w:szCs w:val="20"/>
              </w:rPr>
            </w:pPr>
            <w:r>
              <w:rPr>
                <w:b/>
                <w:sz w:val="20"/>
                <w:szCs w:val="20"/>
              </w:rPr>
              <w:t>Each Member</w:t>
            </w:r>
          </w:p>
        </w:tc>
        <w:tc>
          <w:tcPr>
            <w:tcW w:w="1663" w:type="dxa"/>
          </w:tcPr>
          <w:p w14:paraId="65270647">
            <w:pPr>
              <w:pStyle w:val="174"/>
              <w:tabs>
                <w:tab w:val="left" w:leader="dot" w:pos="8424"/>
              </w:tabs>
              <w:spacing w:line="240" w:lineRule="auto"/>
              <w:jc w:val="center"/>
              <w:rPr>
                <w:b/>
                <w:sz w:val="20"/>
                <w:szCs w:val="20"/>
              </w:rPr>
            </w:pPr>
            <w:r>
              <w:rPr>
                <w:b/>
                <w:sz w:val="20"/>
                <w:szCs w:val="20"/>
              </w:rPr>
              <w:t>One Member</w:t>
            </w:r>
          </w:p>
        </w:tc>
        <w:tc>
          <w:tcPr>
            <w:tcW w:w="1657" w:type="dxa"/>
            <w:vMerge w:val="continue"/>
          </w:tcPr>
          <w:p w14:paraId="2528BD18">
            <w:pPr>
              <w:pStyle w:val="174"/>
              <w:tabs>
                <w:tab w:val="left" w:leader="dot" w:pos="8424"/>
              </w:tabs>
              <w:spacing w:line="240" w:lineRule="auto"/>
              <w:jc w:val="center"/>
              <w:rPr>
                <w:b/>
                <w:sz w:val="20"/>
                <w:szCs w:val="20"/>
              </w:rPr>
            </w:pPr>
          </w:p>
        </w:tc>
      </w:tr>
      <w:tr w14:paraId="650A2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50" w:type="dxa"/>
            <w:gridSpan w:val="8"/>
          </w:tcPr>
          <w:p w14:paraId="1F6E4999">
            <w:pPr>
              <w:pStyle w:val="150"/>
              <w:spacing w:before="120"/>
            </w:pPr>
            <w:bookmarkStart w:id="379" w:name="_Toc38527251"/>
            <w:bookmarkStart w:id="380" w:name="_Toc107899636"/>
            <w:r>
              <w:t>1. Eligibility</w:t>
            </w:r>
            <w:bookmarkEnd w:id="379"/>
            <w:bookmarkEnd w:id="380"/>
          </w:p>
        </w:tc>
      </w:tr>
      <w:tr w14:paraId="198BA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513AA0EE">
            <w:pPr>
              <w:pStyle w:val="174"/>
              <w:tabs>
                <w:tab w:val="left" w:leader="dot" w:pos="8424"/>
              </w:tabs>
              <w:spacing w:line="240" w:lineRule="auto"/>
              <w:rPr>
                <w:sz w:val="20"/>
                <w:szCs w:val="20"/>
              </w:rPr>
            </w:pPr>
            <w:r>
              <w:rPr>
                <w:sz w:val="20"/>
                <w:szCs w:val="20"/>
              </w:rPr>
              <w:t>1.1</w:t>
            </w:r>
          </w:p>
        </w:tc>
        <w:tc>
          <w:tcPr>
            <w:tcW w:w="2214" w:type="dxa"/>
          </w:tcPr>
          <w:p w14:paraId="513CB72E">
            <w:pPr>
              <w:pStyle w:val="174"/>
              <w:tabs>
                <w:tab w:val="left" w:leader="dot" w:pos="8424"/>
              </w:tabs>
              <w:spacing w:line="240" w:lineRule="auto"/>
              <w:rPr>
                <w:b/>
                <w:sz w:val="20"/>
                <w:szCs w:val="20"/>
              </w:rPr>
            </w:pPr>
            <w:r>
              <w:rPr>
                <w:b/>
                <w:sz w:val="20"/>
                <w:szCs w:val="20"/>
              </w:rPr>
              <w:t>Nationality</w:t>
            </w:r>
          </w:p>
        </w:tc>
        <w:tc>
          <w:tcPr>
            <w:tcW w:w="2055" w:type="dxa"/>
          </w:tcPr>
          <w:p w14:paraId="214C4F0E">
            <w:pPr>
              <w:pStyle w:val="174"/>
              <w:tabs>
                <w:tab w:val="left" w:leader="dot" w:pos="8424"/>
              </w:tabs>
              <w:spacing w:line="240" w:lineRule="auto"/>
              <w:rPr>
                <w:sz w:val="20"/>
                <w:szCs w:val="20"/>
              </w:rPr>
            </w:pPr>
            <w:r>
              <w:rPr>
                <w:sz w:val="20"/>
                <w:szCs w:val="20"/>
              </w:rPr>
              <w:t>Nationality in accordance with ITB  4.3</w:t>
            </w:r>
          </w:p>
        </w:tc>
        <w:tc>
          <w:tcPr>
            <w:tcW w:w="1416" w:type="dxa"/>
          </w:tcPr>
          <w:p w14:paraId="0781A2C8">
            <w:pPr>
              <w:pStyle w:val="174"/>
              <w:tabs>
                <w:tab w:val="left" w:leader="dot" w:pos="8424"/>
              </w:tabs>
              <w:spacing w:line="240" w:lineRule="auto"/>
              <w:rPr>
                <w:sz w:val="20"/>
                <w:szCs w:val="20"/>
              </w:rPr>
            </w:pPr>
            <w:r>
              <w:rPr>
                <w:sz w:val="20"/>
                <w:szCs w:val="20"/>
              </w:rPr>
              <w:t>Must meet requirement</w:t>
            </w:r>
          </w:p>
        </w:tc>
        <w:tc>
          <w:tcPr>
            <w:tcW w:w="1477" w:type="dxa"/>
          </w:tcPr>
          <w:p w14:paraId="134E8C34">
            <w:pPr>
              <w:pStyle w:val="174"/>
              <w:tabs>
                <w:tab w:val="left" w:leader="dot" w:pos="8424"/>
              </w:tabs>
              <w:spacing w:line="240" w:lineRule="auto"/>
              <w:rPr>
                <w:sz w:val="20"/>
                <w:szCs w:val="20"/>
              </w:rPr>
            </w:pPr>
            <w:r>
              <w:rPr>
                <w:sz w:val="20"/>
                <w:szCs w:val="20"/>
              </w:rPr>
              <w:t>N/A</w:t>
            </w:r>
          </w:p>
        </w:tc>
        <w:tc>
          <w:tcPr>
            <w:tcW w:w="1663" w:type="dxa"/>
          </w:tcPr>
          <w:p w14:paraId="47656D8C">
            <w:pPr>
              <w:pStyle w:val="174"/>
              <w:tabs>
                <w:tab w:val="left" w:leader="dot" w:pos="8424"/>
              </w:tabs>
              <w:spacing w:line="240" w:lineRule="auto"/>
              <w:rPr>
                <w:sz w:val="20"/>
                <w:szCs w:val="20"/>
              </w:rPr>
            </w:pPr>
            <w:r>
              <w:rPr>
                <w:sz w:val="20"/>
                <w:szCs w:val="20"/>
              </w:rPr>
              <w:t>Must meet requirement</w:t>
            </w:r>
          </w:p>
        </w:tc>
        <w:tc>
          <w:tcPr>
            <w:tcW w:w="1663" w:type="dxa"/>
          </w:tcPr>
          <w:p w14:paraId="192878B7">
            <w:pPr>
              <w:pStyle w:val="174"/>
              <w:tabs>
                <w:tab w:val="left" w:leader="dot" w:pos="8424"/>
              </w:tabs>
              <w:spacing w:line="240" w:lineRule="auto"/>
              <w:rPr>
                <w:sz w:val="20"/>
                <w:szCs w:val="20"/>
              </w:rPr>
            </w:pPr>
            <w:r>
              <w:rPr>
                <w:sz w:val="20"/>
                <w:szCs w:val="20"/>
              </w:rPr>
              <w:t>N/A</w:t>
            </w:r>
          </w:p>
        </w:tc>
        <w:tc>
          <w:tcPr>
            <w:tcW w:w="1657" w:type="dxa"/>
          </w:tcPr>
          <w:p w14:paraId="40ABCAB0">
            <w:pPr>
              <w:pStyle w:val="174"/>
              <w:tabs>
                <w:tab w:val="left" w:leader="dot" w:pos="8424"/>
              </w:tabs>
              <w:spacing w:line="240" w:lineRule="auto"/>
              <w:rPr>
                <w:sz w:val="20"/>
                <w:szCs w:val="20"/>
              </w:rPr>
            </w:pPr>
            <w:r>
              <w:rPr>
                <w:sz w:val="20"/>
                <w:szCs w:val="20"/>
              </w:rPr>
              <w:t>Forms ELI – 1.1 and 1.2, with attachments</w:t>
            </w:r>
          </w:p>
        </w:tc>
      </w:tr>
      <w:tr w14:paraId="0ABEB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1D0645E8">
            <w:pPr>
              <w:pStyle w:val="174"/>
              <w:tabs>
                <w:tab w:val="left" w:leader="dot" w:pos="8424"/>
              </w:tabs>
              <w:spacing w:line="240" w:lineRule="auto"/>
              <w:rPr>
                <w:sz w:val="20"/>
                <w:szCs w:val="20"/>
              </w:rPr>
            </w:pPr>
            <w:r>
              <w:rPr>
                <w:sz w:val="20"/>
                <w:szCs w:val="20"/>
              </w:rPr>
              <w:t>1.2</w:t>
            </w:r>
          </w:p>
        </w:tc>
        <w:tc>
          <w:tcPr>
            <w:tcW w:w="2214" w:type="dxa"/>
          </w:tcPr>
          <w:p w14:paraId="14B48E14">
            <w:pPr>
              <w:pStyle w:val="174"/>
              <w:tabs>
                <w:tab w:val="left" w:leader="dot" w:pos="8424"/>
              </w:tabs>
              <w:spacing w:line="240" w:lineRule="auto"/>
              <w:rPr>
                <w:b/>
                <w:sz w:val="20"/>
                <w:szCs w:val="20"/>
              </w:rPr>
            </w:pPr>
            <w:r>
              <w:rPr>
                <w:b/>
                <w:sz w:val="20"/>
                <w:szCs w:val="20"/>
              </w:rPr>
              <w:t>Conflict of Interest</w:t>
            </w:r>
          </w:p>
        </w:tc>
        <w:tc>
          <w:tcPr>
            <w:tcW w:w="2055" w:type="dxa"/>
          </w:tcPr>
          <w:p w14:paraId="6DBB62F7">
            <w:pPr>
              <w:pStyle w:val="174"/>
              <w:tabs>
                <w:tab w:val="left" w:leader="dot" w:pos="8424"/>
              </w:tabs>
              <w:spacing w:line="240" w:lineRule="auto"/>
              <w:rPr>
                <w:sz w:val="20"/>
                <w:szCs w:val="20"/>
              </w:rPr>
            </w:pPr>
            <w:r>
              <w:rPr>
                <w:sz w:val="20"/>
                <w:szCs w:val="20"/>
              </w:rPr>
              <w:t>No conflicts of interest in accordance with ITB  4.2</w:t>
            </w:r>
          </w:p>
        </w:tc>
        <w:tc>
          <w:tcPr>
            <w:tcW w:w="1416" w:type="dxa"/>
          </w:tcPr>
          <w:p w14:paraId="48D0856E">
            <w:pPr>
              <w:pStyle w:val="174"/>
              <w:tabs>
                <w:tab w:val="left" w:leader="dot" w:pos="8424"/>
              </w:tabs>
              <w:spacing w:line="240" w:lineRule="auto"/>
              <w:rPr>
                <w:sz w:val="20"/>
                <w:szCs w:val="20"/>
              </w:rPr>
            </w:pPr>
            <w:r>
              <w:rPr>
                <w:sz w:val="20"/>
                <w:szCs w:val="20"/>
              </w:rPr>
              <w:t>Must meet requirement</w:t>
            </w:r>
          </w:p>
        </w:tc>
        <w:tc>
          <w:tcPr>
            <w:tcW w:w="1477" w:type="dxa"/>
          </w:tcPr>
          <w:p w14:paraId="029BB5CA">
            <w:pPr>
              <w:pStyle w:val="174"/>
              <w:tabs>
                <w:tab w:val="left" w:leader="dot" w:pos="8424"/>
              </w:tabs>
              <w:spacing w:line="240" w:lineRule="auto"/>
              <w:rPr>
                <w:sz w:val="20"/>
                <w:szCs w:val="20"/>
              </w:rPr>
            </w:pPr>
            <w:r>
              <w:rPr>
                <w:sz w:val="20"/>
                <w:szCs w:val="20"/>
              </w:rPr>
              <w:t>N/A</w:t>
            </w:r>
          </w:p>
        </w:tc>
        <w:tc>
          <w:tcPr>
            <w:tcW w:w="1663" w:type="dxa"/>
          </w:tcPr>
          <w:p w14:paraId="2A99BE48">
            <w:pPr>
              <w:pStyle w:val="174"/>
              <w:tabs>
                <w:tab w:val="left" w:leader="dot" w:pos="8424"/>
              </w:tabs>
              <w:spacing w:line="240" w:lineRule="auto"/>
              <w:rPr>
                <w:sz w:val="20"/>
                <w:szCs w:val="20"/>
              </w:rPr>
            </w:pPr>
            <w:r>
              <w:rPr>
                <w:sz w:val="20"/>
                <w:szCs w:val="20"/>
              </w:rPr>
              <w:t>Must meet requirement</w:t>
            </w:r>
          </w:p>
        </w:tc>
        <w:tc>
          <w:tcPr>
            <w:tcW w:w="1663" w:type="dxa"/>
          </w:tcPr>
          <w:p w14:paraId="672596F7">
            <w:pPr>
              <w:pStyle w:val="174"/>
              <w:tabs>
                <w:tab w:val="left" w:leader="dot" w:pos="8424"/>
              </w:tabs>
              <w:spacing w:line="240" w:lineRule="auto"/>
              <w:rPr>
                <w:sz w:val="20"/>
                <w:szCs w:val="20"/>
              </w:rPr>
            </w:pPr>
            <w:r>
              <w:rPr>
                <w:sz w:val="20"/>
                <w:szCs w:val="20"/>
              </w:rPr>
              <w:t>N/A</w:t>
            </w:r>
          </w:p>
        </w:tc>
        <w:tc>
          <w:tcPr>
            <w:tcW w:w="1657" w:type="dxa"/>
          </w:tcPr>
          <w:p w14:paraId="281D6529">
            <w:pPr>
              <w:pStyle w:val="174"/>
              <w:tabs>
                <w:tab w:val="left" w:leader="dot" w:pos="8424"/>
              </w:tabs>
              <w:spacing w:line="240" w:lineRule="auto"/>
              <w:rPr>
                <w:sz w:val="20"/>
                <w:szCs w:val="20"/>
              </w:rPr>
            </w:pPr>
            <w:r>
              <w:rPr>
                <w:sz w:val="20"/>
                <w:szCs w:val="20"/>
              </w:rPr>
              <w:t>Letter of Bid</w:t>
            </w:r>
          </w:p>
        </w:tc>
      </w:tr>
      <w:tr w14:paraId="7AE4F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509F2E83">
            <w:pPr>
              <w:pStyle w:val="174"/>
              <w:tabs>
                <w:tab w:val="left" w:leader="dot" w:pos="8424"/>
              </w:tabs>
              <w:spacing w:line="240" w:lineRule="auto"/>
              <w:rPr>
                <w:sz w:val="20"/>
                <w:szCs w:val="20"/>
              </w:rPr>
            </w:pPr>
            <w:r>
              <w:rPr>
                <w:sz w:val="20"/>
                <w:szCs w:val="20"/>
              </w:rPr>
              <w:t>1.3</w:t>
            </w:r>
          </w:p>
        </w:tc>
        <w:tc>
          <w:tcPr>
            <w:tcW w:w="2214" w:type="dxa"/>
          </w:tcPr>
          <w:p w14:paraId="05C82F69">
            <w:pPr>
              <w:pStyle w:val="174"/>
              <w:tabs>
                <w:tab w:val="left" w:leader="dot" w:pos="8424"/>
              </w:tabs>
              <w:spacing w:line="240" w:lineRule="auto"/>
              <w:rPr>
                <w:b/>
                <w:sz w:val="20"/>
                <w:szCs w:val="20"/>
              </w:rPr>
            </w:pPr>
            <w:r>
              <w:rPr>
                <w:b/>
                <w:sz w:val="20"/>
                <w:szCs w:val="20"/>
              </w:rPr>
              <w:t>Bank Eligibility</w:t>
            </w:r>
          </w:p>
        </w:tc>
        <w:tc>
          <w:tcPr>
            <w:tcW w:w="2055" w:type="dxa"/>
          </w:tcPr>
          <w:p w14:paraId="6BCF7E1F">
            <w:pPr>
              <w:pStyle w:val="174"/>
              <w:tabs>
                <w:tab w:val="left" w:leader="dot" w:pos="8424"/>
              </w:tabs>
              <w:spacing w:line="240" w:lineRule="auto"/>
              <w:rPr>
                <w:sz w:val="20"/>
                <w:szCs w:val="20"/>
              </w:rPr>
            </w:pPr>
            <w:r>
              <w:rPr>
                <w:sz w:val="20"/>
                <w:szCs w:val="20"/>
              </w:rPr>
              <w:t>Not having been declared ineligible by the Bank, as described in ITB 4.4, 4.5, 4.6 and 4.7</w:t>
            </w:r>
          </w:p>
        </w:tc>
        <w:tc>
          <w:tcPr>
            <w:tcW w:w="1416" w:type="dxa"/>
          </w:tcPr>
          <w:p w14:paraId="12266732">
            <w:pPr>
              <w:pStyle w:val="174"/>
              <w:tabs>
                <w:tab w:val="left" w:leader="dot" w:pos="8424"/>
              </w:tabs>
              <w:spacing w:line="240" w:lineRule="auto"/>
              <w:rPr>
                <w:sz w:val="20"/>
                <w:szCs w:val="20"/>
              </w:rPr>
            </w:pPr>
            <w:r>
              <w:rPr>
                <w:sz w:val="20"/>
                <w:szCs w:val="20"/>
              </w:rPr>
              <w:t>Must meet requirement</w:t>
            </w:r>
          </w:p>
        </w:tc>
        <w:tc>
          <w:tcPr>
            <w:tcW w:w="1477" w:type="dxa"/>
          </w:tcPr>
          <w:p w14:paraId="6651AD6C">
            <w:pPr>
              <w:pStyle w:val="174"/>
              <w:tabs>
                <w:tab w:val="left" w:leader="dot" w:pos="8424"/>
              </w:tabs>
              <w:spacing w:line="240" w:lineRule="auto"/>
              <w:rPr>
                <w:sz w:val="20"/>
                <w:szCs w:val="20"/>
              </w:rPr>
            </w:pPr>
            <w:r>
              <w:rPr>
                <w:sz w:val="20"/>
                <w:szCs w:val="20"/>
              </w:rPr>
              <w:t>N/A</w:t>
            </w:r>
          </w:p>
        </w:tc>
        <w:tc>
          <w:tcPr>
            <w:tcW w:w="1663" w:type="dxa"/>
          </w:tcPr>
          <w:p w14:paraId="6676F447">
            <w:pPr>
              <w:pStyle w:val="174"/>
              <w:tabs>
                <w:tab w:val="left" w:leader="dot" w:pos="8424"/>
              </w:tabs>
              <w:spacing w:line="240" w:lineRule="auto"/>
              <w:rPr>
                <w:sz w:val="20"/>
                <w:szCs w:val="20"/>
              </w:rPr>
            </w:pPr>
            <w:r>
              <w:rPr>
                <w:sz w:val="20"/>
                <w:szCs w:val="20"/>
              </w:rPr>
              <w:t>Must meet requirement</w:t>
            </w:r>
          </w:p>
        </w:tc>
        <w:tc>
          <w:tcPr>
            <w:tcW w:w="1663" w:type="dxa"/>
          </w:tcPr>
          <w:p w14:paraId="7C864525">
            <w:r>
              <w:rPr>
                <w:sz w:val="20"/>
              </w:rPr>
              <w:t>N/A</w:t>
            </w:r>
          </w:p>
          <w:p w14:paraId="46179839">
            <w:pPr>
              <w:pStyle w:val="174"/>
              <w:tabs>
                <w:tab w:val="left" w:leader="dot" w:pos="8424"/>
              </w:tabs>
              <w:spacing w:line="240" w:lineRule="auto"/>
              <w:rPr>
                <w:sz w:val="20"/>
                <w:szCs w:val="20"/>
              </w:rPr>
            </w:pPr>
          </w:p>
        </w:tc>
        <w:tc>
          <w:tcPr>
            <w:tcW w:w="1657" w:type="dxa"/>
          </w:tcPr>
          <w:p w14:paraId="12379F3F">
            <w:pPr>
              <w:pStyle w:val="174"/>
              <w:tabs>
                <w:tab w:val="left" w:leader="dot" w:pos="8424"/>
              </w:tabs>
              <w:spacing w:line="240" w:lineRule="auto"/>
              <w:rPr>
                <w:sz w:val="20"/>
                <w:szCs w:val="20"/>
              </w:rPr>
            </w:pPr>
            <w:r>
              <w:rPr>
                <w:sz w:val="20"/>
                <w:szCs w:val="20"/>
              </w:rPr>
              <w:t>Letter of Bid</w:t>
            </w:r>
          </w:p>
        </w:tc>
      </w:tr>
      <w:tr w14:paraId="11376C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3C6CB6DC">
            <w:pPr>
              <w:pStyle w:val="174"/>
              <w:tabs>
                <w:tab w:val="left" w:leader="dot" w:pos="8424"/>
              </w:tabs>
              <w:spacing w:line="240" w:lineRule="auto"/>
              <w:rPr>
                <w:sz w:val="20"/>
                <w:szCs w:val="20"/>
              </w:rPr>
            </w:pPr>
            <w:r>
              <w:rPr>
                <w:sz w:val="20"/>
                <w:szCs w:val="20"/>
              </w:rPr>
              <w:t xml:space="preserve">1.4 </w:t>
            </w:r>
          </w:p>
        </w:tc>
        <w:tc>
          <w:tcPr>
            <w:tcW w:w="2214" w:type="dxa"/>
          </w:tcPr>
          <w:p w14:paraId="31AFF1B6">
            <w:pPr>
              <w:pStyle w:val="174"/>
              <w:tabs>
                <w:tab w:val="left" w:leader="dot" w:pos="8424"/>
              </w:tabs>
              <w:spacing w:line="240" w:lineRule="auto"/>
              <w:rPr>
                <w:b/>
                <w:sz w:val="20"/>
                <w:szCs w:val="20"/>
              </w:rPr>
            </w:pPr>
            <w:r>
              <w:rPr>
                <w:b/>
                <w:sz w:val="20"/>
                <w:szCs w:val="20"/>
              </w:rPr>
              <w:t>Government Owned Entity of the Borrower country</w:t>
            </w:r>
          </w:p>
        </w:tc>
        <w:tc>
          <w:tcPr>
            <w:tcW w:w="2055" w:type="dxa"/>
          </w:tcPr>
          <w:p w14:paraId="45D89A26">
            <w:pPr>
              <w:pStyle w:val="174"/>
              <w:tabs>
                <w:tab w:val="left" w:leader="dot" w:pos="8424"/>
              </w:tabs>
              <w:spacing w:line="240" w:lineRule="auto"/>
              <w:rPr>
                <w:sz w:val="20"/>
                <w:szCs w:val="20"/>
              </w:rPr>
            </w:pPr>
            <w:r>
              <w:rPr>
                <w:sz w:val="20"/>
                <w:szCs w:val="20"/>
              </w:rPr>
              <w:t>Meets conditions of ITB  4.5</w:t>
            </w:r>
          </w:p>
        </w:tc>
        <w:tc>
          <w:tcPr>
            <w:tcW w:w="1416" w:type="dxa"/>
          </w:tcPr>
          <w:p w14:paraId="219E8524">
            <w:pPr>
              <w:pStyle w:val="174"/>
              <w:tabs>
                <w:tab w:val="left" w:leader="dot" w:pos="8424"/>
              </w:tabs>
              <w:spacing w:line="240" w:lineRule="auto"/>
              <w:rPr>
                <w:sz w:val="20"/>
                <w:szCs w:val="20"/>
              </w:rPr>
            </w:pPr>
            <w:r>
              <w:rPr>
                <w:sz w:val="20"/>
                <w:szCs w:val="20"/>
              </w:rPr>
              <w:t>Must meet requirement</w:t>
            </w:r>
          </w:p>
        </w:tc>
        <w:tc>
          <w:tcPr>
            <w:tcW w:w="1477" w:type="dxa"/>
          </w:tcPr>
          <w:p w14:paraId="596667AE">
            <w:pPr>
              <w:pStyle w:val="174"/>
              <w:tabs>
                <w:tab w:val="left" w:leader="dot" w:pos="8424"/>
              </w:tabs>
              <w:spacing w:line="240" w:lineRule="auto"/>
              <w:rPr>
                <w:sz w:val="20"/>
                <w:szCs w:val="20"/>
              </w:rPr>
            </w:pPr>
            <w:r>
              <w:rPr>
                <w:sz w:val="20"/>
                <w:szCs w:val="20"/>
              </w:rPr>
              <w:t>N/A</w:t>
            </w:r>
          </w:p>
        </w:tc>
        <w:tc>
          <w:tcPr>
            <w:tcW w:w="1663" w:type="dxa"/>
          </w:tcPr>
          <w:p w14:paraId="48A4617E">
            <w:pPr>
              <w:pStyle w:val="174"/>
              <w:tabs>
                <w:tab w:val="left" w:leader="dot" w:pos="8424"/>
              </w:tabs>
              <w:spacing w:line="240" w:lineRule="auto"/>
              <w:rPr>
                <w:sz w:val="20"/>
                <w:szCs w:val="20"/>
              </w:rPr>
            </w:pPr>
            <w:r>
              <w:rPr>
                <w:sz w:val="20"/>
                <w:szCs w:val="20"/>
              </w:rPr>
              <w:t>Must meet requirement</w:t>
            </w:r>
          </w:p>
        </w:tc>
        <w:tc>
          <w:tcPr>
            <w:tcW w:w="1663" w:type="dxa"/>
          </w:tcPr>
          <w:p w14:paraId="653CEC19">
            <w:r>
              <w:rPr>
                <w:sz w:val="20"/>
              </w:rPr>
              <w:t>N/A</w:t>
            </w:r>
          </w:p>
          <w:p w14:paraId="6D3A664D">
            <w:pPr>
              <w:rPr>
                <w:sz w:val="20"/>
              </w:rPr>
            </w:pPr>
          </w:p>
        </w:tc>
        <w:tc>
          <w:tcPr>
            <w:tcW w:w="1657" w:type="dxa"/>
          </w:tcPr>
          <w:p w14:paraId="74739566">
            <w:pPr>
              <w:pStyle w:val="174"/>
              <w:tabs>
                <w:tab w:val="left" w:leader="dot" w:pos="8424"/>
              </w:tabs>
              <w:spacing w:line="240" w:lineRule="auto"/>
              <w:rPr>
                <w:sz w:val="20"/>
                <w:szCs w:val="20"/>
              </w:rPr>
            </w:pPr>
            <w:r>
              <w:rPr>
                <w:sz w:val="20"/>
                <w:szCs w:val="20"/>
              </w:rPr>
              <w:t>Forms ELI – 1.1 and 1.2, with attachments</w:t>
            </w:r>
          </w:p>
        </w:tc>
      </w:tr>
      <w:tr w14:paraId="727ED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4" w:hRule="atLeast"/>
        </w:trPr>
        <w:tc>
          <w:tcPr>
            <w:tcW w:w="805" w:type="dxa"/>
          </w:tcPr>
          <w:p w14:paraId="165BB312">
            <w:pPr>
              <w:pStyle w:val="174"/>
              <w:tabs>
                <w:tab w:val="left" w:leader="dot" w:pos="8424"/>
              </w:tabs>
              <w:spacing w:line="240" w:lineRule="auto"/>
              <w:rPr>
                <w:sz w:val="20"/>
                <w:szCs w:val="20"/>
              </w:rPr>
            </w:pPr>
            <w:r>
              <w:rPr>
                <w:sz w:val="20"/>
                <w:szCs w:val="20"/>
              </w:rPr>
              <w:t>1.5</w:t>
            </w:r>
          </w:p>
        </w:tc>
        <w:tc>
          <w:tcPr>
            <w:tcW w:w="2214" w:type="dxa"/>
          </w:tcPr>
          <w:p w14:paraId="56F178A1">
            <w:pPr>
              <w:pStyle w:val="174"/>
              <w:tabs>
                <w:tab w:val="left" w:leader="dot" w:pos="8424"/>
              </w:tabs>
              <w:spacing w:line="240" w:lineRule="auto"/>
              <w:rPr>
                <w:b/>
                <w:sz w:val="20"/>
                <w:szCs w:val="20"/>
              </w:rPr>
            </w:pPr>
            <w:r>
              <w:rPr>
                <w:b/>
                <w:sz w:val="20"/>
                <w:szCs w:val="20"/>
              </w:rPr>
              <w:t>United Nations resolution or Borrower’s country law</w:t>
            </w:r>
          </w:p>
        </w:tc>
        <w:tc>
          <w:tcPr>
            <w:tcW w:w="2055" w:type="dxa"/>
          </w:tcPr>
          <w:p w14:paraId="08AD9015">
            <w:pPr>
              <w:pStyle w:val="174"/>
              <w:tabs>
                <w:tab w:val="left" w:leader="dot" w:pos="8424"/>
              </w:tabs>
              <w:spacing w:line="240" w:lineRule="auto"/>
              <w:rPr>
                <w:sz w:val="20"/>
                <w:szCs w:val="20"/>
              </w:rPr>
            </w:pPr>
            <w:r>
              <w:rPr>
                <w:sz w:val="20"/>
                <w:szCs w:val="20"/>
              </w:rPr>
              <w:t>Not having been excluded as a result of prohibition in the Borrower’s country laws or official regulations against commercial relations with the Bidder’s country, or by an act of compliance with UN Security Council resolution, both in accordance with ITB 4.7 and Section V.</w:t>
            </w:r>
          </w:p>
        </w:tc>
        <w:tc>
          <w:tcPr>
            <w:tcW w:w="1416" w:type="dxa"/>
          </w:tcPr>
          <w:p w14:paraId="057D3612">
            <w:pPr>
              <w:pStyle w:val="174"/>
              <w:tabs>
                <w:tab w:val="left" w:leader="dot" w:pos="8424"/>
              </w:tabs>
              <w:spacing w:line="240" w:lineRule="auto"/>
              <w:rPr>
                <w:sz w:val="20"/>
                <w:szCs w:val="20"/>
              </w:rPr>
            </w:pPr>
            <w:r>
              <w:rPr>
                <w:sz w:val="20"/>
                <w:szCs w:val="20"/>
              </w:rPr>
              <w:t>Must meet requirement</w:t>
            </w:r>
          </w:p>
        </w:tc>
        <w:tc>
          <w:tcPr>
            <w:tcW w:w="1477" w:type="dxa"/>
          </w:tcPr>
          <w:p w14:paraId="2F900C1C">
            <w:pPr>
              <w:pStyle w:val="174"/>
              <w:tabs>
                <w:tab w:val="left" w:leader="dot" w:pos="8424"/>
              </w:tabs>
              <w:spacing w:line="240" w:lineRule="auto"/>
              <w:rPr>
                <w:sz w:val="20"/>
                <w:szCs w:val="20"/>
              </w:rPr>
            </w:pPr>
            <w:r>
              <w:rPr>
                <w:sz w:val="20"/>
                <w:szCs w:val="20"/>
              </w:rPr>
              <w:t>N/A</w:t>
            </w:r>
          </w:p>
        </w:tc>
        <w:tc>
          <w:tcPr>
            <w:tcW w:w="1663" w:type="dxa"/>
          </w:tcPr>
          <w:p w14:paraId="442D5128">
            <w:pPr>
              <w:pStyle w:val="174"/>
              <w:tabs>
                <w:tab w:val="left" w:leader="dot" w:pos="8424"/>
              </w:tabs>
              <w:spacing w:line="240" w:lineRule="auto"/>
              <w:rPr>
                <w:sz w:val="20"/>
                <w:szCs w:val="20"/>
              </w:rPr>
            </w:pPr>
            <w:r>
              <w:rPr>
                <w:sz w:val="20"/>
                <w:szCs w:val="20"/>
              </w:rPr>
              <w:t>Must meet requirement</w:t>
            </w:r>
          </w:p>
        </w:tc>
        <w:tc>
          <w:tcPr>
            <w:tcW w:w="1663" w:type="dxa"/>
          </w:tcPr>
          <w:p w14:paraId="198F5435">
            <w:r>
              <w:rPr>
                <w:sz w:val="20"/>
              </w:rPr>
              <w:t>N/A</w:t>
            </w:r>
          </w:p>
          <w:p w14:paraId="2A9E4594">
            <w:pPr>
              <w:rPr>
                <w:sz w:val="20"/>
              </w:rPr>
            </w:pPr>
          </w:p>
        </w:tc>
        <w:tc>
          <w:tcPr>
            <w:tcW w:w="1657" w:type="dxa"/>
          </w:tcPr>
          <w:p w14:paraId="14E00DD1">
            <w:pPr>
              <w:pStyle w:val="174"/>
              <w:tabs>
                <w:tab w:val="left" w:leader="dot" w:pos="8424"/>
              </w:tabs>
              <w:spacing w:line="240" w:lineRule="auto"/>
              <w:rPr>
                <w:sz w:val="20"/>
                <w:szCs w:val="20"/>
              </w:rPr>
            </w:pPr>
            <w:r>
              <w:rPr>
                <w:sz w:val="20"/>
                <w:szCs w:val="20"/>
              </w:rPr>
              <w:t>Forms ELI – 1.1 and 1.2, with attachments</w:t>
            </w:r>
          </w:p>
        </w:tc>
      </w:tr>
      <w:tr w14:paraId="029AB1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50" w:type="dxa"/>
            <w:gridSpan w:val="8"/>
          </w:tcPr>
          <w:p w14:paraId="06FBBD52">
            <w:pPr>
              <w:pStyle w:val="150"/>
              <w:spacing w:before="120"/>
            </w:pPr>
            <w:bookmarkStart w:id="381" w:name="_Toc38527252"/>
            <w:bookmarkStart w:id="382" w:name="_Toc107899637"/>
            <w:r>
              <w:t>2. Historical Contract Non-Performance</w:t>
            </w:r>
            <w:bookmarkEnd w:id="381"/>
            <w:bookmarkEnd w:id="382"/>
          </w:p>
        </w:tc>
      </w:tr>
      <w:tr w14:paraId="7063A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03987CFB">
            <w:pPr>
              <w:pStyle w:val="174"/>
              <w:tabs>
                <w:tab w:val="left" w:leader="dot" w:pos="8424"/>
              </w:tabs>
              <w:spacing w:line="240" w:lineRule="auto"/>
              <w:rPr>
                <w:sz w:val="20"/>
                <w:szCs w:val="20"/>
              </w:rPr>
            </w:pPr>
            <w:r>
              <w:rPr>
                <w:sz w:val="20"/>
                <w:szCs w:val="20"/>
              </w:rPr>
              <w:t>2.1</w:t>
            </w:r>
          </w:p>
        </w:tc>
        <w:tc>
          <w:tcPr>
            <w:tcW w:w="2214" w:type="dxa"/>
          </w:tcPr>
          <w:p w14:paraId="0BFF57DF">
            <w:pPr>
              <w:pStyle w:val="174"/>
              <w:tabs>
                <w:tab w:val="left" w:leader="dot" w:pos="8424"/>
              </w:tabs>
              <w:spacing w:line="240" w:lineRule="auto"/>
              <w:rPr>
                <w:b/>
                <w:sz w:val="20"/>
                <w:szCs w:val="20"/>
              </w:rPr>
            </w:pPr>
            <w:r>
              <w:rPr>
                <w:b/>
                <w:sz w:val="20"/>
                <w:szCs w:val="20"/>
              </w:rPr>
              <w:t>History of Non-Performing Contracts</w:t>
            </w:r>
          </w:p>
        </w:tc>
        <w:tc>
          <w:tcPr>
            <w:tcW w:w="2055" w:type="dxa"/>
          </w:tcPr>
          <w:p w14:paraId="5DDAB056">
            <w:pPr>
              <w:pStyle w:val="174"/>
              <w:tabs>
                <w:tab w:val="left" w:leader="dot" w:pos="8424"/>
              </w:tabs>
              <w:spacing w:line="240" w:lineRule="auto"/>
              <w:rPr>
                <w:sz w:val="20"/>
                <w:szCs w:val="20"/>
              </w:rPr>
            </w:pPr>
            <w:r>
              <w:rPr>
                <w:sz w:val="20"/>
                <w:szCs w:val="20"/>
              </w:rPr>
              <w:t>Non-performance of a contract</w:t>
            </w:r>
            <w:r>
              <w:rPr>
                <w:rStyle w:val="28"/>
                <w:sz w:val="20"/>
                <w:szCs w:val="20"/>
              </w:rPr>
              <w:footnoteReference w:id="5"/>
            </w:r>
            <w:r>
              <w:rPr>
                <w:sz w:val="20"/>
                <w:szCs w:val="20"/>
              </w:rPr>
              <w:t xml:space="preserve"> did not occur as a result of contractor default since </w:t>
            </w:r>
            <w:r>
              <w:rPr>
                <w:b/>
                <w:bCs/>
                <w:sz w:val="20"/>
                <w:szCs w:val="20"/>
              </w:rPr>
              <w:t>1</w:t>
            </w:r>
            <w:r>
              <w:rPr>
                <w:b/>
                <w:bCs/>
                <w:sz w:val="20"/>
                <w:szCs w:val="20"/>
                <w:vertAlign w:val="superscript"/>
              </w:rPr>
              <w:t>st</w:t>
            </w:r>
            <w:r>
              <w:rPr>
                <w:b/>
                <w:bCs/>
                <w:sz w:val="20"/>
                <w:szCs w:val="20"/>
              </w:rPr>
              <w:t xml:space="preserve"> January 20</w:t>
            </w:r>
            <w:r>
              <w:rPr>
                <w:rFonts w:hint="default"/>
                <w:b/>
                <w:bCs/>
                <w:sz w:val="20"/>
                <w:szCs w:val="20"/>
                <w:lang w:val="en-US"/>
              </w:rPr>
              <w:t>20</w:t>
            </w:r>
            <w:r>
              <w:rPr>
                <w:b/>
                <w:bCs/>
                <w:sz w:val="20"/>
                <w:szCs w:val="20"/>
              </w:rPr>
              <w:t>.</w:t>
            </w:r>
            <w:r>
              <w:rPr>
                <w:sz w:val="20"/>
                <w:szCs w:val="20"/>
              </w:rPr>
              <w:t xml:space="preserve"> </w:t>
            </w:r>
          </w:p>
        </w:tc>
        <w:tc>
          <w:tcPr>
            <w:tcW w:w="1416" w:type="dxa"/>
          </w:tcPr>
          <w:p w14:paraId="29ABB5E1">
            <w:pPr>
              <w:pStyle w:val="174"/>
              <w:tabs>
                <w:tab w:val="left" w:leader="dot" w:pos="8424"/>
              </w:tabs>
              <w:spacing w:line="240" w:lineRule="auto"/>
              <w:rPr>
                <w:sz w:val="20"/>
                <w:szCs w:val="20"/>
              </w:rPr>
            </w:pPr>
            <w:r>
              <w:rPr>
                <w:sz w:val="20"/>
                <w:szCs w:val="20"/>
              </w:rPr>
              <w:t>Must meet requirement</w:t>
            </w:r>
            <w:r>
              <w:rPr>
                <w:sz w:val="20"/>
                <w:szCs w:val="20"/>
                <w:vertAlign w:val="superscript"/>
              </w:rPr>
              <w:t>12</w:t>
            </w:r>
            <w:r>
              <w:rPr>
                <w:sz w:val="20"/>
                <w:szCs w:val="20"/>
              </w:rPr>
              <w:t xml:space="preserve">  </w:t>
            </w:r>
          </w:p>
        </w:tc>
        <w:tc>
          <w:tcPr>
            <w:tcW w:w="1477" w:type="dxa"/>
          </w:tcPr>
          <w:p w14:paraId="3B6D3522">
            <w:pPr>
              <w:pStyle w:val="174"/>
              <w:tabs>
                <w:tab w:val="left" w:leader="dot" w:pos="8424"/>
              </w:tabs>
              <w:spacing w:line="240" w:lineRule="auto"/>
              <w:rPr>
                <w:sz w:val="20"/>
                <w:szCs w:val="20"/>
              </w:rPr>
            </w:pPr>
            <w:r>
              <w:rPr>
                <w:sz w:val="20"/>
                <w:szCs w:val="20"/>
              </w:rPr>
              <w:t>Must meet requirement</w:t>
            </w:r>
          </w:p>
        </w:tc>
        <w:tc>
          <w:tcPr>
            <w:tcW w:w="1663" w:type="dxa"/>
          </w:tcPr>
          <w:p w14:paraId="679C1C43">
            <w:pPr>
              <w:pStyle w:val="174"/>
              <w:tabs>
                <w:tab w:val="left" w:leader="dot" w:pos="8424"/>
              </w:tabs>
              <w:spacing w:line="240" w:lineRule="auto"/>
              <w:rPr>
                <w:sz w:val="20"/>
                <w:szCs w:val="20"/>
              </w:rPr>
            </w:pPr>
            <w:r>
              <w:rPr>
                <w:sz w:val="20"/>
                <w:szCs w:val="20"/>
              </w:rPr>
              <w:t>Must meet requirement</w:t>
            </w:r>
            <w:r>
              <w:rPr>
                <w:rStyle w:val="28"/>
                <w:sz w:val="20"/>
                <w:szCs w:val="20"/>
              </w:rPr>
              <w:footnoteReference w:id="6"/>
            </w:r>
            <w:r>
              <w:rPr>
                <w:sz w:val="20"/>
                <w:szCs w:val="20"/>
              </w:rPr>
              <w:t xml:space="preserve"> </w:t>
            </w:r>
          </w:p>
        </w:tc>
        <w:tc>
          <w:tcPr>
            <w:tcW w:w="1663" w:type="dxa"/>
          </w:tcPr>
          <w:p w14:paraId="6AF5180B">
            <w:pPr>
              <w:rPr>
                <w:sz w:val="20"/>
              </w:rPr>
            </w:pPr>
            <w:r>
              <w:rPr>
                <w:sz w:val="20"/>
              </w:rPr>
              <w:t>N/A</w:t>
            </w:r>
          </w:p>
        </w:tc>
        <w:tc>
          <w:tcPr>
            <w:tcW w:w="1657" w:type="dxa"/>
          </w:tcPr>
          <w:p w14:paraId="57A858CD">
            <w:pPr>
              <w:pStyle w:val="174"/>
              <w:tabs>
                <w:tab w:val="left" w:leader="dot" w:pos="8424"/>
              </w:tabs>
              <w:spacing w:line="240" w:lineRule="auto"/>
              <w:rPr>
                <w:sz w:val="20"/>
                <w:szCs w:val="20"/>
              </w:rPr>
            </w:pPr>
            <w:r>
              <w:rPr>
                <w:sz w:val="20"/>
                <w:szCs w:val="20"/>
              </w:rPr>
              <w:t>Form CON-2</w:t>
            </w:r>
          </w:p>
        </w:tc>
      </w:tr>
      <w:tr w14:paraId="38EE7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39D441A9">
            <w:pPr>
              <w:pStyle w:val="174"/>
              <w:tabs>
                <w:tab w:val="left" w:leader="dot" w:pos="8424"/>
              </w:tabs>
              <w:spacing w:line="240" w:lineRule="auto"/>
              <w:rPr>
                <w:sz w:val="20"/>
                <w:szCs w:val="20"/>
              </w:rPr>
            </w:pPr>
            <w:r>
              <w:rPr>
                <w:sz w:val="20"/>
                <w:szCs w:val="20"/>
              </w:rPr>
              <w:t>2.2</w:t>
            </w:r>
          </w:p>
        </w:tc>
        <w:tc>
          <w:tcPr>
            <w:tcW w:w="2214" w:type="dxa"/>
          </w:tcPr>
          <w:p w14:paraId="1EE7C60A">
            <w:pPr>
              <w:pStyle w:val="174"/>
              <w:tabs>
                <w:tab w:val="left" w:leader="dot" w:pos="8424"/>
              </w:tabs>
              <w:spacing w:line="240" w:lineRule="auto"/>
              <w:rPr>
                <w:b/>
                <w:sz w:val="20"/>
                <w:szCs w:val="20"/>
              </w:rPr>
            </w:pPr>
            <w:r>
              <w:rPr>
                <w:b/>
                <w:sz w:val="20"/>
                <w:szCs w:val="20"/>
              </w:rPr>
              <w:t>Suspension Based on Execution of Bid Securing Declaration by the Employer or withdrawal of the Bid within Bid validity</w:t>
            </w:r>
          </w:p>
        </w:tc>
        <w:tc>
          <w:tcPr>
            <w:tcW w:w="2055" w:type="dxa"/>
          </w:tcPr>
          <w:p w14:paraId="3CA538B6">
            <w:pPr>
              <w:pStyle w:val="174"/>
              <w:tabs>
                <w:tab w:val="left" w:leader="dot" w:pos="8424"/>
              </w:tabs>
              <w:spacing w:line="240" w:lineRule="auto"/>
              <w:rPr>
                <w:sz w:val="20"/>
                <w:szCs w:val="20"/>
              </w:rPr>
            </w:pPr>
            <w:r>
              <w:rPr>
                <w:sz w:val="20"/>
                <w:szCs w:val="20"/>
              </w:rPr>
              <w:t>Not under suspension based on execution of a Bid Securing Declaration pursuant to ITB 4.6 or withdrawal of the Bid pursuant ITB 19.9.</w:t>
            </w:r>
          </w:p>
        </w:tc>
        <w:tc>
          <w:tcPr>
            <w:tcW w:w="1416" w:type="dxa"/>
          </w:tcPr>
          <w:p w14:paraId="297D781C">
            <w:pPr>
              <w:pStyle w:val="174"/>
              <w:tabs>
                <w:tab w:val="left" w:leader="dot" w:pos="8424"/>
              </w:tabs>
              <w:spacing w:line="240" w:lineRule="auto"/>
              <w:rPr>
                <w:sz w:val="20"/>
                <w:szCs w:val="20"/>
              </w:rPr>
            </w:pPr>
            <w:r>
              <w:rPr>
                <w:sz w:val="20"/>
                <w:szCs w:val="20"/>
              </w:rPr>
              <w:t xml:space="preserve">Must meet requirement </w:t>
            </w:r>
          </w:p>
        </w:tc>
        <w:tc>
          <w:tcPr>
            <w:tcW w:w="1477" w:type="dxa"/>
          </w:tcPr>
          <w:p w14:paraId="4D75836B">
            <w:pPr>
              <w:pStyle w:val="174"/>
              <w:tabs>
                <w:tab w:val="left" w:leader="dot" w:pos="8424"/>
              </w:tabs>
              <w:spacing w:line="240" w:lineRule="auto"/>
              <w:rPr>
                <w:sz w:val="20"/>
                <w:szCs w:val="20"/>
              </w:rPr>
            </w:pPr>
            <w:r>
              <w:rPr>
                <w:sz w:val="20"/>
                <w:szCs w:val="20"/>
              </w:rPr>
              <w:t>Must meet requirement</w:t>
            </w:r>
          </w:p>
        </w:tc>
        <w:tc>
          <w:tcPr>
            <w:tcW w:w="1663" w:type="dxa"/>
          </w:tcPr>
          <w:p w14:paraId="303F7105">
            <w:pPr>
              <w:pStyle w:val="174"/>
              <w:tabs>
                <w:tab w:val="left" w:leader="dot" w:pos="8424"/>
              </w:tabs>
              <w:spacing w:line="240" w:lineRule="auto"/>
              <w:rPr>
                <w:sz w:val="20"/>
                <w:szCs w:val="20"/>
              </w:rPr>
            </w:pPr>
            <w:r>
              <w:rPr>
                <w:sz w:val="20"/>
                <w:szCs w:val="20"/>
              </w:rPr>
              <w:t xml:space="preserve">Must meet requirement </w:t>
            </w:r>
          </w:p>
        </w:tc>
        <w:tc>
          <w:tcPr>
            <w:tcW w:w="1663" w:type="dxa"/>
          </w:tcPr>
          <w:p w14:paraId="0CDF9BCB">
            <w:pPr>
              <w:rPr>
                <w:sz w:val="20"/>
              </w:rPr>
            </w:pPr>
            <w:r>
              <w:rPr>
                <w:sz w:val="20"/>
              </w:rPr>
              <w:t>N/A</w:t>
            </w:r>
          </w:p>
        </w:tc>
        <w:tc>
          <w:tcPr>
            <w:tcW w:w="1657" w:type="dxa"/>
          </w:tcPr>
          <w:p w14:paraId="79687F74">
            <w:pPr>
              <w:pStyle w:val="174"/>
              <w:tabs>
                <w:tab w:val="left" w:leader="dot" w:pos="8424"/>
              </w:tabs>
              <w:spacing w:line="240" w:lineRule="auto"/>
              <w:rPr>
                <w:sz w:val="20"/>
                <w:szCs w:val="20"/>
              </w:rPr>
            </w:pPr>
            <w:r>
              <w:rPr>
                <w:sz w:val="20"/>
                <w:szCs w:val="20"/>
              </w:rPr>
              <w:t>Bid Submission Form</w:t>
            </w:r>
          </w:p>
        </w:tc>
      </w:tr>
      <w:tr w14:paraId="0D901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2EFD4F7B">
            <w:pPr>
              <w:pStyle w:val="174"/>
              <w:tabs>
                <w:tab w:val="left" w:leader="dot" w:pos="8424"/>
              </w:tabs>
              <w:spacing w:line="240" w:lineRule="auto"/>
              <w:rPr>
                <w:sz w:val="20"/>
                <w:szCs w:val="20"/>
              </w:rPr>
            </w:pPr>
            <w:r>
              <w:rPr>
                <w:sz w:val="20"/>
                <w:szCs w:val="20"/>
              </w:rPr>
              <w:t>2.3</w:t>
            </w:r>
          </w:p>
        </w:tc>
        <w:tc>
          <w:tcPr>
            <w:tcW w:w="2214" w:type="dxa"/>
          </w:tcPr>
          <w:p w14:paraId="46DEF959">
            <w:pPr>
              <w:pStyle w:val="174"/>
              <w:tabs>
                <w:tab w:val="left" w:leader="dot" w:pos="8424"/>
              </w:tabs>
              <w:spacing w:line="240" w:lineRule="auto"/>
              <w:rPr>
                <w:b/>
                <w:sz w:val="20"/>
                <w:szCs w:val="20"/>
              </w:rPr>
            </w:pPr>
            <w:r>
              <w:rPr>
                <w:b/>
                <w:sz w:val="20"/>
                <w:szCs w:val="20"/>
              </w:rPr>
              <w:t>Pending Litigation</w:t>
            </w:r>
          </w:p>
        </w:tc>
        <w:tc>
          <w:tcPr>
            <w:tcW w:w="2055" w:type="dxa"/>
          </w:tcPr>
          <w:p w14:paraId="7310B919">
            <w:pPr>
              <w:pStyle w:val="174"/>
              <w:tabs>
                <w:tab w:val="left" w:leader="dot" w:pos="8424"/>
              </w:tabs>
              <w:spacing w:line="240" w:lineRule="auto"/>
              <w:rPr>
                <w:sz w:val="20"/>
                <w:szCs w:val="20"/>
              </w:rPr>
            </w:pPr>
            <w:r>
              <w:rPr>
                <w:sz w:val="20"/>
                <w:szCs w:val="20"/>
              </w:rPr>
              <w:t>Bidder’s financial position and prospective long-term profitability sound according to criteria established in 3.1 below and assuming that all pending litigation will be resolved against the Bidder</w:t>
            </w:r>
          </w:p>
        </w:tc>
        <w:tc>
          <w:tcPr>
            <w:tcW w:w="1416" w:type="dxa"/>
          </w:tcPr>
          <w:p w14:paraId="6399F841">
            <w:pPr>
              <w:pStyle w:val="174"/>
              <w:tabs>
                <w:tab w:val="left" w:leader="dot" w:pos="8424"/>
              </w:tabs>
              <w:spacing w:line="240" w:lineRule="auto"/>
              <w:rPr>
                <w:sz w:val="20"/>
                <w:szCs w:val="20"/>
              </w:rPr>
            </w:pPr>
            <w:r>
              <w:rPr>
                <w:sz w:val="20"/>
                <w:szCs w:val="20"/>
              </w:rPr>
              <w:t xml:space="preserve">Must meet requirement </w:t>
            </w:r>
          </w:p>
        </w:tc>
        <w:tc>
          <w:tcPr>
            <w:tcW w:w="1477" w:type="dxa"/>
          </w:tcPr>
          <w:p w14:paraId="24D5BF57">
            <w:pPr>
              <w:pStyle w:val="174"/>
              <w:tabs>
                <w:tab w:val="left" w:leader="dot" w:pos="8424"/>
              </w:tabs>
              <w:spacing w:line="240" w:lineRule="auto"/>
              <w:rPr>
                <w:sz w:val="20"/>
                <w:szCs w:val="20"/>
              </w:rPr>
            </w:pPr>
            <w:r>
              <w:rPr>
                <w:sz w:val="20"/>
                <w:szCs w:val="20"/>
              </w:rPr>
              <w:t>N/A</w:t>
            </w:r>
          </w:p>
        </w:tc>
        <w:tc>
          <w:tcPr>
            <w:tcW w:w="1663" w:type="dxa"/>
          </w:tcPr>
          <w:p w14:paraId="371A2B65">
            <w:pPr>
              <w:pStyle w:val="174"/>
              <w:tabs>
                <w:tab w:val="left" w:leader="dot" w:pos="8424"/>
              </w:tabs>
              <w:spacing w:line="240" w:lineRule="auto"/>
              <w:rPr>
                <w:sz w:val="20"/>
                <w:szCs w:val="20"/>
              </w:rPr>
            </w:pPr>
            <w:r>
              <w:rPr>
                <w:sz w:val="20"/>
                <w:szCs w:val="20"/>
              </w:rPr>
              <w:t xml:space="preserve">Must meet requirement </w:t>
            </w:r>
          </w:p>
        </w:tc>
        <w:tc>
          <w:tcPr>
            <w:tcW w:w="1663" w:type="dxa"/>
          </w:tcPr>
          <w:p w14:paraId="01FFA3C7">
            <w:pPr>
              <w:rPr>
                <w:sz w:val="20"/>
              </w:rPr>
            </w:pPr>
            <w:r>
              <w:rPr>
                <w:sz w:val="20"/>
              </w:rPr>
              <w:t>N/A</w:t>
            </w:r>
          </w:p>
        </w:tc>
        <w:tc>
          <w:tcPr>
            <w:tcW w:w="1657" w:type="dxa"/>
          </w:tcPr>
          <w:p w14:paraId="473AB3DA">
            <w:pPr>
              <w:pStyle w:val="174"/>
              <w:tabs>
                <w:tab w:val="left" w:leader="dot" w:pos="8424"/>
              </w:tabs>
              <w:spacing w:line="240" w:lineRule="auto"/>
              <w:rPr>
                <w:sz w:val="20"/>
                <w:szCs w:val="20"/>
              </w:rPr>
            </w:pPr>
            <w:r>
              <w:rPr>
                <w:sz w:val="20"/>
                <w:szCs w:val="20"/>
              </w:rPr>
              <w:t>Form CON – 2</w:t>
            </w:r>
          </w:p>
          <w:p w14:paraId="321292A2">
            <w:pPr>
              <w:pStyle w:val="174"/>
              <w:tabs>
                <w:tab w:val="left" w:leader="dot" w:pos="8424"/>
              </w:tabs>
              <w:spacing w:line="240" w:lineRule="auto"/>
              <w:rPr>
                <w:sz w:val="20"/>
                <w:szCs w:val="20"/>
              </w:rPr>
            </w:pPr>
          </w:p>
        </w:tc>
      </w:tr>
      <w:tr w14:paraId="0AD4D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6B25039D">
            <w:pPr>
              <w:pStyle w:val="174"/>
              <w:pageBreakBefore/>
              <w:tabs>
                <w:tab w:val="left" w:leader="dot" w:pos="8424"/>
              </w:tabs>
              <w:spacing w:line="240" w:lineRule="auto"/>
              <w:rPr>
                <w:sz w:val="20"/>
                <w:szCs w:val="20"/>
              </w:rPr>
            </w:pPr>
            <w:r>
              <w:rPr>
                <w:sz w:val="20"/>
                <w:szCs w:val="20"/>
              </w:rPr>
              <w:t>2.4</w:t>
            </w:r>
          </w:p>
        </w:tc>
        <w:tc>
          <w:tcPr>
            <w:tcW w:w="2214" w:type="dxa"/>
          </w:tcPr>
          <w:p w14:paraId="06088E0F">
            <w:pPr>
              <w:pStyle w:val="174"/>
              <w:tabs>
                <w:tab w:val="left" w:leader="dot" w:pos="8424"/>
              </w:tabs>
              <w:spacing w:line="240" w:lineRule="auto"/>
              <w:rPr>
                <w:b/>
                <w:sz w:val="20"/>
                <w:szCs w:val="20"/>
              </w:rPr>
            </w:pPr>
            <w:r>
              <w:rPr>
                <w:b/>
                <w:sz w:val="20"/>
                <w:szCs w:val="20"/>
              </w:rPr>
              <w:t>Litigation History</w:t>
            </w:r>
          </w:p>
        </w:tc>
        <w:tc>
          <w:tcPr>
            <w:tcW w:w="2055" w:type="dxa"/>
          </w:tcPr>
          <w:p w14:paraId="113E77D8">
            <w:pPr>
              <w:pStyle w:val="174"/>
              <w:tabs>
                <w:tab w:val="left" w:leader="dot" w:pos="8424"/>
              </w:tabs>
              <w:spacing w:line="240" w:lineRule="auto"/>
              <w:rPr>
                <w:rFonts w:hint="default"/>
                <w:sz w:val="16"/>
                <w:szCs w:val="20"/>
                <w:lang w:val="en-US"/>
              </w:rPr>
            </w:pPr>
            <w:r>
              <w:rPr>
                <w:sz w:val="20"/>
                <w:szCs w:val="20"/>
              </w:rPr>
              <w:t>No consistent history of court/arbitral award decisions against the Bidder</w:t>
            </w:r>
            <w:r>
              <w:rPr>
                <w:rStyle w:val="28"/>
                <w:sz w:val="20"/>
                <w:szCs w:val="20"/>
              </w:rPr>
              <w:footnoteReference w:id="7"/>
            </w:r>
            <w:r>
              <w:rPr>
                <w:sz w:val="20"/>
                <w:szCs w:val="20"/>
              </w:rPr>
              <w:t xml:space="preserve"> since </w:t>
            </w:r>
            <w:r>
              <w:rPr>
                <w:b/>
                <w:bCs/>
                <w:sz w:val="20"/>
                <w:szCs w:val="20"/>
              </w:rPr>
              <w:t>1</w:t>
            </w:r>
            <w:r>
              <w:rPr>
                <w:b/>
                <w:bCs/>
                <w:sz w:val="20"/>
                <w:szCs w:val="20"/>
                <w:vertAlign w:val="superscript"/>
              </w:rPr>
              <w:t>st</w:t>
            </w:r>
            <w:r>
              <w:rPr>
                <w:b/>
                <w:bCs/>
                <w:sz w:val="20"/>
                <w:szCs w:val="20"/>
              </w:rPr>
              <w:t xml:space="preserve"> January </w:t>
            </w:r>
            <w:r>
              <w:rPr>
                <w:b/>
                <w:bCs/>
                <w:i/>
                <w:sz w:val="20"/>
                <w:szCs w:val="20"/>
              </w:rPr>
              <w:t>20</w:t>
            </w:r>
            <w:r>
              <w:rPr>
                <w:rFonts w:hint="default"/>
                <w:b/>
                <w:bCs/>
                <w:i/>
                <w:sz w:val="20"/>
                <w:szCs w:val="20"/>
                <w:lang w:val="en-US"/>
              </w:rPr>
              <w:t>20</w:t>
            </w:r>
          </w:p>
        </w:tc>
        <w:tc>
          <w:tcPr>
            <w:tcW w:w="1416" w:type="dxa"/>
          </w:tcPr>
          <w:p w14:paraId="24885B42">
            <w:pPr>
              <w:pStyle w:val="174"/>
              <w:tabs>
                <w:tab w:val="left" w:leader="dot" w:pos="8424"/>
              </w:tabs>
              <w:spacing w:line="240" w:lineRule="auto"/>
              <w:rPr>
                <w:sz w:val="20"/>
                <w:szCs w:val="20"/>
              </w:rPr>
            </w:pPr>
            <w:r>
              <w:rPr>
                <w:sz w:val="20"/>
                <w:szCs w:val="20"/>
              </w:rPr>
              <w:t xml:space="preserve">Must meet requirement </w:t>
            </w:r>
          </w:p>
        </w:tc>
        <w:tc>
          <w:tcPr>
            <w:tcW w:w="1477" w:type="dxa"/>
          </w:tcPr>
          <w:p w14:paraId="1E21B8E3">
            <w:pPr>
              <w:pStyle w:val="174"/>
              <w:tabs>
                <w:tab w:val="left" w:leader="dot" w:pos="8424"/>
              </w:tabs>
              <w:spacing w:line="240" w:lineRule="auto"/>
              <w:rPr>
                <w:sz w:val="20"/>
                <w:szCs w:val="20"/>
              </w:rPr>
            </w:pPr>
            <w:r>
              <w:rPr>
                <w:sz w:val="20"/>
                <w:szCs w:val="20"/>
              </w:rPr>
              <w:t>N/A</w:t>
            </w:r>
          </w:p>
        </w:tc>
        <w:tc>
          <w:tcPr>
            <w:tcW w:w="1663" w:type="dxa"/>
          </w:tcPr>
          <w:p w14:paraId="0EBEA200">
            <w:pPr>
              <w:pStyle w:val="174"/>
              <w:tabs>
                <w:tab w:val="left" w:leader="dot" w:pos="8424"/>
              </w:tabs>
              <w:spacing w:line="240" w:lineRule="auto"/>
              <w:rPr>
                <w:sz w:val="20"/>
                <w:szCs w:val="20"/>
              </w:rPr>
            </w:pPr>
            <w:r>
              <w:rPr>
                <w:sz w:val="20"/>
                <w:szCs w:val="20"/>
              </w:rPr>
              <w:t xml:space="preserve">Must meet requirement </w:t>
            </w:r>
          </w:p>
        </w:tc>
        <w:tc>
          <w:tcPr>
            <w:tcW w:w="1663" w:type="dxa"/>
          </w:tcPr>
          <w:p w14:paraId="4259A30E">
            <w:pPr>
              <w:rPr>
                <w:sz w:val="20"/>
              </w:rPr>
            </w:pPr>
            <w:r>
              <w:rPr>
                <w:sz w:val="20"/>
              </w:rPr>
              <w:t>N/A</w:t>
            </w:r>
          </w:p>
        </w:tc>
        <w:tc>
          <w:tcPr>
            <w:tcW w:w="1657" w:type="dxa"/>
          </w:tcPr>
          <w:p w14:paraId="03D12DC0">
            <w:pPr>
              <w:pStyle w:val="174"/>
              <w:tabs>
                <w:tab w:val="left" w:leader="dot" w:pos="8424"/>
              </w:tabs>
              <w:spacing w:line="240" w:lineRule="auto"/>
              <w:rPr>
                <w:sz w:val="20"/>
                <w:szCs w:val="20"/>
              </w:rPr>
            </w:pPr>
            <w:r>
              <w:rPr>
                <w:sz w:val="20"/>
                <w:szCs w:val="20"/>
              </w:rPr>
              <w:t xml:space="preserve">Form CON – 2 </w:t>
            </w:r>
          </w:p>
        </w:tc>
      </w:tr>
      <w:tr w14:paraId="172C2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21DC8962">
            <w:pPr>
              <w:pStyle w:val="174"/>
              <w:tabs>
                <w:tab w:val="left" w:leader="dot" w:pos="8424"/>
              </w:tabs>
              <w:spacing w:line="240" w:lineRule="auto"/>
              <w:rPr>
                <w:sz w:val="20"/>
                <w:szCs w:val="20"/>
              </w:rPr>
            </w:pPr>
            <w:r>
              <w:rPr>
                <w:sz w:val="20"/>
                <w:szCs w:val="20"/>
              </w:rPr>
              <w:t>2.5</w:t>
            </w:r>
          </w:p>
        </w:tc>
        <w:tc>
          <w:tcPr>
            <w:tcW w:w="2214" w:type="dxa"/>
          </w:tcPr>
          <w:p w14:paraId="248F2F92">
            <w:pPr>
              <w:pStyle w:val="174"/>
              <w:tabs>
                <w:tab w:val="left" w:leader="dot" w:pos="8424"/>
              </w:tabs>
              <w:spacing w:line="240" w:lineRule="auto"/>
              <w:rPr>
                <w:b/>
                <w:sz w:val="22"/>
                <w:szCs w:val="22"/>
              </w:rPr>
            </w:pPr>
            <w:r>
              <w:rPr>
                <w:b/>
                <w:sz w:val="20"/>
                <w:szCs w:val="20"/>
              </w:rPr>
              <w:t>Declaration: Environmental, Social, Health, and Safety (ESHS) past performance</w:t>
            </w:r>
          </w:p>
        </w:tc>
        <w:tc>
          <w:tcPr>
            <w:tcW w:w="2055" w:type="dxa"/>
          </w:tcPr>
          <w:p w14:paraId="2420CC02">
            <w:pPr>
              <w:pStyle w:val="174"/>
              <w:tabs>
                <w:tab w:val="left" w:leader="dot" w:pos="8424"/>
              </w:tabs>
              <w:spacing w:before="80" w:after="80" w:line="240" w:lineRule="auto"/>
              <w:rPr>
                <w:sz w:val="22"/>
                <w:szCs w:val="22"/>
              </w:rPr>
            </w:pPr>
            <w:r>
              <w:rPr>
                <w:sz w:val="22"/>
                <w:szCs w:val="22"/>
              </w:rPr>
              <w:t>Declare any civil work contracts that have been suspended or terminated and/or performance security called by an employer for breach of environmental or social (including Sexual Exploitation and Abuse)) contractual obligations in the past five years.</w:t>
            </w:r>
            <w:r>
              <w:rPr>
                <w:sz w:val="22"/>
                <w:szCs w:val="22"/>
                <w:vertAlign w:val="superscript"/>
              </w:rPr>
              <w:footnoteReference w:id="8"/>
            </w:r>
          </w:p>
        </w:tc>
        <w:tc>
          <w:tcPr>
            <w:tcW w:w="1416" w:type="dxa"/>
            <w:vAlign w:val="center"/>
          </w:tcPr>
          <w:p w14:paraId="193F25A5">
            <w:pPr>
              <w:pStyle w:val="174"/>
              <w:tabs>
                <w:tab w:val="left" w:leader="dot" w:pos="8424"/>
              </w:tabs>
              <w:spacing w:line="240" w:lineRule="auto"/>
              <w:rPr>
                <w:sz w:val="22"/>
                <w:szCs w:val="22"/>
              </w:rPr>
            </w:pPr>
            <w:r>
              <w:rPr>
                <w:sz w:val="20"/>
                <w:szCs w:val="20"/>
              </w:rPr>
              <w:t>Must make the declaration. Where there are Specialized Sub-contractor/s, the Specialized Sub-contractor/s must also make the declaration</w:t>
            </w:r>
          </w:p>
        </w:tc>
        <w:tc>
          <w:tcPr>
            <w:tcW w:w="1477" w:type="dxa"/>
            <w:vAlign w:val="center"/>
          </w:tcPr>
          <w:p w14:paraId="2693F845">
            <w:pPr>
              <w:pStyle w:val="174"/>
              <w:tabs>
                <w:tab w:val="left" w:leader="dot" w:pos="8424"/>
              </w:tabs>
              <w:spacing w:line="240" w:lineRule="auto"/>
              <w:rPr>
                <w:sz w:val="22"/>
                <w:szCs w:val="22"/>
              </w:rPr>
            </w:pPr>
            <w:r>
              <w:rPr>
                <w:sz w:val="20"/>
                <w:szCs w:val="20"/>
              </w:rPr>
              <w:t xml:space="preserve">       N/A</w:t>
            </w:r>
          </w:p>
        </w:tc>
        <w:tc>
          <w:tcPr>
            <w:tcW w:w="1663" w:type="dxa"/>
            <w:vAlign w:val="center"/>
          </w:tcPr>
          <w:p w14:paraId="15A833EE">
            <w:pPr>
              <w:pStyle w:val="174"/>
              <w:tabs>
                <w:tab w:val="left" w:leader="dot" w:pos="8424"/>
              </w:tabs>
              <w:spacing w:line="240" w:lineRule="auto"/>
              <w:rPr>
                <w:sz w:val="22"/>
                <w:szCs w:val="22"/>
              </w:rPr>
            </w:pPr>
            <w:r>
              <w:rPr>
                <w:sz w:val="20"/>
                <w:szCs w:val="20"/>
              </w:rPr>
              <w:t>Each must make the declaration. Where there are Specialized Sub-contractor/s, the Specialized Sub-contractor/s must also make the declaration</w:t>
            </w:r>
          </w:p>
        </w:tc>
        <w:tc>
          <w:tcPr>
            <w:tcW w:w="1663" w:type="dxa"/>
            <w:vAlign w:val="center"/>
          </w:tcPr>
          <w:p w14:paraId="70DCE229">
            <w:pPr>
              <w:pStyle w:val="174"/>
              <w:tabs>
                <w:tab w:val="left" w:leader="dot" w:pos="8424"/>
              </w:tabs>
              <w:spacing w:line="240" w:lineRule="auto"/>
            </w:pPr>
            <w:r>
              <w:rPr>
                <w:sz w:val="20"/>
                <w:szCs w:val="20"/>
              </w:rPr>
              <w:t xml:space="preserve">     N/A</w:t>
            </w:r>
          </w:p>
        </w:tc>
        <w:tc>
          <w:tcPr>
            <w:tcW w:w="1657" w:type="dxa"/>
            <w:vAlign w:val="center"/>
          </w:tcPr>
          <w:p w14:paraId="64DD41A4">
            <w:pPr>
              <w:pStyle w:val="174"/>
              <w:tabs>
                <w:tab w:val="left" w:leader="dot" w:pos="8424"/>
              </w:tabs>
              <w:spacing w:line="240" w:lineRule="auto"/>
              <w:rPr>
                <w:sz w:val="22"/>
                <w:szCs w:val="22"/>
              </w:rPr>
            </w:pPr>
            <w:r>
              <w:rPr>
                <w:sz w:val="20"/>
                <w:szCs w:val="20"/>
              </w:rPr>
              <w:t>Form CON-3 ESHS Performance Declaration</w:t>
            </w:r>
          </w:p>
        </w:tc>
      </w:tr>
      <w:tr w14:paraId="15C48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637907D1">
            <w:pPr>
              <w:pStyle w:val="174"/>
              <w:tabs>
                <w:tab w:val="left" w:leader="dot" w:pos="8424"/>
              </w:tabs>
              <w:spacing w:line="240" w:lineRule="auto"/>
              <w:rPr>
                <w:rFonts w:hint="default"/>
                <w:sz w:val="20"/>
                <w:szCs w:val="20"/>
                <w:lang w:val="en-US"/>
              </w:rPr>
            </w:pPr>
            <w:bookmarkStart w:id="383" w:name="_Toc107899638"/>
            <w:bookmarkStart w:id="384" w:name="_Toc38527253"/>
            <w:r>
              <w:rPr>
                <w:rFonts w:hint="default"/>
                <w:sz w:val="20"/>
                <w:szCs w:val="20"/>
                <w:lang w:val="en-US"/>
              </w:rPr>
              <w:t>2.6</w:t>
            </w:r>
          </w:p>
        </w:tc>
        <w:tc>
          <w:tcPr>
            <w:tcW w:w="2214" w:type="dxa"/>
          </w:tcPr>
          <w:p w14:paraId="207C5B98">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Bank’s SEA and/or SH </w:t>
            </w:r>
          </w:p>
          <w:p w14:paraId="038A7513">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Disqualification </w:t>
            </w:r>
          </w:p>
          <w:p w14:paraId="33E7E3D7">
            <w:pPr>
              <w:pStyle w:val="174"/>
              <w:tabs>
                <w:tab w:val="left" w:leader="dot" w:pos="8424"/>
              </w:tabs>
              <w:spacing w:line="240" w:lineRule="auto"/>
              <w:rPr>
                <w:b/>
                <w:sz w:val="20"/>
                <w:szCs w:val="20"/>
              </w:rPr>
            </w:pPr>
          </w:p>
        </w:tc>
        <w:tc>
          <w:tcPr>
            <w:tcW w:w="2055" w:type="dxa"/>
          </w:tcPr>
          <w:p w14:paraId="652E626B">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At the time of </w:t>
            </w:r>
          </w:p>
          <w:p w14:paraId="100FA6BC">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Contract Award, not </w:t>
            </w:r>
          </w:p>
          <w:p w14:paraId="6035C026">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subject to </w:t>
            </w:r>
          </w:p>
          <w:p w14:paraId="35944C81">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disqualification by the </w:t>
            </w:r>
          </w:p>
          <w:p w14:paraId="7D14C989">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Bank for non</w:t>
            </w:r>
            <w:r>
              <w:rPr>
                <w:rFonts w:hint="default" w:ascii="Times New Roman" w:hAnsi="Times New Roman" w:eastAsia="SimSun" w:cs="Times New Roman"/>
                <w:color w:val="000000"/>
                <w:kern w:val="0"/>
                <w:sz w:val="19"/>
                <w:szCs w:val="19"/>
                <w:lang w:val="en-US" w:eastAsia="zh-CN" w:bidi="ar"/>
              </w:rPr>
              <w:t/>
            </w:r>
          </w:p>
          <w:p w14:paraId="76153913">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compliance with SEA/</w:t>
            </w:r>
          </w:p>
          <w:p w14:paraId="63B7C495">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SH obligations</w:t>
            </w:r>
          </w:p>
          <w:p w14:paraId="5E78E8EC">
            <w:pPr>
              <w:pStyle w:val="174"/>
              <w:tabs>
                <w:tab w:val="left" w:leader="dot" w:pos="8424"/>
              </w:tabs>
              <w:spacing w:before="80" w:after="80" w:line="240" w:lineRule="auto"/>
              <w:rPr>
                <w:sz w:val="22"/>
                <w:szCs w:val="22"/>
              </w:rPr>
            </w:pPr>
          </w:p>
        </w:tc>
        <w:tc>
          <w:tcPr>
            <w:tcW w:w="1416" w:type="dxa"/>
            <w:vAlign w:val="center"/>
          </w:tcPr>
          <w:p w14:paraId="2266D184">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Must meet </w:t>
            </w:r>
          </w:p>
          <w:p w14:paraId="3A25B945">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requirement </w:t>
            </w:r>
          </w:p>
          <w:p w14:paraId="0FE7BD93">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(including </w:t>
            </w:r>
          </w:p>
          <w:p w14:paraId="6DE5112D">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each </w:t>
            </w:r>
          </w:p>
          <w:p w14:paraId="496C727A">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subcontractor </w:t>
            </w:r>
          </w:p>
          <w:p w14:paraId="00592042">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proposed by </w:t>
            </w:r>
          </w:p>
          <w:p w14:paraId="26F07C63">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the Bidder)</w:t>
            </w:r>
          </w:p>
          <w:p w14:paraId="322CDCA1">
            <w:pPr>
              <w:pStyle w:val="174"/>
              <w:tabs>
                <w:tab w:val="left" w:leader="dot" w:pos="8424"/>
              </w:tabs>
              <w:spacing w:line="240" w:lineRule="auto"/>
              <w:rPr>
                <w:sz w:val="20"/>
                <w:szCs w:val="20"/>
              </w:rPr>
            </w:pPr>
          </w:p>
        </w:tc>
        <w:tc>
          <w:tcPr>
            <w:tcW w:w="1477" w:type="dxa"/>
            <w:vAlign w:val="center"/>
          </w:tcPr>
          <w:p w14:paraId="29C11D8E">
            <w:pPr>
              <w:pStyle w:val="174"/>
              <w:tabs>
                <w:tab w:val="left" w:leader="dot" w:pos="8424"/>
              </w:tabs>
              <w:spacing w:line="240" w:lineRule="auto"/>
              <w:rPr>
                <w:sz w:val="20"/>
                <w:szCs w:val="20"/>
              </w:rPr>
            </w:pPr>
          </w:p>
          <w:p w14:paraId="2A7EDC90">
            <w:pPr>
              <w:pStyle w:val="174"/>
              <w:tabs>
                <w:tab w:val="left" w:leader="dot" w:pos="8424"/>
              </w:tabs>
              <w:spacing w:line="240" w:lineRule="auto"/>
              <w:rPr>
                <w:sz w:val="20"/>
                <w:szCs w:val="20"/>
              </w:rPr>
            </w:pPr>
          </w:p>
          <w:p w14:paraId="51256C2D">
            <w:pPr>
              <w:pStyle w:val="174"/>
              <w:tabs>
                <w:tab w:val="left" w:leader="dot" w:pos="8424"/>
              </w:tabs>
              <w:spacing w:line="240" w:lineRule="auto"/>
              <w:rPr>
                <w:rFonts w:hint="default"/>
                <w:sz w:val="20"/>
                <w:szCs w:val="20"/>
                <w:lang w:val="en-US"/>
              </w:rPr>
            </w:pPr>
            <w:r>
              <w:rPr>
                <w:rFonts w:hint="default"/>
                <w:sz w:val="20"/>
                <w:szCs w:val="20"/>
                <w:lang w:val="en-US"/>
              </w:rPr>
              <w:t>N/A</w:t>
            </w:r>
          </w:p>
          <w:p w14:paraId="1DFC0906">
            <w:pPr>
              <w:pStyle w:val="174"/>
              <w:tabs>
                <w:tab w:val="left" w:leader="dot" w:pos="8424"/>
              </w:tabs>
              <w:spacing w:line="240" w:lineRule="auto"/>
              <w:rPr>
                <w:sz w:val="20"/>
                <w:szCs w:val="20"/>
              </w:rPr>
            </w:pPr>
          </w:p>
          <w:p w14:paraId="5012304A">
            <w:pPr>
              <w:pStyle w:val="174"/>
              <w:tabs>
                <w:tab w:val="left" w:leader="dot" w:pos="8424"/>
              </w:tabs>
              <w:spacing w:line="240" w:lineRule="auto"/>
              <w:rPr>
                <w:sz w:val="20"/>
                <w:szCs w:val="20"/>
              </w:rPr>
            </w:pPr>
          </w:p>
          <w:p w14:paraId="25BD3FEC">
            <w:pPr>
              <w:pStyle w:val="174"/>
              <w:tabs>
                <w:tab w:val="left" w:leader="dot" w:pos="8424"/>
              </w:tabs>
              <w:spacing w:line="240" w:lineRule="auto"/>
              <w:rPr>
                <w:sz w:val="20"/>
                <w:szCs w:val="20"/>
              </w:rPr>
            </w:pPr>
          </w:p>
        </w:tc>
        <w:tc>
          <w:tcPr>
            <w:tcW w:w="1663" w:type="dxa"/>
            <w:vAlign w:val="center"/>
          </w:tcPr>
          <w:p w14:paraId="5C250EB4">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Must meet </w:t>
            </w:r>
          </w:p>
          <w:p w14:paraId="2363649F">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requirement </w:t>
            </w:r>
          </w:p>
          <w:p w14:paraId="515288F1">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(including each </w:t>
            </w:r>
          </w:p>
          <w:p w14:paraId="03FA5900">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subcontractor </w:t>
            </w:r>
          </w:p>
          <w:p w14:paraId="1EB5D1D2">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proposed by the </w:t>
            </w:r>
          </w:p>
          <w:p w14:paraId="2D1C503F">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Bidder) </w:t>
            </w:r>
          </w:p>
          <w:p w14:paraId="198DED6C">
            <w:pPr>
              <w:pStyle w:val="174"/>
              <w:tabs>
                <w:tab w:val="left" w:leader="dot" w:pos="8424"/>
              </w:tabs>
              <w:spacing w:line="240" w:lineRule="auto"/>
              <w:rPr>
                <w:sz w:val="20"/>
                <w:szCs w:val="20"/>
              </w:rPr>
            </w:pPr>
          </w:p>
        </w:tc>
        <w:tc>
          <w:tcPr>
            <w:tcW w:w="1663" w:type="dxa"/>
            <w:vAlign w:val="center"/>
          </w:tcPr>
          <w:p w14:paraId="1E7F9407">
            <w:pPr>
              <w:pStyle w:val="174"/>
              <w:tabs>
                <w:tab w:val="left" w:leader="dot" w:pos="8424"/>
              </w:tabs>
              <w:spacing w:line="240" w:lineRule="auto"/>
              <w:rPr>
                <w:rFonts w:hint="default"/>
                <w:sz w:val="20"/>
                <w:szCs w:val="20"/>
                <w:lang w:val="en-US"/>
              </w:rPr>
            </w:pPr>
            <w:r>
              <w:rPr>
                <w:rFonts w:hint="default"/>
                <w:sz w:val="20"/>
                <w:szCs w:val="20"/>
                <w:lang w:val="en-US"/>
              </w:rPr>
              <w:t>N/A</w:t>
            </w:r>
          </w:p>
        </w:tc>
        <w:tc>
          <w:tcPr>
            <w:tcW w:w="1657" w:type="dxa"/>
            <w:vAlign w:val="center"/>
          </w:tcPr>
          <w:p w14:paraId="2283DBDE">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Letter of Bid, </w:t>
            </w:r>
          </w:p>
          <w:p w14:paraId="062989CB">
            <w:pPr>
              <w:keepNext w:val="0"/>
              <w:keepLines w:val="0"/>
              <w:widowControl/>
              <w:suppressLineNumbers w:val="0"/>
              <w:jc w:val="left"/>
            </w:pPr>
            <w:r>
              <w:rPr>
                <w:rFonts w:hint="default" w:ascii="Times New Roman" w:hAnsi="Times New Roman" w:eastAsia="SimSun" w:cs="Times New Roman"/>
                <w:color w:val="000000"/>
                <w:kern w:val="0"/>
                <w:sz w:val="19"/>
                <w:szCs w:val="19"/>
                <w:lang w:val="en-US" w:eastAsia="zh-CN" w:bidi="ar"/>
              </w:rPr>
              <w:t xml:space="preserve">Form CON-4 </w:t>
            </w:r>
          </w:p>
          <w:p w14:paraId="7EB4F4F0">
            <w:pPr>
              <w:pStyle w:val="174"/>
              <w:tabs>
                <w:tab w:val="left" w:leader="dot" w:pos="8424"/>
              </w:tabs>
              <w:spacing w:line="240" w:lineRule="auto"/>
              <w:rPr>
                <w:sz w:val="20"/>
                <w:szCs w:val="20"/>
              </w:rPr>
            </w:pPr>
          </w:p>
        </w:tc>
      </w:tr>
      <w:tr w14:paraId="33CF0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50" w:type="dxa"/>
            <w:gridSpan w:val="8"/>
          </w:tcPr>
          <w:p w14:paraId="15247CA9">
            <w:pPr>
              <w:pStyle w:val="150"/>
              <w:pageBreakBefore/>
              <w:widowControl w:val="0"/>
              <w:autoSpaceDE w:val="0"/>
              <w:autoSpaceDN w:val="0"/>
              <w:spacing w:before="120"/>
              <w:ind w:left="0" w:right="0" w:firstLine="0"/>
              <w:jc w:val="left"/>
            </w:pPr>
            <w:r>
              <w:t>3. Financial Situation</w:t>
            </w:r>
            <w:bookmarkEnd w:id="383"/>
            <w:r>
              <w:t xml:space="preserve"> and Performance</w:t>
            </w:r>
            <w:bookmarkEnd w:id="384"/>
          </w:p>
        </w:tc>
      </w:tr>
      <w:tr w14:paraId="344B1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Borders>
              <w:bottom w:val="nil"/>
            </w:tcBorders>
          </w:tcPr>
          <w:p w14:paraId="29A0CBDC">
            <w:pPr>
              <w:pStyle w:val="174"/>
              <w:tabs>
                <w:tab w:val="left" w:leader="dot" w:pos="8424"/>
              </w:tabs>
              <w:spacing w:line="240" w:lineRule="auto"/>
              <w:rPr>
                <w:sz w:val="20"/>
                <w:szCs w:val="20"/>
              </w:rPr>
            </w:pPr>
            <w:r>
              <w:rPr>
                <w:sz w:val="20"/>
                <w:szCs w:val="20"/>
              </w:rPr>
              <w:t>3.1</w:t>
            </w:r>
          </w:p>
        </w:tc>
        <w:tc>
          <w:tcPr>
            <w:tcW w:w="2214" w:type="dxa"/>
            <w:tcBorders>
              <w:bottom w:val="nil"/>
            </w:tcBorders>
          </w:tcPr>
          <w:p w14:paraId="18B97557">
            <w:pPr>
              <w:pStyle w:val="174"/>
              <w:tabs>
                <w:tab w:val="left" w:leader="dot" w:pos="8424"/>
              </w:tabs>
              <w:spacing w:line="240" w:lineRule="auto"/>
              <w:rPr>
                <w:b/>
                <w:sz w:val="20"/>
                <w:szCs w:val="20"/>
              </w:rPr>
            </w:pPr>
            <w:r>
              <w:rPr>
                <w:b/>
                <w:sz w:val="20"/>
                <w:szCs w:val="20"/>
              </w:rPr>
              <w:t>Financial Capabilities</w:t>
            </w:r>
          </w:p>
        </w:tc>
        <w:tc>
          <w:tcPr>
            <w:tcW w:w="2055" w:type="dxa"/>
            <w:tcBorders>
              <w:bottom w:val="nil"/>
            </w:tcBorders>
          </w:tcPr>
          <w:p w14:paraId="1DD749D9">
            <w:pPr>
              <w:pStyle w:val="174"/>
              <w:tabs>
                <w:tab w:val="left" w:leader="dot" w:pos="8424"/>
              </w:tabs>
              <w:spacing w:line="240" w:lineRule="auto"/>
              <w:rPr>
                <w:sz w:val="20"/>
                <w:szCs w:val="20"/>
              </w:rPr>
            </w:pPr>
            <w:r>
              <w:rPr>
                <w:sz w:val="20"/>
                <w:szCs w:val="20"/>
              </w:rPr>
              <w:t xml:space="preserve">(i) The Bidder shall demonstrate that it has access to, or has available, liquid assets, unencumbered real assets, lines of credit, and other financial means (independent of any contractual advance payment) sufficient to meet the construction cash flow requirements estimated as </w:t>
            </w:r>
            <w:r>
              <w:rPr>
                <w:b/>
                <w:sz w:val="20"/>
                <w:szCs w:val="20"/>
              </w:rPr>
              <w:t xml:space="preserve">Kshs. </w:t>
            </w:r>
            <w:r>
              <w:rPr>
                <w:rFonts w:hint="default"/>
                <w:b/>
                <w:sz w:val="20"/>
                <w:szCs w:val="20"/>
                <w:lang w:val="en-US"/>
              </w:rPr>
              <w:t>400</w:t>
            </w:r>
            <w:r>
              <w:rPr>
                <w:b/>
                <w:sz w:val="20"/>
                <w:szCs w:val="20"/>
              </w:rPr>
              <w:t xml:space="preserve">,000,000.00 (Kenya Shillings </w:t>
            </w:r>
            <w:r>
              <w:rPr>
                <w:rFonts w:hint="default"/>
                <w:b/>
                <w:sz w:val="20"/>
                <w:szCs w:val="20"/>
                <w:lang w:val="en-US"/>
              </w:rPr>
              <w:t>Four Hundred</w:t>
            </w:r>
            <w:r>
              <w:rPr>
                <w:b/>
                <w:sz w:val="20"/>
                <w:szCs w:val="20"/>
              </w:rPr>
              <w:t xml:space="preserve"> Million,) per month or equivalent in a freely convertible currency </w:t>
            </w:r>
            <w:r>
              <w:rPr>
                <w:bCs/>
                <w:sz w:val="20"/>
                <w:szCs w:val="20"/>
              </w:rPr>
              <w:t>for</w:t>
            </w:r>
            <w:r>
              <w:rPr>
                <w:sz w:val="20"/>
                <w:szCs w:val="20"/>
              </w:rPr>
              <w:t xml:space="preserve"> the subject contract(s) net of the Bidders other commitments</w:t>
            </w:r>
          </w:p>
          <w:p w14:paraId="6738C8FF">
            <w:pPr>
              <w:pStyle w:val="174"/>
              <w:tabs>
                <w:tab w:val="left" w:leader="dot" w:pos="8424"/>
              </w:tabs>
              <w:spacing w:line="240" w:lineRule="auto"/>
              <w:rPr>
                <w:sz w:val="20"/>
                <w:szCs w:val="20"/>
              </w:rPr>
            </w:pPr>
            <w:r>
              <w:rPr>
                <w:sz w:val="20"/>
                <w:szCs w:val="20"/>
              </w:rPr>
              <w:t>(ii) The Bidders shall also demonstrate, to the satisfaction of the Employer, that it has adequate sources of finance to meet the cash flow requirements on works currently in progress and for future contract commitments.</w:t>
            </w:r>
          </w:p>
          <w:p w14:paraId="0883BD33">
            <w:pPr>
              <w:pStyle w:val="174"/>
              <w:tabs>
                <w:tab w:val="left" w:leader="dot" w:pos="8424"/>
              </w:tabs>
              <w:spacing w:line="240" w:lineRule="auto"/>
              <w:rPr>
                <w:sz w:val="20"/>
                <w:szCs w:val="20"/>
              </w:rPr>
            </w:pPr>
            <w:r>
              <w:rPr>
                <w:sz w:val="20"/>
                <w:szCs w:val="20"/>
              </w:rPr>
              <w:t xml:space="preserve">(iii) The audited balance sheets or, if not required by the laws of the Bidder’s country, other financial statements acceptable to the Employer, for the last </w:t>
            </w:r>
            <w:r>
              <w:rPr>
                <w:b/>
                <w:sz w:val="20"/>
                <w:szCs w:val="20"/>
              </w:rPr>
              <w:t>3</w:t>
            </w:r>
            <w:r>
              <w:rPr>
                <w:i/>
                <w:sz w:val="20"/>
                <w:szCs w:val="20"/>
              </w:rPr>
              <w:t xml:space="preserve"> </w:t>
            </w:r>
            <w:r>
              <w:rPr>
                <w:sz w:val="20"/>
                <w:szCs w:val="20"/>
              </w:rPr>
              <w:t>years shall be submitted and must demonstrate the current soundness of the Bidder’s financial position and indicate its prospective long-term profitability.</w:t>
            </w:r>
          </w:p>
        </w:tc>
        <w:tc>
          <w:tcPr>
            <w:tcW w:w="1416" w:type="dxa"/>
            <w:tcBorders>
              <w:bottom w:val="nil"/>
            </w:tcBorders>
          </w:tcPr>
          <w:p w14:paraId="40FE09D8">
            <w:pPr>
              <w:pStyle w:val="174"/>
              <w:tabs>
                <w:tab w:val="left" w:leader="dot" w:pos="8424"/>
              </w:tabs>
              <w:spacing w:line="240" w:lineRule="auto"/>
              <w:rPr>
                <w:sz w:val="20"/>
                <w:szCs w:val="20"/>
              </w:rPr>
            </w:pPr>
            <w:r>
              <w:rPr>
                <w:sz w:val="20"/>
                <w:szCs w:val="20"/>
              </w:rPr>
              <w:t>Must meet requirement</w:t>
            </w:r>
          </w:p>
          <w:p w14:paraId="6CCC85C6">
            <w:pPr>
              <w:pStyle w:val="174"/>
              <w:tabs>
                <w:tab w:val="left" w:leader="dot" w:pos="8424"/>
              </w:tabs>
              <w:spacing w:line="240" w:lineRule="auto"/>
              <w:rPr>
                <w:sz w:val="20"/>
                <w:szCs w:val="20"/>
              </w:rPr>
            </w:pPr>
          </w:p>
          <w:p w14:paraId="7D34E2C1">
            <w:pPr>
              <w:pStyle w:val="174"/>
              <w:tabs>
                <w:tab w:val="left" w:leader="dot" w:pos="8424"/>
              </w:tabs>
              <w:spacing w:line="240" w:lineRule="auto"/>
              <w:rPr>
                <w:sz w:val="20"/>
                <w:szCs w:val="20"/>
              </w:rPr>
            </w:pPr>
          </w:p>
          <w:p w14:paraId="70EC009E">
            <w:pPr>
              <w:pStyle w:val="174"/>
              <w:tabs>
                <w:tab w:val="left" w:leader="dot" w:pos="8424"/>
              </w:tabs>
              <w:spacing w:line="240" w:lineRule="auto"/>
              <w:rPr>
                <w:sz w:val="20"/>
                <w:szCs w:val="20"/>
              </w:rPr>
            </w:pPr>
          </w:p>
          <w:p w14:paraId="28E0AD01">
            <w:pPr>
              <w:pStyle w:val="174"/>
              <w:tabs>
                <w:tab w:val="left" w:leader="dot" w:pos="8424"/>
              </w:tabs>
              <w:spacing w:line="240" w:lineRule="auto"/>
              <w:rPr>
                <w:sz w:val="20"/>
                <w:szCs w:val="20"/>
              </w:rPr>
            </w:pPr>
          </w:p>
          <w:p w14:paraId="4E59BFBA">
            <w:pPr>
              <w:pStyle w:val="174"/>
              <w:tabs>
                <w:tab w:val="left" w:leader="dot" w:pos="8424"/>
              </w:tabs>
              <w:spacing w:line="240" w:lineRule="auto"/>
              <w:rPr>
                <w:sz w:val="20"/>
                <w:szCs w:val="20"/>
              </w:rPr>
            </w:pPr>
          </w:p>
          <w:p w14:paraId="641D1D88">
            <w:pPr>
              <w:pStyle w:val="174"/>
              <w:tabs>
                <w:tab w:val="left" w:leader="dot" w:pos="8424"/>
              </w:tabs>
              <w:spacing w:line="240" w:lineRule="auto"/>
              <w:rPr>
                <w:sz w:val="20"/>
                <w:szCs w:val="20"/>
              </w:rPr>
            </w:pPr>
          </w:p>
          <w:p w14:paraId="4C02D7E0">
            <w:pPr>
              <w:pStyle w:val="174"/>
              <w:tabs>
                <w:tab w:val="left" w:leader="dot" w:pos="8424"/>
              </w:tabs>
              <w:spacing w:line="240" w:lineRule="auto"/>
              <w:rPr>
                <w:sz w:val="20"/>
                <w:szCs w:val="20"/>
              </w:rPr>
            </w:pPr>
          </w:p>
          <w:p w14:paraId="242094AD">
            <w:pPr>
              <w:pStyle w:val="174"/>
              <w:tabs>
                <w:tab w:val="left" w:leader="dot" w:pos="8424"/>
              </w:tabs>
              <w:spacing w:line="240" w:lineRule="auto"/>
              <w:rPr>
                <w:sz w:val="20"/>
                <w:szCs w:val="20"/>
              </w:rPr>
            </w:pPr>
          </w:p>
          <w:p w14:paraId="10F484B2">
            <w:pPr>
              <w:pStyle w:val="174"/>
              <w:tabs>
                <w:tab w:val="left" w:leader="dot" w:pos="8424"/>
              </w:tabs>
              <w:spacing w:line="240" w:lineRule="auto"/>
              <w:rPr>
                <w:sz w:val="20"/>
                <w:szCs w:val="20"/>
              </w:rPr>
            </w:pPr>
          </w:p>
          <w:p w14:paraId="0F935DF5">
            <w:pPr>
              <w:pStyle w:val="174"/>
              <w:tabs>
                <w:tab w:val="left" w:leader="dot" w:pos="8424"/>
              </w:tabs>
              <w:spacing w:line="240" w:lineRule="auto"/>
              <w:rPr>
                <w:sz w:val="20"/>
                <w:szCs w:val="20"/>
              </w:rPr>
            </w:pPr>
          </w:p>
          <w:p w14:paraId="238849CF">
            <w:pPr>
              <w:pStyle w:val="174"/>
              <w:tabs>
                <w:tab w:val="left" w:leader="dot" w:pos="8424"/>
              </w:tabs>
              <w:spacing w:line="240" w:lineRule="auto"/>
              <w:rPr>
                <w:sz w:val="20"/>
                <w:szCs w:val="20"/>
              </w:rPr>
            </w:pPr>
          </w:p>
          <w:p w14:paraId="3E8460D1">
            <w:pPr>
              <w:pStyle w:val="174"/>
              <w:tabs>
                <w:tab w:val="left" w:leader="dot" w:pos="8424"/>
              </w:tabs>
              <w:spacing w:line="240" w:lineRule="auto"/>
              <w:rPr>
                <w:sz w:val="20"/>
                <w:szCs w:val="20"/>
              </w:rPr>
            </w:pPr>
          </w:p>
          <w:p w14:paraId="77830ADD">
            <w:pPr>
              <w:pStyle w:val="174"/>
              <w:tabs>
                <w:tab w:val="left" w:leader="dot" w:pos="8424"/>
              </w:tabs>
              <w:spacing w:line="240" w:lineRule="auto"/>
              <w:rPr>
                <w:sz w:val="20"/>
                <w:szCs w:val="20"/>
              </w:rPr>
            </w:pPr>
          </w:p>
          <w:p w14:paraId="7944B16C">
            <w:pPr>
              <w:pStyle w:val="174"/>
              <w:tabs>
                <w:tab w:val="left" w:leader="dot" w:pos="8424"/>
              </w:tabs>
              <w:spacing w:line="240" w:lineRule="auto"/>
              <w:rPr>
                <w:sz w:val="20"/>
                <w:szCs w:val="20"/>
              </w:rPr>
            </w:pPr>
          </w:p>
          <w:p w14:paraId="5B57873A">
            <w:pPr>
              <w:pStyle w:val="174"/>
              <w:tabs>
                <w:tab w:val="left" w:leader="dot" w:pos="8424"/>
              </w:tabs>
              <w:spacing w:line="240" w:lineRule="auto"/>
              <w:rPr>
                <w:sz w:val="20"/>
                <w:szCs w:val="20"/>
              </w:rPr>
            </w:pPr>
          </w:p>
          <w:p w14:paraId="47EB93D0">
            <w:pPr>
              <w:pStyle w:val="174"/>
              <w:tabs>
                <w:tab w:val="left" w:leader="dot" w:pos="8424"/>
              </w:tabs>
              <w:spacing w:line="240" w:lineRule="auto"/>
              <w:rPr>
                <w:sz w:val="20"/>
                <w:szCs w:val="20"/>
              </w:rPr>
            </w:pPr>
          </w:p>
          <w:p w14:paraId="339260F0">
            <w:pPr>
              <w:pStyle w:val="174"/>
              <w:tabs>
                <w:tab w:val="left" w:leader="dot" w:pos="8424"/>
              </w:tabs>
              <w:spacing w:line="240" w:lineRule="auto"/>
              <w:rPr>
                <w:sz w:val="20"/>
                <w:szCs w:val="20"/>
              </w:rPr>
            </w:pPr>
          </w:p>
          <w:p w14:paraId="119DB0E1">
            <w:pPr>
              <w:pStyle w:val="174"/>
              <w:tabs>
                <w:tab w:val="left" w:leader="dot" w:pos="8424"/>
              </w:tabs>
              <w:spacing w:line="240" w:lineRule="auto"/>
              <w:rPr>
                <w:sz w:val="20"/>
                <w:szCs w:val="20"/>
              </w:rPr>
            </w:pPr>
          </w:p>
          <w:p w14:paraId="69976B79">
            <w:pPr>
              <w:pStyle w:val="174"/>
              <w:tabs>
                <w:tab w:val="left" w:leader="dot" w:pos="8424"/>
              </w:tabs>
              <w:spacing w:line="240" w:lineRule="auto"/>
              <w:rPr>
                <w:sz w:val="20"/>
                <w:szCs w:val="20"/>
              </w:rPr>
            </w:pPr>
          </w:p>
          <w:p w14:paraId="7102E296">
            <w:pPr>
              <w:pStyle w:val="174"/>
              <w:tabs>
                <w:tab w:val="left" w:leader="dot" w:pos="8424"/>
              </w:tabs>
              <w:spacing w:line="240" w:lineRule="auto"/>
              <w:rPr>
                <w:sz w:val="20"/>
                <w:szCs w:val="20"/>
              </w:rPr>
            </w:pPr>
            <w:r>
              <w:rPr>
                <w:sz w:val="20"/>
                <w:szCs w:val="20"/>
              </w:rPr>
              <w:t>Must meet requirement</w:t>
            </w:r>
          </w:p>
          <w:p w14:paraId="16BB8856">
            <w:pPr>
              <w:pStyle w:val="174"/>
              <w:tabs>
                <w:tab w:val="left" w:leader="dot" w:pos="8424"/>
              </w:tabs>
              <w:spacing w:line="240" w:lineRule="auto"/>
              <w:rPr>
                <w:sz w:val="20"/>
                <w:szCs w:val="20"/>
              </w:rPr>
            </w:pPr>
          </w:p>
          <w:p w14:paraId="3369F7D3">
            <w:pPr>
              <w:pStyle w:val="174"/>
              <w:tabs>
                <w:tab w:val="left" w:leader="dot" w:pos="8424"/>
              </w:tabs>
              <w:spacing w:line="240" w:lineRule="auto"/>
              <w:rPr>
                <w:sz w:val="20"/>
                <w:szCs w:val="20"/>
              </w:rPr>
            </w:pPr>
          </w:p>
          <w:p w14:paraId="0355366B">
            <w:pPr>
              <w:pStyle w:val="174"/>
              <w:tabs>
                <w:tab w:val="left" w:leader="dot" w:pos="8424"/>
              </w:tabs>
              <w:spacing w:line="240" w:lineRule="auto"/>
              <w:rPr>
                <w:sz w:val="20"/>
                <w:szCs w:val="20"/>
              </w:rPr>
            </w:pPr>
          </w:p>
          <w:p w14:paraId="77155566">
            <w:pPr>
              <w:pStyle w:val="174"/>
              <w:tabs>
                <w:tab w:val="left" w:leader="dot" w:pos="8424"/>
              </w:tabs>
              <w:spacing w:line="240" w:lineRule="auto"/>
              <w:rPr>
                <w:sz w:val="20"/>
                <w:szCs w:val="20"/>
              </w:rPr>
            </w:pPr>
          </w:p>
          <w:p w14:paraId="087A228C">
            <w:pPr>
              <w:pStyle w:val="174"/>
              <w:tabs>
                <w:tab w:val="left" w:leader="dot" w:pos="8424"/>
              </w:tabs>
              <w:spacing w:line="240" w:lineRule="auto"/>
              <w:rPr>
                <w:sz w:val="20"/>
                <w:szCs w:val="20"/>
              </w:rPr>
            </w:pPr>
          </w:p>
          <w:p w14:paraId="508BFC0C">
            <w:pPr>
              <w:pStyle w:val="174"/>
              <w:tabs>
                <w:tab w:val="left" w:leader="dot" w:pos="8424"/>
              </w:tabs>
              <w:spacing w:line="240" w:lineRule="auto"/>
              <w:rPr>
                <w:sz w:val="20"/>
                <w:szCs w:val="20"/>
              </w:rPr>
            </w:pPr>
          </w:p>
          <w:p w14:paraId="25513220">
            <w:pPr>
              <w:pStyle w:val="174"/>
              <w:tabs>
                <w:tab w:val="left" w:leader="dot" w:pos="8424"/>
              </w:tabs>
              <w:spacing w:line="240" w:lineRule="auto"/>
              <w:rPr>
                <w:sz w:val="20"/>
                <w:szCs w:val="20"/>
              </w:rPr>
            </w:pPr>
          </w:p>
          <w:p w14:paraId="36FCC054">
            <w:pPr>
              <w:pStyle w:val="174"/>
              <w:tabs>
                <w:tab w:val="left" w:leader="dot" w:pos="8424"/>
              </w:tabs>
              <w:spacing w:line="240" w:lineRule="auto"/>
              <w:rPr>
                <w:sz w:val="20"/>
                <w:szCs w:val="20"/>
              </w:rPr>
            </w:pPr>
          </w:p>
          <w:p w14:paraId="196B3407">
            <w:pPr>
              <w:pStyle w:val="174"/>
              <w:tabs>
                <w:tab w:val="left" w:leader="dot" w:pos="8424"/>
              </w:tabs>
              <w:spacing w:line="240" w:lineRule="auto"/>
              <w:rPr>
                <w:sz w:val="20"/>
                <w:szCs w:val="20"/>
              </w:rPr>
            </w:pPr>
          </w:p>
          <w:p w14:paraId="40B7BE65">
            <w:pPr>
              <w:pStyle w:val="174"/>
              <w:tabs>
                <w:tab w:val="left" w:leader="dot" w:pos="8424"/>
              </w:tabs>
              <w:spacing w:line="240" w:lineRule="auto"/>
              <w:rPr>
                <w:sz w:val="20"/>
                <w:szCs w:val="20"/>
              </w:rPr>
            </w:pPr>
          </w:p>
          <w:p w14:paraId="640FF7F7">
            <w:pPr>
              <w:pStyle w:val="174"/>
              <w:tabs>
                <w:tab w:val="left" w:leader="dot" w:pos="8424"/>
              </w:tabs>
              <w:spacing w:line="240" w:lineRule="auto"/>
              <w:rPr>
                <w:sz w:val="20"/>
                <w:szCs w:val="20"/>
              </w:rPr>
            </w:pPr>
          </w:p>
          <w:p w14:paraId="53A89F50">
            <w:pPr>
              <w:pStyle w:val="174"/>
              <w:tabs>
                <w:tab w:val="left" w:leader="dot" w:pos="8424"/>
              </w:tabs>
              <w:spacing w:line="240" w:lineRule="auto"/>
              <w:rPr>
                <w:sz w:val="20"/>
                <w:szCs w:val="20"/>
              </w:rPr>
            </w:pPr>
            <w:r>
              <w:rPr>
                <w:sz w:val="20"/>
                <w:szCs w:val="20"/>
              </w:rPr>
              <w:t>Must meet requirement</w:t>
            </w:r>
          </w:p>
        </w:tc>
        <w:tc>
          <w:tcPr>
            <w:tcW w:w="1477" w:type="dxa"/>
            <w:tcBorders>
              <w:bottom w:val="nil"/>
            </w:tcBorders>
          </w:tcPr>
          <w:p w14:paraId="06F49F13">
            <w:pPr>
              <w:pStyle w:val="174"/>
              <w:tabs>
                <w:tab w:val="left" w:leader="dot" w:pos="8424"/>
              </w:tabs>
              <w:spacing w:line="240" w:lineRule="auto"/>
              <w:rPr>
                <w:sz w:val="20"/>
                <w:szCs w:val="20"/>
              </w:rPr>
            </w:pPr>
            <w:r>
              <w:rPr>
                <w:sz w:val="20"/>
                <w:szCs w:val="20"/>
              </w:rPr>
              <w:t xml:space="preserve">Must meet Requirement </w:t>
            </w:r>
          </w:p>
          <w:p w14:paraId="71875BAA">
            <w:pPr>
              <w:pStyle w:val="174"/>
              <w:tabs>
                <w:tab w:val="left" w:leader="dot" w:pos="8424"/>
              </w:tabs>
              <w:spacing w:line="240" w:lineRule="auto"/>
              <w:rPr>
                <w:sz w:val="20"/>
                <w:szCs w:val="20"/>
              </w:rPr>
            </w:pPr>
          </w:p>
          <w:p w14:paraId="70D478B3">
            <w:pPr>
              <w:pStyle w:val="174"/>
              <w:tabs>
                <w:tab w:val="left" w:leader="dot" w:pos="8424"/>
              </w:tabs>
              <w:spacing w:line="240" w:lineRule="auto"/>
              <w:rPr>
                <w:sz w:val="20"/>
                <w:szCs w:val="20"/>
              </w:rPr>
            </w:pPr>
          </w:p>
          <w:p w14:paraId="22275341">
            <w:pPr>
              <w:pStyle w:val="174"/>
              <w:tabs>
                <w:tab w:val="left" w:leader="dot" w:pos="8424"/>
              </w:tabs>
              <w:spacing w:line="240" w:lineRule="auto"/>
              <w:rPr>
                <w:sz w:val="20"/>
                <w:szCs w:val="20"/>
              </w:rPr>
            </w:pPr>
          </w:p>
          <w:p w14:paraId="59B1B190">
            <w:pPr>
              <w:pStyle w:val="174"/>
              <w:tabs>
                <w:tab w:val="left" w:leader="dot" w:pos="8424"/>
              </w:tabs>
              <w:spacing w:line="240" w:lineRule="auto"/>
              <w:rPr>
                <w:sz w:val="20"/>
                <w:szCs w:val="20"/>
              </w:rPr>
            </w:pPr>
          </w:p>
          <w:p w14:paraId="10F5D00F">
            <w:pPr>
              <w:pStyle w:val="174"/>
              <w:tabs>
                <w:tab w:val="left" w:leader="dot" w:pos="8424"/>
              </w:tabs>
              <w:spacing w:line="240" w:lineRule="auto"/>
              <w:rPr>
                <w:sz w:val="20"/>
                <w:szCs w:val="20"/>
              </w:rPr>
            </w:pPr>
          </w:p>
          <w:p w14:paraId="413B94C2">
            <w:pPr>
              <w:pStyle w:val="174"/>
              <w:tabs>
                <w:tab w:val="left" w:leader="dot" w:pos="8424"/>
              </w:tabs>
              <w:spacing w:line="240" w:lineRule="auto"/>
              <w:rPr>
                <w:sz w:val="20"/>
                <w:szCs w:val="20"/>
              </w:rPr>
            </w:pPr>
          </w:p>
          <w:p w14:paraId="25C6B0FE">
            <w:pPr>
              <w:pStyle w:val="174"/>
              <w:tabs>
                <w:tab w:val="left" w:leader="dot" w:pos="8424"/>
              </w:tabs>
              <w:spacing w:line="240" w:lineRule="auto"/>
              <w:rPr>
                <w:sz w:val="20"/>
                <w:szCs w:val="20"/>
              </w:rPr>
            </w:pPr>
          </w:p>
          <w:p w14:paraId="5280C3EF">
            <w:pPr>
              <w:pStyle w:val="174"/>
              <w:tabs>
                <w:tab w:val="left" w:leader="dot" w:pos="8424"/>
              </w:tabs>
              <w:spacing w:line="240" w:lineRule="auto"/>
              <w:rPr>
                <w:sz w:val="20"/>
                <w:szCs w:val="20"/>
              </w:rPr>
            </w:pPr>
          </w:p>
          <w:p w14:paraId="30E9827D">
            <w:pPr>
              <w:pStyle w:val="174"/>
              <w:tabs>
                <w:tab w:val="left" w:leader="dot" w:pos="8424"/>
              </w:tabs>
              <w:spacing w:line="240" w:lineRule="auto"/>
              <w:rPr>
                <w:sz w:val="20"/>
                <w:szCs w:val="20"/>
              </w:rPr>
            </w:pPr>
          </w:p>
          <w:p w14:paraId="093FC703">
            <w:pPr>
              <w:pStyle w:val="174"/>
              <w:tabs>
                <w:tab w:val="left" w:leader="dot" w:pos="8424"/>
              </w:tabs>
              <w:spacing w:line="240" w:lineRule="auto"/>
              <w:rPr>
                <w:sz w:val="20"/>
                <w:szCs w:val="20"/>
              </w:rPr>
            </w:pPr>
          </w:p>
          <w:p w14:paraId="6EC26A25">
            <w:pPr>
              <w:pStyle w:val="174"/>
              <w:tabs>
                <w:tab w:val="left" w:leader="dot" w:pos="8424"/>
              </w:tabs>
              <w:spacing w:line="240" w:lineRule="auto"/>
              <w:rPr>
                <w:sz w:val="20"/>
                <w:szCs w:val="20"/>
              </w:rPr>
            </w:pPr>
          </w:p>
          <w:p w14:paraId="336F0627">
            <w:pPr>
              <w:pStyle w:val="174"/>
              <w:tabs>
                <w:tab w:val="left" w:leader="dot" w:pos="8424"/>
              </w:tabs>
              <w:spacing w:line="240" w:lineRule="auto"/>
              <w:rPr>
                <w:sz w:val="20"/>
                <w:szCs w:val="20"/>
              </w:rPr>
            </w:pPr>
          </w:p>
          <w:p w14:paraId="454BD19F">
            <w:pPr>
              <w:pStyle w:val="174"/>
              <w:tabs>
                <w:tab w:val="left" w:leader="dot" w:pos="8424"/>
              </w:tabs>
              <w:spacing w:line="240" w:lineRule="auto"/>
              <w:rPr>
                <w:sz w:val="20"/>
                <w:szCs w:val="20"/>
              </w:rPr>
            </w:pPr>
          </w:p>
          <w:p w14:paraId="08B5973C">
            <w:pPr>
              <w:pStyle w:val="174"/>
              <w:tabs>
                <w:tab w:val="left" w:leader="dot" w:pos="8424"/>
              </w:tabs>
              <w:spacing w:line="240" w:lineRule="auto"/>
              <w:rPr>
                <w:sz w:val="20"/>
                <w:szCs w:val="20"/>
              </w:rPr>
            </w:pPr>
          </w:p>
          <w:p w14:paraId="39777D70">
            <w:pPr>
              <w:pStyle w:val="174"/>
              <w:tabs>
                <w:tab w:val="left" w:leader="dot" w:pos="8424"/>
              </w:tabs>
              <w:spacing w:line="240" w:lineRule="auto"/>
              <w:rPr>
                <w:sz w:val="20"/>
                <w:szCs w:val="20"/>
              </w:rPr>
            </w:pPr>
          </w:p>
          <w:p w14:paraId="381404B5">
            <w:pPr>
              <w:pStyle w:val="174"/>
              <w:tabs>
                <w:tab w:val="left" w:leader="dot" w:pos="8424"/>
              </w:tabs>
              <w:spacing w:line="240" w:lineRule="auto"/>
              <w:rPr>
                <w:sz w:val="20"/>
                <w:szCs w:val="20"/>
              </w:rPr>
            </w:pPr>
          </w:p>
          <w:p w14:paraId="7305777B">
            <w:pPr>
              <w:pStyle w:val="174"/>
              <w:tabs>
                <w:tab w:val="left" w:leader="dot" w:pos="8424"/>
              </w:tabs>
              <w:spacing w:line="240" w:lineRule="auto"/>
              <w:rPr>
                <w:sz w:val="20"/>
                <w:szCs w:val="20"/>
              </w:rPr>
            </w:pPr>
          </w:p>
          <w:p w14:paraId="33C5A0D2">
            <w:pPr>
              <w:pStyle w:val="174"/>
              <w:tabs>
                <w:tab w:val="left" w:leader="dot" w:pos="8424"/>
              </w:tabs>
              <w:spacing w:line="240" w:lineRule="auto"/>
              <w:rPr>
                <w:sz w:val="20"/>
                <w:szCs w:val="20"/>
              </w:rPr>
            </w:pPr>
          </w:p>
          <w:p w14:paraId="3FB76AEF">
            <w:pPr>
              <w:pStyle w:val="174"/>
              <w:tabs>
                <w:tab w:val="left" w:leader="dot" w:pos="8424"/>
              </w:tabs>
              <w:spacing w:line="240" w:lineRule="auto"/>
              <w:rPr>
                <w:sz w:val="20"/>
                <w:szCs w:val="20"/>
              </w:rPr>
            </w:pPr>
          </w:p>
          <w:p w14:paraId="7A8E3A12">
            <w:pPr>
              <w:pStyle w:val="174"/>
              <w:tabs>
                <w:tab w:val="left" w:leader="dot" w:pos="8424"/>
              </w:tabs>
              <w:spacing w:line="240" w:lineRule="auto"/>
              <w:rPr>
                <w:sz w:val="20"/>
                <w:szCs w:val="20"/>
              </w:rPr>
            </w:pPr>
          </w:p>
          <w:p w14:paraId="3D56D048">
            <w:pPr>
              <w:pStyle w:val="174"/>
              <w:tabs>
                <w:tab w:val="left" w:leader="dot" w:pos="8424"/>
              </w:tabs>
              <w:spacing w:line="240" w:lineRule="auto"/>
              <w:rPr>
                <w:sz w:val="20"/>
                <w:szCs w:val="20"/>
              </w:rPr>
            </w:pPr>
            <w:r>
              <w:rPr>
                <w:sz w:val="20"/>
                <w:szCs w:val="20"/>
              </w:rPr>
              <w:t>Must meet requirement</w:t>
            </w:r>
          </w:p>
          <w:p w14:paraId="46812ADB">
            <w:pPr>
              <w:pStyle w:val="174"/>
              <w:tabs>
                <w:tab w:val="left" w:leader="dot" w:pos="8424"/>
              </w:tabs>
              <w:spacing w:line="240" w:lineRule="auto"/>
              <w:rPr>
                <w:sz w:val="20"/>
                <w:szCs w:val="20"/>
              </w:rPr>
            </w:pPr>
          </w:p>
          <w:p w14:paraId="6455DF16">
            <w:pPr>
              <w:pStyle w:val="174"/>
              <w:tabs>
                <w:tab w:val="left" w:leader="dot" w:pos="8424"/>
              </w:tabs>
              <w:spacing w:line="240" w:lineRule="auto"/>
              <w:rPr>
                <w:sz w:val="20"/>
                <w:szCs w:val="20"/>
              </w:rPr>
            </w:pPr>
          </w:p>
          <w:p w14:paraId="4D5C2C6D">
            <w:pPr>
              <w:pStyle w:val="174"/>
              <w:tabs>
                <w:tab w:val="left" w:leader="dot" w:pos="8424"/>
              </w:tabs>
              <w:spacing w:line="240" w:lineRule="auto"/>
              <w:rPr>
                <w:sz w:val="20"/>
                <w:szCs w:val="20"/>
              </w:rPr>
            </w:pPr>
          </w:p>
          <w:p w14:paraId="64213ED7">
            <w:pPr>
              <w:pStyle w:val="174"/>
              <w:tabs>
                <w:tab w:val="left" w:leader="dot" w:pos="8424"/>
              </w:tabs>
              <w:spacing w:line="240" w:lineRule="auto"/>
              <w:rPr>
                <w:sz w:val="20"/>
                <w:szCs w:val="20"/>
              </w:rPr>
            </w:pPr>
          </w:p>
          <w:p w14:paraId="6A74B7DD">
            <w:pPr>
              <w:pStyle w:val="174"/>
              <w:tabs>
                <w:tab w:val="left" w:leader="dot" w:pos="8424"/>
              </w:tabs>
              <w:spacing w:line="240" w:lineRule="auto"/>
              <w:rPr>
                <w:sz w:val="20"/>
                <w:szCs w:val="20"/>
              </w:rPr>
            </w:pPr>
          </w:p>
          <w:p w14:paraId="1ABE797F">
            <w:pPr>
              <w:pStyle w:val="174"/>
              <w:tabs>
                <w:tab w:val="left" w:leader="dot" w:pos="8424"/>
              </w:tabs>
              <w:spacing w:line="240" w:lineRule="auto"/>
              <w:rPr>
                <w:sz w:val="20"/>
                <w:szCs w:val="20"/>
              </w:rPr>
            </w:pPr>
          </w:p>
          <w:p w14:paraId="1847B94F">
            <w:pPr>
              <w:pStyle w:val="174"/>
              <w:tabs>
                <w:tab w:val="left" w:leader="dot" w:pos="8424"/>
              </w:tabs>
              <w:spacing w:line="240" w:lineRule="auto"/>
              <w:rPr>
                <w:sz w:val="20"/>
                <w:szCs w:val="20"/>
              </w:rPr>
            </w:pPr>
          </w:p>
          <w:p w14:paraId="129CB9B5">
            <w:pPr>
              <w:pStyle w:val="174"/>
              <w:tabs>
                <w:tab w:val="left" w:leader="dot" w:pos="8424"/>
              </w:tabs>
              <w:spacing w:line="240" w:lineRule="auto"/>
              <w:rPr>
                <w:sz w:val="20"/>
                <w:szCs w:val="20"/>
              </w:rPr>
            </w:pPr>
          </w:p>
          <w:p w14:paraId="218D1C76">
            <w:pPr>
              <w:pStyle w:val="174"/>
              <w:tabs>
                <w:tab w:val="left" w:leader="dot" w:pos="8424"/>
              </w:tabs>
              <w:spacing w:line="240" w:lineRule="auto"/>
              <w:rPr>
                <w:sz w:val="20"/>
                <w:szCs w:val="20"/>
              </w:rPr>
            </w:pPr>
          </w:p>
          <w:p w14:paraId="3D89AE30">
            <w:pPr>
              <w:pStyle w:val="174"/>
              <w:tabs>
                <w:tab w:val="left" w:leader="dot" w:pos="8424"/>
              </w:tabs>
              <w:spacing w:line="240" w:lineRule="auto"/>
              <w:rPr>
                <w:sz w:val="20"/>
                <w:szCs w:val="20"/>
              </w:rPr>
            </w:pPr>
          </w:p>
          <w:p w14:paraId="65EC40AD">
            <w:pPr>
              <w:pStyle w:val="174"/>
              <w:tabs>
                <w:tab w:val="left" w:leader="dot" w:pos="8424"/>
              </w:tabs>
              <w:spacing w:line="240" w:lineRule="auto"/>
              <w:rPr>
                <w:sz w:val="20"/>
                <w:szCs w:val="20"/>
              </w:rPr>
            </w:pPr>
          </w:p>
          <w:p w14:paraId="337A1380">
            <w:pPr>
              <w:pStyle w:val="174"/>
              <w:tabs>
                <w:tab w:val="left" w:leader="dot" w:pos="8424"/>
              </w:tabs>
              <w:rPr>
                <w:sz w:val="20"/>
                <w:szCs w:val="20"/>
              </w:rPr>
            </w:pPr>
            <w:r>
              <w:rPr>
                <w:sz w:val="20"/>
                <w:szCs w:val="20"/>
              </w:rPr>
              <w:t>N/A</w:t>
            </w:r>
          </w:p>
        </w:tc>
        <w:tc>
          <w:tcPr>
            <w:tcW w:w="1663" w:type="dxa"/>
            <w:tcBorders>
              <w:bottom w:val="nil"/>
            </w:tcBorders>
          </w:tcPr>
          <w:p w14:paraId="6D4AE97E">
            <w:pPr>
              <w:pStyle w:val="174"/>
              <w:tabs>
                <w:tab w:val="left" w:leader="dot" w:pos="8424"/>
              </w:tabs>
              <w:spacing w:line="240" w:lineRule="auto"/>
              <w:rPr>
                <w:sz w:val="20"/>
                <w:szCs w:val="20"/>
              </w:rPr>
            </w:pPr>
            <w:r>
              <w:rPr>
                <w:sz w:val="20"/>
                <w:szCs w:val="20"/>
              </w:rPr>
              <w:t xml:space="preserve">Must meet at least </w:t>
            </w:r>
            <w:r>
              <w:rPr>
                <w:b/>
                <w:sz w:val="20"/>
                <w:szCs w:val="20"/>
              </w:rPr>
              <w:t>50%</w:t>
            </w:r>
            <w:r>
              <w:rPr>
                <w:sz w:val="20"/>
                <w:szCs w:val="20"/>
              </w:rPr>
              <w:t xml:space="preserve"> (Fifty Percent) of the requirement</w:t>
            </w:r>
          </w:p>
          <w:p w14:paraId="6DEC785D">
            <w:pPr>
              <w:pStyle w:val="174"/>
              <w:tabs>
                <w:tab w:val="left" w:leader="dot" w:pos="8424"/>
              </w:tabs>
              <w:spacing w:line="240" w:lineRule="auto"/>
              <w:rPr>
                <w:sz w:val="20"/>
                <w:szCs w:val="20"/>
              </w:rPr>
            </w:pPr>
          </w:p>
          <w:p w14:paraId="23D26FB6">
            <w:pPr>
              <w:pStyle w:val="174"/>
              <w:tabs>
                <w:tab w:val="left" w:leader="dot" w:pos="8424"/>
              </w:tabs>
              <w:spacing w:line="240" w:lineRule="auto"/>
              <w:rPr>
                <w:sz w:val="20"/>
                <w:szCs w:val="20"/>
              </w:rPr>
            </w:pPr>
          </w:p>
          <w:p w14:paraId="5B14708F">
            <w:pPr>
              <w:pStyle w:val="174"/>
              <w:tabs>
                <w:tab w:val="left" w:leader="dot" w:pos="8424"/>
              </w:tabs>
              <w:spacing w:line="240" w:lineRule="auto"/>
              <w:rPr>
                <w:sz w:val="20"/>
                <w:szCs w:val="20"/>
              </w:rPr>
            </w:pPr>
          </w:p>
          <w:p w14:paraId="3A2EF6D1">
            <w:pPr>
              <w:pStyle w:val="174"/>
              <w:tabs>
                <w:tab w:val="left" w:leader="dot" w:pos="8424"/>
              </w:tabs>
              <w:spacing w:line="240" w:lineRule="auto"/>
              <w:rPr>
                <w:sz w:val="20"/>
                <w:szCs w:val="20"/>
              </w:rPr>
            </w:pPr>
          </w:p>
          <w:p w14:paraId="36BF73BD">
            <w:pPr>
              <w:pStyle w:val="174"/>
              <w:tabs>
                <w:tab w:val="left" w:leader="dot" w:pos="8424"/>
              </w:tabs>
              <w:spacing w:line="240" w:lineRule="auto"/>
              <w:rPr>
                <w:sz w:val="20"/>
                <w:szCs w:val="20"/>
              </w:rPr>
            </w:pPr>
          </w:p>
          <w:p w14:paraId="69C7DBE5">
            <w:pPr>
              <w:pStyle w:val="174"/>
              <w:tabs>
                <w:tab w:val="left" w:leader="dot" w:pos="8424"/>
              </w:tabs>
              <w:spacing w:line="240" w:lineRule="auto"/>
              <w:rPr>
                <w:sz w:val="20"/>
                <w:szCs w:val="20"/>
              </w:rPr>
            </w:pPr>
          </w:p>
          <w:p w14:paraId="334BCFE9">
            <w:pPr>
              <w:pStyle w:val="174"/>
              <w:tabs>
                <w:tab w:val="left" w:leader="dot" w:pos="8424"/>
              </w:tabs>
              <w:spacing w:line="240" w:lineRule="auto"/>
              <w:rPr>
                <w:sz w:val="20"/>
                <w:szCs w:val="20"/>
              </w:rPr>
            </w:pPr>
          </w:p>
          <w:p w14:paraId="7E73F0D0">
            <w:pPr>
              <w:pStyle w:val="174"/>
              <w:tabs>
                <w:tab w:val="left" w:leader="dot" w:pos="8424"/>
              </w:tabs>
              <w:spacing w:line="240" w:lineRule="auto"/>
              <w:rPr>
                <w:sz w:val="20"/>
                <w:szCs w:val="20"/>
              </w:rPr>
            </w:pPr>
          </w:p>
          <w:p w14:paraId="40EA4D3B">
            <w:pPr>
              <w:pStyle w:val="174"/>
              <w:tabs>
                <w:tab w:val="left" w:leader="dot" w:pos="8424"/>
              </w:tabs>
              <w:spacing w:line="240" w:lineRule="auto"/>
              <w:rPr>
                <w:sz w:val="20"/>
                <w:szCs w:val="20"/>
              </w:rPr>
            </w:pPr>
          </w:p>
          <w:p w14:paraId="77A19909">
            <w:pPr>
              <w:pStyle w:val="174"/>
              <w:tabs>
                <w:tab w:val="left" w:leader="dot" w:pos="8424"/>
              </w:tabs>
              <w:spacing w:line="240" w:lineRule="auto"/>
              <w:rPr>
                <w:sz w:val="20"/>
                <w:szCs w:val="20"/>
              </w:rPr>
            </w:pPr>
          </w:p>
          <w:p w14:paraId="0D78EEDA">
            <w:pPr>
              <w:pStyle w:val="174"/>
              <w:tabs>
                <w:tab w:val="left" w:leader="dot" w:pos="8424"/>
              </w:tabs>
              <w:spacing w:line="240" w:lineRule="auto"/>
              <w:rPr>
                <w:sz w:val="20"/>
                <w:szCs w:val="20"/>
              </w:rPr>
            </w:pPr>
          </w:p>
          <w:p w14:paraId="736FC8FB">
            <w:pPr>
              <w:pStyle w:val="174"/>
              <w:tabs>
                <w:tab w:val="left" w:leader="dot" w:pos="8424"/>
              </w:tabs>
              <w:spacing w:line="240" w:lineRule="auto"/>
              <w:rPr>
                <w:sz w:val="20"/>
                <w:szCs w:val="20"/>
              </w:rPr>
            </w:pPr>
          </w:p>
          <w:p w14:paraId="227E3055">
            <w:pPr>
              <w:pStyle w:val="174"/>
              <w:tabs>
                <w:tab w:val="left" w:leader="dot" w:pos="8424"/>
              </w:tabs>
              <w:spacing w:line="240" w:lineRule="auto"/>
              <w:rPr>
                <w:sz w:val="20"/>
                <w:szCs w:val="20"/>
              </w:rPr>
            </w:pPr>
          </w:p>
          <w:p w14:paraId="5E10FD20">
            <w:pPr>
              <w:pStyle w:val="174"/>
              <w:tabs>
                <w:tab w:val="left" w:leader="dot" w:pos="8424"/>
              </w:tabs>
              <w:spacing w:line="240" w:lineRule="auto"/>
              <w:rPr>
                <w:sz w:val="20"/>
                <w:szCs w:val="20"/>
              </w:rPr>
            </w:pPr>
          </w:p>
          <w:p w14:paraId="4CCBA312">
            <w:pPr>
              <w:pStyle w:val="174"/>
              <w:tabs>
                <w:tab w:val="left" w:leader="dot" w:pos="8424"/>
              </w:tabs>
              <w:spacing w:line="240" w:lineRule="auto"/>
              <w:rPr>
                <w:sz w:val="20"/>
                <w:szCs w:val="20"/>
              </w:rPr>
            </w:pPr>
          </w:p>
          <w:p w14:paraId="3B3BB957">
            <w:pPr>
              <w:pStyle w:val="174"/>
              <w:tabs>
                <w:tab w:val="left" w:leader="dot" w:pos="8424"/>
              </w:tabs>
              <w:spacing w:line="240" w:lineRule="auto"/>
              <w:rPr>
                <w:sz w:val="20"/>
                <w:szCs w:val="20"/>
              </w:rPr>
            </w:pPr>
          </w:p>
          <w:p w14:paraId="7D42033D">
            <w:pPr>
              <w:pStyle w:val="174"/>
              <w:tabs>
                <w:tab w:val="left" w:leader="dot" w:pos="8424"/>
              </w:tabs>
              <w:spacing w:line="240" w:lineRule="auto"/>
              <w:rPr>
                <w:sz w:val="20"/>
                <w:szCs w:val="20"/>
              </w:rPr>
            </w:pPr>
          </w:p>
          <w:p w14:paraId="688323AF">
            <w:pPr>
              <w:pStyle w:val="174"/>
              <w:tabs>
                <w:tab w:val="left" w:leader="dot" w:pos="8424"/>
              </w:tabs>
              <w:spacing w:line="240" w:lineRule="auto"/>
              <w:rPr>
                <w:sz w:val="20"/>
                <w:szCs w:val="20"/>
              </w:rPr>
            </w:pPr>
          </w:p>
          <w:p w14:paraId="09FCD967">
            <w:pPr>
              <w:pStyle w:val="174"/>
              <w:tabs>
                <w:tab w:val="left" w:leader="dot" w:pos="8424"/>
              </w:tabs>
              <w:spacing w:line="240" w:lineRule="auto"/>
              <w:rPr>
                <w:sz w:val="20"/>
                <w:szCs w:val="20"/>
              </w:rPr>
            </w:pPr>
            <w:r>
              <w:rPr>
                <w:sz w:val="20"/>
                <w:szCs w:val="20"/>
              </w:rPr>
              <w:t>N/A</w:t>
            </w:r>
          </w:p>
          <w:p w14:paraId="442CFC51">
            <w:pPr>
              <w:pStyle w:val="174"/>
              <w:tabs>
                <w:tab w:val="left" w:leader="dot" w:pos="8424"/>
              </w:tabs>
              <w:spacing w:line="240" w:lineRule="auto"/>
              <w:rPr>
                <w:sz w:val="20"/>
                <w:szCs w:val="20"/>
              </w:rPr>
            </w:pPr>
          </w:p>
          <w:p w14:paraId="0CD8763D">
            <w:pPr>
              <w:pStyle w:val="174"/>
              <w:tabs>
                <w:tab w:val="left" w:leader="dot" w:pos="8424"/>
              </w:tabs>
              <w:spacing w:line="240" w:lineRule="auto"/>
              <w:rPr>
                <w:sz w:val="20"/>
                <w:szCs w:val="20"/>
              </w:rPr>
            </w:pPr>
          </w:p>
          <w:p w14:paraId="673CA839">
            <w:pPr>
              <w:pStyle w:val="174"/>
              <w:tabs>
                <w:tab w:val="left" w:leader="dot" w:pos="8424"/>
              </w:tabs>
              <w:spacing w:line="240" w:lineRule="auto"/>
              <w:rPr>
                <w:sz w:val="20"/>
                <w:szCs w:val="20"/>
              </w:rPr>
            </w:pPr>
          </w:p>
          <w:p w14:paraId="1D0E770A">
            <w:pPr>
              <w:pStyle w:val="174"/>
              <w:tabs>
                <w:tab w:val="left" w:leader="dot" w:pos="8424"/>
              </w:tabs>
              <w:spacing w:line="240" w:lineRule="auto"/>
              <w:rPr>
                <w:sz w:val="20"/>
                <w:szCs w:val="20"/>
              </w:rPr>
            </w:pPr>
          </w:p>
          <w:p w14:paraId="4EF9766D">
            <w:pPr>
              <w:pStyle w:val="174"/>
              <w:tabs>
                <w:tab w:val="left" w:leader="dot" w:pos="8424"/>
              </w:tabs>
              <w:spacing w:line="240" w:lineRule="auto"/>
              <w:rPr>
                <w:sz w:val="20"/>
                <w:szCs w:val="20"/>
              </w:rPr>
            </w:pPr>
          </w:p>
          <w:p w14:paraId="53410B7D">
            <w:pPr>
              <w:pStyle w:val="174"/>
              <w:tabs>
                <w:tab w:val="left" w:leader="dot" w:pos="8424"/>
              </w:tabs>
              <w:spacing w:line="240" w:lineRule="auto"/>
              <w:rPr>
                <w:sz w:val="20"/>
                <w:szCs w:val="20"/>
              </w:rPr>
            </w:pPr>
          </w:p>
          <w:p w14:paraId="016296BA">
            <w:pPr>
              <w:pStyle w:val="174"/>
              <w:tabs>
                <w:tab w:val="left" w:leader="dot" w:pos="8424"/>
              </w:tabs>
              <w:spacing w:line="240" w:lineRule="auto"/>
              <w:rPr>
                <w:sz w:val="20"/>
                <w:szCs w:val="20"/>
              </w:rPr>
            </w:pPr>
          </w:p>
          <w:p w14:paraId="3E3D08A8">
            <w:pPr>
              <w:pStyle w:val="174"/>
              <w:tabs>
                <w:tab w:val="left" w:leader="dot" w:pos="8424"/>
              </w:tabs>
              <w:spacing w:line="240" w:lineRule="auto"/>
              <w:rPr>
                <w:sz w:val="20"/>
                <w:szCs w:val="20"/>
              </w:rPr>
            </w:pPr>
          </w:p>
          <w:p w14:paraId="4681D984">
            <w:pPr>
              <w:pStyle w:val="174"/>
              <w:tabs>
                <w:tab w:val="left" w:leader="dot" w:pos="8424"/>
              </w:tabs>
              <w:spacing w:line="240" w:lineRule="auto"/>
              <w:rPr>
                <w:sz w:val="20"/>
                <w:szCs w:val="20"/>
              </w:rPr>
            </w:pPr>
          </w:p>
          <w:p w14:paraId="7E828301">
            <w:pPr>
              <w:pStyle w:val="174"/>
              <w:tabs>
                <w:tab w:val="left" w:leader="dot" w:pos="8424"/>
              </w:tabs>
              <w:spacing w:line="240" w:lineRule="auto"/>
              <w:rPr>
                <w:sz w:val="20"/>
                <w:szCs w:val="20"/>
              </w:rPr>
            </w:pPr>
          </w:p>
          <w:p w14:paraId="6FE8A656">
            <w:pPr>
              <w:pStyle w:val="174"/>
              <w:tabs>
                <w:tab w:val="left" w:leader="dot" w:pos="8424"/>
              </w:tabs>
              <w:spacing w:line="240" w:lineRule="auto"/>
              <w:rPr>
                <w:sz w:val="20"/>
                <w:szCs w:val="20"/>
              </w:rPr>
            </w:pPr>
          </w:p>
          <w:p w14:paraId="4B421D83">
            <w:pPr>
              <w:pStyle w:val="174"/>
              <w:tabs>
                <w:tab w:val="left" w:leader="dot" w:pos="8424"/>
              </w:tabs>
              <w:spacing w:line="240" w:lineRule="auto"/>
              <w:rPr>
                <w:sz w:val="20"/>
                <w:szCs w:val="20"/>
              </w:rPr>
            </w:pPr>
          </w:p>
          <w:p w14:paraId="42731690">
            <w:pPr>
              <w:pStyle w:val="174"/>
              <w:tabs>
                <w:tab w:val="left" w:leader="dot" w:pos="8424"/>
              </w:tabs>
              <w:spacing w:line="240" w:lineRule="auto"/>
              <w:rPr>
                <w:sz w:val="20"/>
                <w:szCs w:val="20"/>
              </w:rPr>
            </w:pPr>
            <w:r>
              <w:rPr>
                <w:sz w:val="20"/>
                <w:szCs w:val="20"/>
              </w:rPr>
              <w:t>Must meet requirement</w:t>
            </w:r>
          </w:p>
        </w:tc>
        <w:tc>
          <w:tcPr>
            <w:tcW w:w="1663" w:type="dxa"/>
            <w:tcBorders>
              <w:bottom w:val="nil"/>
            </w:tcBorders>
          </w:tcPr>
          <w:p w14:paraId="54356256">
            <w:pPr>
              <w:pStyle w:val="174"/>
              <w:tabs>
                <w:tab w:val="left" w:leader="dot" w:pos="8424"/>
              </w:tabs>
              <w:spacing w:line="240" w:lineRule="auto"/>
              <w:rPr>
                <w:sz w:val="20"/>
                <w:szCs w:val="20"/>
              </w:rPr>
            </w:pPr>
            <w:r>
              <w:rPr>
                <w:sz w:val="20"/>
                <w:szCs w:val="20"/>
              </w:rPr>
              <w:t xml:space="preserve">Must meet at least </w:t>
            </w:r>
            <w:r>
              <w:rPr>
                <w:b/>
                <w:sz w:val="20"/>
                <w:szCs w:val="20"/>
              </w:rPr>
              <w:t>75%</w:t>
            </w:r>
            <w:r>
              <w:rPr>
                <w:sz w:val="20"/>
                <w:szCs w:val="20"/>
              </w:rPr>
              <w:t xml:space="preserve"> (Seventy Five Percent) of the requirement</w:t>
            </w:r>
          </w:p>
          <w:p w14:paraId="1F0A56C9">
            <w:pPr>
              <w:pStyle w:val="174"/>
              <w:tabs>
                <w:tab w:val="left" w:leader="dot" w:pos="8424"/>
              </w:tabs>
              <w:spacing w:line="240" w:lineRule="auto"/>
              <w:rPr>
                <w:sz w:val="20"/>
                <w:szCs w:val="20"/>
              </w:rPr>
            </w:pPr>
          </w:p>
          <w:p w14:paraId="6AB012D1">
            <w:pPr>
              <w:pStyle w:val="174"/>
              <w:tabs>
                <w:tab w:val="left" w:leader="dot" w:pos="8424"/>
              </w:tabs>
              <w:spacing w:line="240" w:lineRule="auto"/>
              <w:rPr>
                <w:sz w:val="20"/>
                <w:szCs w:val="20"/>
              </w:rPr>
            </w:pPr>
          </w:p>
          <w:p w14:paraId="7FCEC5CC">
            <w:pPr>
              <w:pStyle w:val="174"/>
              <w:tabs>
                <w:tab w:val="left" w:leader="dot" w:pos="8424"/>
              </w:tabs>
              <w:spacing w:line="240" w:lineRule="auto"/>
              <w:rPr>
                <w:sz w:val="20"/>
                <w:szCs w:val="20"/>
              </w:rPr>
            </w:pPr>
          </w:p>
          <w:p w14:paraId="3A871633">
            <w:pPr>
              <w:pStyle w:val="174"/>
              <w:tabs>
                <w:tab w:val="left" w:leader="dot" w:pos="8424"/>
              </w:tabs>
              <w:spacing w:line="240" w:lineRule="auto"/>
              <w:rPr>
                <w:sz w:val="20"/>
                <w:szCs w:val="20"/>
              </w:rPr>
            </w:pPr>
          </w:p>
          <w:p w14:paraId="6B6B7C5D">
            <w:pPr>
              <w:pStyle w:val="174"/>
              <w:tabs>
                <w:tab w:val="left" w:leader="dot" w:pos="8424"/>
              </w:tabs>
              <w:spacing w:line="240" w:lineRule="auto"/>
              <w:rPr>
                <w:sz w:val="20"/>
                <w:szCs w:val="20"/>
              </w:rPr>
            </w:pPr>
          </w:p>
          <w:p w14:paraId="158EF3D3">
            <w:pPr>
              <w:pStyle w:val="174"/>
              <w:tabs>
                <w:tab w:val="left" w:leader="dot" w:pos="8424"/>
              </w:tabs>
              <w:spacing w:line="240" w:lineRule="auto"/>
              <w:rPr>
                <w:sz w:val="20"/>
                <w:szCs w:val="20"/>
              </w:rPr>
            </w:pPr>
          </w:p>
          <w:p w14:paraId="282C98D5">
            <w:pPr>
              <w:pStyle w:val="174"/>
              <w:tabs>
                <w:tab w:val="left" w:leader="dot" w:pos="8424"/>
              </w:tabs>
              <w:spacing w:line="240" w:lineRule="auto"/>
              <w:rPr>
                <w:sz w:val="20"/>
                <w:szCs w:val="20"/>
              </w:rPr>
            </w:pPr>
          </w:p>
          <w:p w14:paraId="51EFD92D">
            <w:pPr>
              <w:pStyle w:val="174"/>
              <w:tabs>
                <w:tab w:val="left" w:leader="dot" w:pos="8424"/>
              </w:tabs>
              <w:spacing w:line="240" w:lineRule="auto"/>
              <w:rPr>
                <w:sz w:val="20"/>
                <w:szCs w:val="20"/>
              </w:rPr>
            </w:pPr>
          </w:p>
          <w:p w14:paraId="796B7D38">
            <w:pPr>
              <w:pStyle w:val="174"/>
              <w:tabs>
                <w:tab w:val="left" w:leader="dot" w:pos="8424"/>
              </w:tabs>
              <w:spacing w:line="240" w:lineRule="auto"/>
              <w:rPr>
                <w:sz w:val="20"/>
                <w:szCs w:val="20"/>
              </w:rPr>
            </w:pPr>
          </w:p>
          <w:p w14:paraId="2BAFC06F">
            <w:pPr>
              <w:pStyle w:val="174"/>
              <w:tabs>
                <w:tab w:val="left" w:leader="dot" w:pos="8424"/>
              </w:tabs>
              <w:spacing w:line="240" w:lineRule="auto"/>
              <w:rPr>
                <w:sz w:val="20"/>
                <w:szCs w:val="20"/>
              </w:rPr>
            </w:pPr>
          </w:p>
          <w:p w14:paraId="10763C2B">
            <w:pPr>
              <w:pStyle w:val="174"/>
              <w:tabs>
                <w:tab w:val="left" w:leader="dot" w:pos="8424"/>
              </w:tabs>
              <w:spacing w:line="240" w:lineRule="auto"/>
              <w:rPr>
                <w:sz w:val="20"/>
                <w:szCs w:val="20"/>
              </w:rPr>
            </w:pPr>
          </w:p>
          <w:p w14:paraId="22EEE8EF">
            <w:pPr>
              <w:pStyle w:val="174"/>
              <w:tabs>
                <w:tab w:val="left" w:leader="dot" w:pos="8424"/>
              </w:tabs>
              <w:spacing w:line="240" w:lineRule="auto"/>
              <w:rPr>
                <w:sz w:val="20"/>
                <w:szCs w:val="20"/>
              </w:rPr>
            </w:pPr>
          </w:p>
          <w:p w14:paraId="426ACBDA">
            <w:pPr>
              <w:rPr>
                <w:sz w:val="20"/>
              </w:rPr>
            </w:pPr>
          </w:p>
          <w:p w14:paraId="161B386C">
            <w:pPr>
              <w:rPr>
                <w:sz w:val="20"/>
              </w:rPr>
            </w:pPr>
          </w:p>
          <w:p w14:paraId="2D5052FD">
            <w:pPr>
              <w:rPr>
                <w:sz w:val="20"/>
              </w:rPr>
            </w:pPr>
          </w:p>
          <w:p w14:paraId="7D8C7FE2">
            <w:pPr>
              <w:rPr>
                <w:sz w:val="20"/>
              </w:rPr>
            </w:pPr>
          </w:p>
          <w:p w14:paraId="1213085A">
            <w:pPr>
              <w:rPr>
                <w:sz w:val="20"/>
              </w:rPr>
            </w:pPr>
          </w:p>
          <w:p w14:paraId="7F3412EC">
            <w:pPr>
              <w:rPr>
                <w:sz w:val="20"/>
              </w:rPr>
            </w:pPr>
          </w:p>
          <w:p w14:paraId="0BC6EAB6">
            <w:pPr>
              <w:rPr>
                <w:sz w:val="20"/>
              </w:rPr>
            </w:pPr>
          </w:p>
          <w:p w14:paraId="69270F12">
            <w:pPr>
              <w:rPr>
                <w:sz w:val="20"/>
              </w:rPr>
            </w:pPr>
            <w:r>
              <w:rPr>
                <w:sz w:val="20"/>
              </w:rPr>
              <w:t>N/A</w:t>
            </w:r>
          </w:p>
          <w:p w14:paraId="1A7A2645">
            <w:pPr>
              <w:rPr>
                <w:sz w:val="20"/>
              </w:rPr>
            </w:pPr>
          </w:p>
          <w:p w14:paraId="5B1ADACA">
            <w:pPr>
              <w:rPr>
                <w:sz w:val="20"/>
              </w:rPr>
            </w:pPr>
          </w:p>
          <w:p w14:paraId="30485A4A">
            <w:pPr>
              <w:rPr>
                <w:sz w:val="20"/>
              </w:rPr>
            </w:pPr>
          </w:p>
          <w:p w14:paraId="62BC99BB">
            <w:pPr>
              <w:rPr>
                <w:sz w:val="20"/>
              </w:rPr>
            </w:pPr>
          </w:p>
          <w:p w14:paraId="78627465">
            <w:pPr>
              <w:rPr>
                <w:sz w:val="20"/>
              </w:rPr>
            </w:pPr>
          </w:p>
          <w:p w14:paraId="7418423F">
            <w:pPr>
              <w:rPr>
                <w:sz w:val="20"/>
              </w:rPr>
            </w:pPr>
          </w:p>
          <w:p w14:paraId="61B258F4">
            <w:pPr>
              <w:rPr>
                <w:sz w:val="20"/>
              </w:rPr>
            </w:pPr>
          </w:p>
          <w:p w14:paraId="120B8267">
            <w:pPr>
              <w:rPr>
                <w:sz w:val="20"/>
              </w:rPr>
            </w:pPr>
          </w:p>
          <w:p w14:paraId="5E966343">
            <w:pPr>
              <w:rPr>
                <w:sz w:val="20"/>
              </w:rPr>
            </w:pPr>
          </w:p>
          <w:p w14:paraId="4A6AE3DF">
            <w:pPr>
              <w:rPr>
                <w:sz w:val="20"/>
              </w:rPr>
            </w:pPr>
          </w:p>
          <w:p w14:paraId="01B4B663">
            <w:pPr>
              <w:rPr>
                <w:sz w:val="20"/>
              </w:rPr>
            </w:pPr>
          </w:p>
          <w:p w14:paraId="0CC59550">
            <w:pPr>
              <w:rPr>
                <w:sz w:val="20"/>
              </w:rPr>
            </w:pPr>
          </w:p>
          <w:p w14:paraId="12FDCB06">
            <w:pPr>
              <w:rPr>
                <w:sz w:val="20"/>
              </w:rPr>
            </w:pPr>
            <w:r>
              <w:rPr>
                <w:sz w:val="20"/>
              </w:rPr>
              <w:t>N/A</w:t>
            </w:r>
          </w:p>
        </w:tc>
        <w:tc>
          <w:tcPr>
            <w:tcW w:w="1657" w:type="dxa"/>
            <w:tcBorders>
              <w:bottom w:val="nil"/>
            </w:tcBorders>
          </w:tcPr>
          <w:p w14:paraId="2D626F0D">
            <w:pPr>
              <w:pStyle w:val="174"/>
              <w:tabs>
                <w:tab w:val="left" w:leader="dot" w:pos="8424"/>
              </w:tabs>
              <w:spacing w:line="240" w:lineRule="auto"/>
              <w:rPr>
                <w:sz w:val="20"/>
                <w:szCs w:val="20"/>
              </w:rPr>
            </w:pPr>
            <w:r>
              <w:rPr>
                <w:sz w:val="20"/>
                <w:szCs w:val="20"/>
              </w:rPr>
              <w:t>Form FIN – 3.1, with attachments</w:t>
            </w:r>
          </w:p>
        </w:tc>
      </w:tr>
      <w:tr w14:paraId="651737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3F4D6CD6">
            <w:pPr>
              <w:pStyle w:val="174"/>
              <w:tabs>
                <w:tab w:val="left" w:leader="dot" w:pos="8424"/>
              </w:tabs>
              <w:spacing w:line="240" w:lineRule="auto"/>
              <w:rPr>
                <w:sz w:val="20"/>
                <w:szCs w:val="20"/>
              </w:rPr>
            </w:pPr>
            <w:r>
              <w:rPr>
                <w:sz w:val="20"/>
                <w:szCs w:val="20"/>
              </w:rPr>
              <w:t>3.2</w:t>
            </w:r>
          </w:p>
        </w:tc>
        <w:tc>
          <w:tcPr>
            <w:tcW w:w="2214" w:type="dxa"/>
          </w:tcPr>
          <w:p w14:paraId="185526B9">
            <w:pPr>
              <w:pStyle w:val="174"/>
              <w:tabs>
                <w:tab w:val="left" w:leader="dot" w:pos="8424"/>
              </w:tabs>
              <w:spacing w:line="240" w:lineRule="auto"/>
              <w:rPr>
                <w:b/>
                <w:sz w:val="20"/>
                <w:szCs w:val="20"/>
              </w:rPr>
            </w:pPr>
            <w:r>
              <w:rPr>
                <w:b/>
                <w:sz w:val="20"/>
                <w:szCs w:val="20"/>
              </w:rPr>
              <w:t>Average Annual Construction Turnover</w:t>
            </w:r>
          </w:p>
        </w:tc>
        <w:tc>
          <w:tcPr>
            <w:tcW w:w="2055" w:type="dxa"/>
          </w:tcPr>
          <w:p w14:paraId="15BB4241">
            <w:pPr>
              <w:pStyle w:val="174"/>
              <w:tabs>
                <w:tab w:val="left" w:leader="dot" w:pos="8424"/>
              </w:tabs>
              <w:spacing w:line="240" w:lineRule="auto"/>
              <w:rPr>
                <w:sz w:val="20"/>
                <w:szCs w:val="20"/>
              </w:rPr>
            </w:pPr>
            <w:r>
              <w:rPr>
                <w:sz w:val="20"/>
                <w:szCs w:val="20"/>
              </w:rPr>
              <w:t xml:space="preserve">Minimum average annual construction turnover of </w:t>
            </w:r>
            <w:r>
              <w:rPr>
                <w:b/>
                <w:sz w:val="20"/>
                <w:szCs w:val="20"/>
              </w:rPr>
              <w:t xml:space="preserve">Kshs 500,000,000.00 (Kenya Shillings, Five Hundred Million) </w:t>
            </w:r>
            <w:r>
              <w:rPr>
                <w:sz w:val="20"/>
                <w:szCs w:val="20"/>
              </w:rPr>
              <w:t>calculated as total certified payments received for contracts in progress and/or completed within the last 5 years.</w:t>
            </w:r>
          </w:p>
        </w:tc>
        <w:tc>
          <w:tcPr>
            <w:tcW w:w="1416" w:type="dxa"/>
          </w:tcPr>
          <w:p w14:paraId="4BE9702F">
            <w:pPr>
              <w:pStyle w:val="174"/>
              <w:tabs>
                <w:tab w:val="left" w:leader="dot" w:pos="8424"/>
              </w:tabs>
              <w:spacing w:line="240" w:lineRule="auto"/>
              <w:rPr>
                <w:sz w:val="20"/>
                <w:szCs w:val="20"/>
              </w:rPr>
            </w:pPr>
            <w:r>
              <w:rPr>
                <w:sz w:val="20"/>
                <w:szCs w:val="20"/>
              </w:rPr>
              <w:t>Must meet requirement</w:t>
            </w:r>
          </w:p>
        </w:tc>
        <w:tc>
          <w:tcPr>
            <w:tcW w:w="1477" w:type="dxa"/>
          </w:tcPr>
          <w:p w14:paraId="55819A3B">
            <w:pPr>
              <w:pStyle w:val="174"/>
              <w:tabs>
                <w:tab w:val="left" w:leader="dot" w:pos="8424"/>
              </w:tabs>
              <w:spacing w:line="240" w:lineRule="auto"/>
              <w:rPr>
                <w:sz w:val="20"/>
                <w:szCs w:val="20"/>
              </w:rPr>
            </w:pPr>
            <w:r>
              <w:rPr>
                <w:sz w:val="20"/>
                <w:szCs w:val="20"/>
              </w:rPr>
              <w:t>Must meet requirement</w:t>
            </w:r>
          </w:p>
        </w:tc>
        <w:tc>
          <w:tcPr>
            <w:tcW w:w="1663" w:type="dxa"/>
          </w:tcPr>
          <w:p w14:paraId="6806BD7F">
            <w:pPr>
              <w:pStyle w:val="174"/>
              <w:tabs>
                <w:tab w:val="left" w:leader="dot" w:pos="8424"/>
              </w:tabs>
              <w:spacing w:line="240" w:lineRule="auto"/>
              <w:rPr>
                <w:sz w:val="20"/>
                <w:szCs w:val="20"/>
              </w:rPr>
            </w:pPr>
            <w:r>
              <w:rPr>
                <w:sz w:val="20"/>
                <w:szCs w:val="20"/>
              </w:rPr>
              <w:t xml:space="preserve">Must meet at least </w:t>
            </w:r>
            <w:r>
              <w:rPr>
                <w:b/>
                <w:i/>
                <w:sz w:val="20"/>
                <w:szCs w:val="20"/>
              </w:rPr>
              <w:t>50</w:t>
            </w:r>
            <w:r>
              <w:rPr>
                <w:b/>
                <w:sz w:val="20"/>
                <w:szCs w:val="20"/>
              </w:rPr>
              <w:t>%</w:t>
            </w:r>
            <w:r>
              <w:rPr>
                <w:sz w:val="20"/>
                <w:szCs w:val="20"/>
              </w:rPr>
              <w:t xml:space="preserve"> </w:t>
            </w:r>
            <w:r>
              <w:rPr>
                <w:sz w:val="20"/>
              </w:rPr>
              <w:t xml:space="preserve">(Fifty Percent) </w:t>
            </w:r>
            <w:r>
              <w:rPr>
                <w:sz w:val="20"/>
                <w:szCs w:val="20"/>
              </w:rPr>
              <w:t>of the requirement</w:t>
            </w:r>
          </w:p>
        </w:tc>
        <w:tc>
          <w:tcPr>
            <w:tcW w:w="1663" w:type="dxa"/>
          </w:tcPr>
          <w:p w14:paraId="65A098D6">
            <w:pPr>
              <w:rPr>
                <w:sz w:val="20"/>
              </w:rPr>
            </w:pPr>
            <w:r>
              <w:rPr>
                <w:sz w:val="20"/>
              </w:rPr>
              <w:t xml:space="preserve">Must meet at least </w:t>
            </w:r>
            <w:r>
              <w:rPr>
                <w:b/>
                <w:i/>
                <w:sz w:val="20"/>
              </w:rPr>
              <w:t>75</w:t>
            </w:r>
            <w:r>
              <w:rPr>
                <w:b/>
                <w:sz w:val="20"/>
              </w:rPr>
              <w:t>%</w:t>
            </w:r>
            <w:r>
              <w:rPr>
                <w:sz w:val="20"/>
              </w:rPr>
              <w:t xml:space="preserve"> (Seventy Five Percent) of the requirement</w:t>
            </w:r>
          </w:p>
        </w:tc>
        <w:tc>
          <w:tcPr>
            <w:tcW w:w="1657" w:type="dxa"/>
          </w:tcPr>
          <w:p w14:paraId="5D143291">
            <w:pPr>
              <w:pStyle w:val="174"/>
              <w:tabs>
                <w:tab w:val="left" w:leader="dot" w:pos="8424"/>
              </w:tabs>
              <w:spacing w:line="240" w:lineRule="auto"/>
              <w:rPr>
                <w:sz w:val="20"/>
                <w:szCs w:val="20"/>
              </w:rPr>
            </w:pPr>
            <w:r>
              <w:rPr>
                <w:sz w:val="20"/>
                <w:szCs w:val="20"/>
              </w:rPr>
              <w:t>Form FIN – 3.2</w:t>
            </w:r>
          </w:p>
          <w:p w14:paraId="6AE4C2EF">
            <w:pPr>
              <w:pStyle w:val="174"/>
              <w:tabs>
                <w:tab w:val="left" w:leader="dot" w:pos="8424"/>
              </w:tabs>
              <w:spacing w:line="240" w:lineRule="auto"/>
              <w:rPr>
                <w:sz w:val="20"/>
                <w:szCs w:val="20"/>
              </w:rPr>
            </w:pPr>
          </w:p>
        </w:tc>
      </w:tr>
      <w:tr w14:paraId="1AE17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50" w:type="dxa"/>
            <w:gridSpan w:val="8"/>
          </w:tcPr>
          <w:p w14:paraId="46CBFE23">
            <w:pPr>
              <w:pStyle w:val="150"/>
              <w:pageBreakBefore/>
              <w:widowControl w:val="0"/>
              <w:autoSpaceDE w:val="0"/>
              <w:autoSpaceDN w:val="0"/>
              <w:spacing w:before="120"/>
              <w:ind w:left="0" w:right="0" w:firstLine="0"/>
              <w:jc w:val="left"/>
            </w:pPr>
            <w:bookmarkStart w:id="385" w:name="_Toc38527254"/>
            <w:bookmarkStart w:id="386" w:name="_Toc107899639"/>
            <w:r>
              <w:t>4. Experience</w:t>
            </w:r>
            <w:bookmarkEnd w:id="385"/>
            <w:bookmarkEnd w:id="386"/>
          </w:p>
        </w:tc>
      </w:tr>
      <w:tr w14:paraId="2A7E3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55930120">
            <w:pPr>
              <w:pStyle w:val="174"/>
              <w:tabs>
                <w:tab w:val="left" w:leader="dot" w:pos="8424"/>
              </w:tabs>
              <w:spacing w:line="240" w:lineRule="auto"/>
              <w:rPr>
                <w:sz w:val="20"/>
                <w:szCs w:val="20"/>
              </w:rPr>
            </w:pPr>
            <w:r>
              <w:rPr>
                <w:sz w:val="20"/>
                <w:szCs w:val="20"/>
              </w:rPr>
              <w:t>4.1 (a)</w:t>
            </w:r>
          </w:p>
        </w:tc>
        <w:tc>
          <w:tcPr>
            <w:tcW w:w="2214" w:type="dxa"/>
          </w:tcPr>
          <w:p w14:paraId="039F00E5">
            <w:pPr>
              <w:pStyle w:val="174"/>
              <w:tabs>
                <w:tab w:val="left" w:leader="dot" w:pos="8424"/>
              </w:tabs>
              <w:spacing w:line="240" w:lineRule="auto"/>
              <w:rPr>
                <w:b/>
                <w:sz w:val="20"/>
                <w:szCs w:val="20"/>
              </w:rPr>
            </w:pPr>
            <w:r>
              <w:rPr>
                <w:b/>
                <w:sz w:val="20"/>
                <w:szCs w:val="20"/>
              </w:rPr>
              <w:t>General Construction Experience</w:t>
            </w:r>
          </w:p>
        </w:tc>
        <w:tc>
          <w:tcPr>
            <w:tcW w:w="2055" w:type="dxa"/>
          </w:tcPr>
          <w:p w14:paraId="05F2039F">
            <w:pPr>
              <w:pStyle w:val="174"/>
              <w:tabs>
                <w:tab w:val="left" w:leader="dot" w:pos="8424"/>
              </w:tabs>
              <w:spacing w:line="240" w:lineRule="auto"/>
              <w:rPr>
                <w:rFonts w:hint="default"/>
                <w:sz w:val="20"/>
                <w:szCs w:val="20"/>
                <w:lang w:val="en-US"/>
              </w:rPr>
            </w:pPr>
            <w:r>
              <w:rPr>
                <w:sz w:val="20"/>
                <w:szCs w:val="20"/>
              </w:rPr>
              <w:t xml:space="preserve">Experience under construction contracts in the role of prime contractor, JV member, sub-contractor, or management contractor for at least the last </w:t>
            </w:r>
            <w:r>
              <w:rPr>
                <w:b/>
                <w:i/>
                <w:sz w:val="20"/>
                <w:szCs w:val="20"/>
              </w:rPr>
              <w:t xml:space="preserve"> (5) </w:t>
            </w:r>
            <w:r>
              <w:rPr>
                <w:sz w:val="20"/>
                <w:szCs w:val="20"/>
              </w:rPr>
              <w:t xml:space="preserve">years, starting </w:t>
            </w:r>
            <w:r>
              <w:rPr>
                <w:b/>
                <w:bCs/>
                <w:sz w:val="20"/>
                <w:szCs w:val="20"/>
              </w:rPr>
              <w:t>1</w:t>
            </w:r>
            <w:r>
              <w:rPr>
                <w:b/>
                <w:bCs/>
                <w:sz w:val="20"/>
                <w:szCs w:val="20"/>
                <w:vertAlign w:val="superscript"/>
              </w:rPr>
              <w:t>st</w:t>
            </w:r>
            <w:r>
              <w:rPr>
                <w:b/>
                <w:bCs/>
                <w:sz w:val="20"/>
                <w:szCs w:val="20"/>
              </w:rPr>
              <w:t xml:space="preserve"> January 20</w:t>
            </w:r>
            <w:r>
              <w:rPr>
                <w:rFonts w:hint="default"/>
                <w:b/>
                <w:bCs/>
                <w:sz w:val="20"/>
                <w:szCs w:val="20"/>
                <w:lang w:val="en-US"/>
              </w:rPr>
              <w:t>20</w:t>
            </w:r>
          </w:p>
        </w:tc>
        <w:tc>
          <w:tcPr>
            <w:tcW w:w="1416" w:type="dxa"/>
          </w:tcPr>
          <w:p w14:paraId="3081A79B">
            <w:pPr>
              <w:pStyle w:val="174"/>
              <w:tabs>
                <w:tab w:val="left" w:leader="dot" w:pos="8424"/>
              </w:tabs>
              <w:spacing w:line="240" w:lineRule="auto"/>
              <w:rPr>
                <w:sz w:val="20"/>
                <w:szCs w:val="20"/>
              </w:rPr>
            </w:pPr>
            <w:r>
              <w:rPr>
                <w:sz w:val="20"/>
                <w:szCs w:val="20"/>
              </w:rPr>
              <w:t>Must meet requirement</w:t>
            </w:r>
          </w:p>
        </w:tc>
        <w:tc>
          <w:tcPr>
            <w:tcW w:w="1477" w:type="dxa"/>
          </w:tcPr>
          <w:p w14:paraId="7907ABAA">
            <w:pPr>
              <w:pStyle w:val="174"/>
              <w:tabs>
                <w:tab w:val="left" w:leader="dot" w:pos="8424"/>
              </w:tabs>
              <w:spacing w:line="240" w:lineRule="auto"/>
              <w:rPr>
                <w:sz w:val="20"/>
                <w:szCs w:val="20"/>
              </w:rPr>
            </w:pPr>
            <w:r>
              <w:rPr>
                <w:sz w:val="20"/>
                <w:szCs w:val="20"/>
              </w:rPr>
              <w:t>N/A</w:t>
            </w:r>
          </w:p>
        </w:tc>
        <w:tc>
          <w:tcPr>
            <w:tcW w:w="1663" w:type="dxa"/>
          </w:tcPr>
          <w:p w14:paraId="3651881A">
            <w:pPr>
              <w:pStyle w:val="174"/>
              <w:tabs>
                <w:tab w:val="left" w:leader="dot" w:pos="8424"/>
              </w:tabs>
              <w:spacing w:line="240" w:lineRule="auto"/>
              <w:rPr>
                <w:sz w:val="20"/>
                <w:szCs w:val="20"/>
              </w:rPr>
            </w:pPr>
            <w:r>
              <w:rPr>
                <w:sz w:val="20"/>
                <w:szCs w:val="20"/>
              </w:rPr>
              <w:t>Must meet requirement</w:t>
            </w:r>
          </w:p>
        </w:tc>
        <w:tc>
          <w:tcPr>
            <w:tcW w:w="1663" w:type="dxa"/>
          </w:tcPr>
          <w:p w14:paraId="70DF2449">
            <w:pPr>
              <w:rPr>
                <w:sz w:val="20"/>
              </w:rPr>
            </w:pPr>
            <w:r>
              <w:rPr>
                <w:sz w:val="20"/>
              </w:rPr>
              <w:t>N/A</w:t>
            </w:r>
          </w:p>
        </w:tc>
        <w:tc>
          <w:tcPr>
            <w:tcW w:w="1657" w:type="dxa"/>
          </w:tcPr>
          <w:p w14:paraId="3B7FF25D">
            <w:pPr>
              <w:pStyle w:val="174"/>
              <w:tabs>
                <w:tab w:val="left" w:leader="dot" w:pos="8424"/>
              </w:tabs>
              <w:spacing w:line="240" w:lineRule="auto"/>
              <w:rPr>
                <w:sz w:val="20"/>
                <w:szCs w:val="20"/>
              </w:rPr>
            </w:pPr>
            <w:r>
              <w:rPr>
                <w:sz w:val="20"/>
                <w:szCs w:val="20"/>
              </w:rPr>
              <w:t>Form EXP – 4.1</w:t>
            </w:r>
          </w:p>
          <w:p w14:paraId="3681BEB7">
            <w:pPr>
              <w:pStyle w:val="174"/>
              <w:tabs>
                <w:tab w:val="left" w:leader="dot" w:pos="8424"/>
              </w:tabs>
              <w:spacing w:line="240" w:lineRule="auto"/>
              <w:rPr>
                <w:sz w:val="20"/>
                <w:szCs w:val="20"/>
              </w:rPr>
            </w:pPr>
          </w:p>
        </w:tc>
      </w:tr>
      <w:tr w14:paraId="317EC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vMerge w:val="restart"/>
          </w:tcPr>
          <w:p w14:paraId="485CED51">
            <w:pPr>
              <w:pStyle w:val="174"/>
              <w:tabs>
                <w:tab w:val="left" w:leader="dot" w:pos="8424"/>
              </w:tabs>
              <w:spacing w:line="240" w:lineRule="auto"/>
              <w:rPr>
                <w:sz w:val="20"/>
                <w:szCs w:val="20"/>
              </w:rPr>
            </w:pPr>
            <w:r>
              <w:rPr>
                <w:sz w:val="20"/>
                <w:szCs w:val="20"/>
              </w:rPr>
              <w:t>4.2 (a)</w:t>
            </w:r>
          </w:p>
        </w:tc>
        <w:tc>
          <w:tcPr>
            <w:tcW w:w="2214" w:type="dxa"/>
            <w:vMerge w:val="restart"/>
          </w:tcPr>
          <w:p w14:paraId="30091BBC">
            <w:pPr>
              <w:pStyle w:val="174"/>
              <w:tabs>
                <w:tab w:val="left" w:leader="dot" w:pos="8424"/>
              </w:tabs>
              <w:spacing w:line="240" w:lineRule="auto"/>
              <w:rPr>
                <w:b/>
                <w:sz w:val="20"/>
                <w:szCs w:val="20"/>
              </w:rPr>
            </w:pPr>
            <w:r>
              <w:rPr>
                <w:b/>
                <w:sz w:val="20"/>
                <w:szCs w:val="20"/>
              </w:rPr>
              <w:t>Specific Construction &amp; Contract Management Experience</w:t>
            </w:r>
          </w:p>
        </w:tc>
        <w:tc>
          <w:tcPr>
            <w:tcW w:w="2055" w:type="dxa"/>
          </w:tcPr>
          <w:p w14:paraId="6879D6EF">
            <w:pPr>
              <w:pStyle w:val="174"/>
              <w:tabs>
                <w:tab w:val="left" w:leader="dot" w:pos="8424"/>
              </w:tabs>
              <w:spacing w:line="240" w:lineRule="auto"/>
              <w:rPr>
                <w:sz w:val="20"/>
                <w:szCs w:val="20"/>
              </w:rPr>
            </w:pPr>
            <w:r>
              <w:rPr>
                <w:sz w:val="20"/>
                <w:szCs w:val="20"/>
              </w:rPr>
              <w:t>(i) A minimum number of similar</w:t>
            </w:r>
            <w:r>
              <w:rPr>
                <w:rStyle w:val="28"/>
                <w:sz w:val="20"/>
                <w:szCs w:val="20"/>
              </w:rPr>
              <w:footnoteReference w:id="9"/>
            </w:r>
            <w:r>
              <w:rPr>
                <w:sz w:val="20"/>
                <w:szCs w:val="20"/>
              </w:rPr>
              <w:t xml:space="preserve"> contracts specified below that have been satisfactorily and substantially</w:t>
            </w:r>
            <w:r>
              <w:rPr>
                <w:rStyle w:val="28"/>
                <w:sz w:val="20"/>
                <w:szCs w:val="20"/>
              </w:rPr>
              <w:footnoteReference w:id="10"/>
            </w:r>
            <w:r>
              <w:rPr>
                <w:sz w:val="20"/>
                <w:szCs w:val="20"/>
              </w:rPr>
              <w:t xml:space="preserve"> completed as a prime contractor, joint venture member</w:t>
            </w:r>
            <w:bookmarkStart w:id="387" w:name="_Ref303691044"/>
            <w:r>
              <w:rPr>
                <w:sz w:val="20"/>
                <w:szCs w:val="20"/>
                <w:vertAlign w:val="superscript"/>
              </w:rPr>
              <w:footnoteReference w:id="11"/>
            </w:r>
            <w:bookmarkEnd w:id="387"/>
            <w:r>
              <w:rPr>
                <w:sz w:val="20"/>
                <w:szCs w:val="20"/>
              </w:rPr>
              <w:t>, management contractor or sub-contractor</w:t>
            </w:r>
            <w:r>
              <w:fldChar w:fldCharType="begin"/>
            </w:r>
            <w:r>
              <w:instrText xml:space="preserve"> NOTEREF _Ref303691044 \h  \* MERGEFORMAT </w:instrText>
            </w:r>
            <w:r>
              <w:fldChar w:fldCharType="separate"/>
            </w:r>
            <w:r>
              <w:rPr>
                <w:sz w:val="20"/>
                <w:szCs w:val="20"/>
                <w:vertAlign w:val="superscript"/>
              </w:rPr>
              <w:t>12</w:t>
            </w:r>
            <w:r>
              <w:fldChar w:fldCharType="end"/>
            </w:r>
            <w:r>
              <w:t xml:space="preserve"> </w:t>
            </w:r>
            <w:r>
              <w:rPr>
                <w:sz w:val="20"/>
                <w:szCs w:val="20"/>
              </w:rPr>
              <w:t xml:space="preserve">between </w:t>
            </w:r>
            <w:r>
              <w:rPr>
                <w:b/>
                <w:bCs/>
                <w:sz w:val="20"/>
                <w:szCs w:val="20"/>
              </w:rPr>
              <w:t>1st January 20</w:t>
            </w:r>
            <w:r>
              <w:rPr>
                <w:rFonts w:hint="default"/>
                <w:b/>
                <w:bCs/>
                <w:sz w:val="20"/>
                <w:szCs w:val="20"/>
                <w:lang w:val="en-US"/>
              </w:rPr>
              <w:t>20</w:t>
            </w:r>
            <w:r>
              <w:rPr>
                <w:sz w:val="20"/>
                <w:szCs w:val="20"/>
              </w:rPr>
              <w:t xml:space="preserve"> and application submission deadline:</w:t>
            </w:r>
          </w:p>
          <w:p w14:paraId="25376E49">
            <w:pPr>
              <w:pStyle w:val="174"/>
              <w:tabs>
                <w:tab w:val="left" w:leader="dot" w:pos="8424"/>
              </w:tabs>
              <w:spacing w:line="240" w:lineRule="auto"/>
              <w:rPr>
                <w:sz w:val="20"/>
                <w:szCs w:val="20"/>
              </w:rPr>
            </w:pPr>
            <w:r>
              <w:rPr>
                <w:b/>
                <w:sz w:val="20"/>
                <w:szCs w:val="20"/>
              </w:rPr>
              <w:t xml:space="preserve">Two (2) </w:t>
            </w:r>
            <w:r>
              <w:rPr>
                <w:bCs/>
                <w:sz w:val="20"/>
                <w:szCs w:val="20"/>
              </w:rPr>
              <w:t>Contracts, each of minimum value of</w:t>
            </w:r>
            <w:r>
              <w:rPr>
                <w:b/>
                <w:sz w:val="20"/>
                <w:szCs w:val="20"/>
              </w:rPr>
              <w:t xml:space="preserve"> Kshs. 150,000,000.00 (Kenya Shillings One Hundred and Fifty Million)</w:t>
            </w:r>
            <w:r>
              <w:rPr>
                <w:sz w:val="20"/>
                <w:szCs w:val="20"/>
              </w:rPr>
              <w:t>;</w:t>
            </w:r>
          </w:p>
          <w:p w14:paraId="2E124227">
            <w:pPr>
              <w:pStyle w:val="174"/>
              <w:tabs>
                <w:tab w:val="left" w:leader="dot" w:pos="8424"/>
              </w:tabs>
              <w:spacing w:line="240" w:lineRule="auto"/>
              <w:rPr>
                <w:i/>
                <w:sz w:val="20"/>
              </w:rPr>
            </w:pPr>
            <w:r>
              <w:rPr>
                <w:sz w:val="20"/>
                <w:szCs w:val="20"/>
              </w:rPr>
              <w:t xml:space="preserve">Or (ii) One (1) contract of minimum value </w:t>
            </w:r>
            <w:r>
              <w:rPr>
                <w:b/>
                <w:bCs/>
                <w:sz w:val="20"/>
                <w:szCs w:val="20"/>
              </w:rPr>
              <w:t>Kshs. 300,000,000.00 (Three Hundred Million Kenya Shillings).</w:t>
            </w:r>
          </w:p>
        </w:tc>
        <w:tc>
          <w:tcPr>
            <w:tcW w:w="1416" w:type="dxa"/>
          </w:tcPr>
          <w:p w14:paraId="0D809622">
            <w:pPr>
              <w:pStyle w:val="174"/>
              <w:tabs>
                <w:tab w:val="left" w:leader="dot" w:pos="8424"/>
              </w:tabs>
              <w:spacing w:line="240" w:lineRule="auto"/>
              <w:rPr>
                <w:sz w:val="20"/>
                <w:szCs w:val="20"/>
              </w:rPr>
            </w:pPr>
            <w:r>
              <w:rPr>
                <w:sz w:val="20"/>
                <w:szCs w:val="20"/>
              </w:rPr>
              <w:t>Must meet requirement</w:t>
            </w:r>
          </w:p>
          <w:p w14:paraId="190C402A">
            <w:pPr>
              <w:pStyle w:val="174"/>
              <w:tabs>
                <w:tab w:val="left" w:leader="dot" w:pos="8424"/>
              </w:tabs>
              <w:spacing w:line="240" w:lineRule="auto"/>
              <w:rPr>
                <w:sz w:val="20"/>
                <w:szCs w:val="20"/>
              </w:rPr>
            </w:pPr>
          </w:p>
          <w:p w14:paraId="06064C60">
            <w:pPr>
              <w:pStyle w:val="174"/>
              <w:tabs>
                <w:tab w:val="left" w:leader="dot" w:pos="8424"/>
              </w:tabs>
              <w:spacing w:line="240" w:lineRule="auto"/>
              <w:rPr>
                <w:sz w:val="20"/>
                <w:szCs w:val="20"/>
              </w:rPr>
            </w:pPr>
          </w:p>
          <w:p w14:paraId="3AACAC6F">
            <w:pPr>
              <w:pStyle w:val="174"/>
              <w:tabs>
                <w:tab w:val="left" w:leader="dot" w:pos="8424"/>
              </w:tabs>
              <w:spacing w:line="240" w:lineRule="auto"/>
              <w:rPr>
                <w:sz w:val="20"/>
                <w:szCs w:val="20"/>
              </w:rPr>
            </w:pPr>
          </w:p>
          <w:p w14:paraId="0D5FE296">
            <w:pPr>
              <w:pStyle w:val="174"/>
              <w:tabs>
                <w:tab w:val="left" w:leader="dot" w:pos="8424"/>
              </w:tabs>
              <w:spacing w:line="240" w:lineRule="auto"/>
              <w:rPr>
                <w:sz w:val="20"/>
                <w:szCs w:val="20"/>
              </w:rPr>
            </w:pPr>
          </w:p>
          <w:p w14:paraId="32845A2D">
            <w:pPr>
              <w:pStyle w:val="174"/>
              <w:tabs>
                <w:tab w:val="left" w:leader="dot" w:pos="8424"/>
              </w:tabs>
              <w:spacing w:line="240" w:lineRule="auto"/>
              <w:rPr>
                <w:sz w:val="20"/>
                <w:szCs w:val="20"/>
              </w:rPr>
            </w:pPr>
          </w:p>
          <w:p w14:paraId="1A844758">
            <w:pPr>
              <w:pStyle w:val="174"/>
              <w:tabs>
                <w:tab w:val="left" w:leader="dot" w:pos="8424"/>
              </w:tabs>
              <w:spacing w:line="240" w:lineRule="auto"/>
              <w:rPr>
                <w:sz w:val="20"/>
                <w:szCs w:val="20"/>
              </w:rPr>
            </w:pPr>
          </w:p>
          <w:p w14:paraId="5FB1AA06">
            <w:pPr>
              <w:pStyle w:val="174"/>
              <w:tabs>
                <w:tab w:val="left" w:leader="dot" w:pos="8424"/>
              </w:tabs>
              <w:spacing w:line="240" w:lineRule="auto"/>
              <w:rPr>
                <w:sz w:val="20"/>
                <w:szCs w:val="20"/>
              </w:rPr>
            </w:pPr>
          </w:p>
          <w:p w14:paraId="3DD484B7">
            <w:pPr>
              <w:pStyle w:val="174"/>
              <w:tabs>
                <w:tab w:val="left" w:leader="dot" w:pos="8424"/>
              </w:tabs>
              <w:spacing w:line="240" w:lineRule="auto"/>
              <w:rPr>
                <w:sz w:val="20"/>
                <w:szCs w:val="20"/>
              </w:rPr>
            </w:pPr>
          </w:p>
          <w:p w14:paraId="1CF446D6">
            <w:pPr>
              <w:pStyle w:val="174"/>
              <w:tabs>
                <w:tab w:val="left" w:leader="dot" w:pos="8424"/>
              </w:tabs>
              <w:spacing w:line="240" w:lineRule="auto"/>
              <w:rPr>
                <w:sz w:val="20"/>
                <w:szCs w:val="20"/>
              </w:rPr>
            </w:pPr>
          </w:p>
          <w:p w14:paraId="624E37DD">
            <w:pPr>
              <w:pStyle w:val="174"/>
              <w:tabs>
                <w:tab w:val="left" w:leader="dot" w:pos="8424"/>
              </w:tabs>
              <w:spacing w:line="240" w:lineRule="auto"/>
              <w:rPr>
                <w:sz w:val="20"/>
                <w:szCs w:val="20"/>
              </w:rPr>
            </w:pPr>
          </w:p>
          <w:p w14:paraId="6DC1F4FF">
            <w:pPr>
              <w:pStyle w:val="174"/>
              <w:tabs>
                <w:tab w:val="left" w:leader="dot" w:pos="8424"/>
              </w:tabs>
              <w:spacing w:line="240" w:lineRule="auto"/>
              <w:rPr>
                <w:sz w:val="20"/>
                <w:szCs w:val="20"/>
              </w:rPr>
            </w:pPr>
          </w:p>
          <w:p w14:paraId="44E0C110">
            <w:pPr>
              <w:pStyle w:val="174"/>
              <w:tabs>
                <w:tab w:val="left" w:leader="dot" w:pos="8424"/>
              </w:tabs>
              <w:spacing w:line="240" w:lineRule="auto"/>
              <w:rPr>
                <w:sz w:val="20"/>
                <w:szCs w:val="20"/>
              </w:rPr>
            </w:pPr>
          </w:p>
          <w:p w14:paraId="7D5B6856">
            <w:pPr>
              <w:pStyle w:val="174"/>
              <w:tabs>
                <w:tab w:val="left" w:leader="dot" w:pos="8424"/>
              </w:tabs>
              <w:spacing w:line="240" w:lineRule="auto"/>
              <w:rPr>
                <w:sz w:val="20"/>
                <w:szCs w:val="20"/>
              </w:rPr>
            </w:pPr>
          </w:p>
          <w:p w14:paraId="36BEB02A">
            <w:pPr>
              <w:pStyle w:val="174"/>
              <w:tabs>
                <w:tab w:val="left" w:leader="dot" w:pos="8424"/>
              </w:tabs>
              <w:spacing w:line="240" w:lineRule="auto"/>
              <w:rPr>
                <w:sz w:val="20"/>
                <w:szCs w:val="20"/>
              </w:rPr>
            </w:pPr>
          </w:p>
        </w:tc>
        <w:tc>
          <w:tcPr>
            <w:tcW w:w="1477" w:type="dxa"/>
          </w:tcPr>
          <w:p w14:paraId="4C791E16">
            <w:pPr>
              <w:pStyle w:val="174"/>
              <w:tabs>
                <w:tab w:val="left" w:leader="dot" w:pos="8424"/>
              </w:tabs>
              <w:spacing w:line="240" w:lineRule="auto"/>
              <w:rPr>
                <w:sz w:val="20"/>
                <w:szCs w:val="20"/>
              </w:rPr>
            </w:pPr>
            <w:r>
              <w:rPr>
                <w:sz w:val="20"/>
                <w:szCs w:val="20"/>
              </w:rPr>
              <w:t>Must meet requirement</w:t>
            </w:r>
            <w:r>
              <w:rPr>
                <w:rStyle w:val="28"/>
                <w:sz w:val="20"/>
                <w:szCs w:val="20"/>
              </w:rPr>
              <w:footnoteReference w:id="12"/>
            </w:r>
          </w:p>
          <w:p w14:paraId="5D84223C">
            <w:pPr>
              <w:pStyle w:val="174"/>
              <w:tabs>
                <w:tab w:val="left" w:leader="dot" w:pos="8424"/>
              </w:tabs>
              <w:spacing w:line="240" w:lineRule="auto"/>
              <w:rPr>
                <w:sz w:val="20"/>
                <w:szCs w:val="20"/>
              </w:rPr>
            </w:pPr>
          </w:p>
          <w:p w14:paraId="31223562">
            <w:pPr>
              <w:pStyle w:val="174"/>
              <w:tabs>
                <w:tab w:val="left" w:leader="dot" w:pos="8424"/>
              </w:tabs>
              <w:spacing w:line="240" w:lineRule="auto"/>
              <w:rPr>
                <w:sz w:val="20"/>
                <w:szCs w:val="20"/>
              </w:rPr>
            </w:pPr>
          </w:p>
          <w:p w14:paraId="0866C56D">
            <w:pPr>
              <w:pStyle w:val="174"/>
              <w:tabs>
                <w:tab w:val="left" w:leader="dot" w:pos="8424"/>
              </w:tabs>
              <w:spacing w:line="240" w:lineRule="auto"/>
              <w:rPr>
                <w:sz w:val="20"/>
                <w:szCs w:val="20"/>
              </w:rPr>
            </w:pPr>
          </w:p>
          <w:p w14:paraId="69B08B63">
            <w:pPr>
              <w:pStyle w:val="174"/>
              <w:tabs>
                <w:tab w:val="left" w:leader="dot" w:pos="8424"/>
              </w:tabs>
              <w:spacing w:line="240" w:lineRule="auto"/>
              <w:rPr>
                <w:sz w:val="20"/>
                <w:szCs w:val="20"/>
              </w:rPr>
            </w:pPr>
          </w:p>
          <w:p w14:paraId="34E035EC">
            <w:pPr>
              <w:pStyle w:val="174"/>
              <w:tabs>
                <w:tab w:val="left" w:leader="dot" w:pos="8424"/>
              </w:tabs>
              <w:spacing w:line="240" w:lineRule="auto"/>
              <w:rPr>
                <w:sz w:val="20"/>
                <w:szCs w:val="20"/>
              </w:rPr>
            </w:pPr>
          </w:p>
          <w:p w14:paraId="18817A39">
            <w:pPr>
              <w:pStyle w:val="174"/>
              <w:tabs>
                <w:tab w:val="left" w:leader="dot" w:pos="8424"/>
              </w:tabs>
              <w:spacing w:line="240" w:lineRule="auto"/>
              <w:rPr>
                <w:sz w:val="20"/>
                <w:szCs w:val="20"/>
              </w:rPr>
            </w:pPr>
          </w:p>
          <w:p w14:paraId="3A3AAE3B">
            <w:pPr>
              <w:pStyle w:val="174"/>
              <w:tabs>
                <w:tab w:val="left" w:leader="dot" w:pos="8424"/>
              </w:tabs>
              <w:spacing w:line="240" w:lineRule="auto"/>
              <w:rPr>
                <w:sz w:val="20"/>
                <w:szCs w:val="20"/>
              </w:rPr>
            </w:pPr>
          </w:p>
          <w:p w14:paraId="783AD8E2">
            <w:pPr>
              <w:pStyle w:val="174"/>
              <w:tabs>
                <w:tab w:val="left" w:leader="dot" w:pos="8424"/>
              </w:tabs>
              <w:spacing w:line="240" w:lineRule="auto"/>
              <w:rPr>
                <w:sz w:val="20"/>
                <w:szCs w:val="20"/>
              </w:rPr>
            </w:pPr>
          </w:p>
          <w:p w14:paraId="049F52F0">
            <w:pPr>
              <w:pStyle w:val="174"/>
              <w:tabs>
                <w:tab w:val="left" w:leader="dot" w:pos="8424"/>
              </w:tabs>
              <w:spacing w:line="240" w:lineRule="auto"/>
              <w:rPr>
                <w:sz w:val="20"/>
                <w:szCs w:val="20"/>
              </w:rPr>
            </w:pPr>
          </w:p>
          <w:p w14:paraId="6F3D65FA">
            <w:pPr>
              <w:pStyle w:val="174"/>
              <w:tabs>
                <w:tab w:val="left" w:leader="dot" w:pos="8424"/>
              </w:tabs>
              <w:spacing w:line="240" w:lineRule="auto"/>
              <w:rPr>
                <w:sz w:val="20"/>
                <w:szCs w:val="20"/>
              </w:rPr>
            </w:pPr>
          </w:p>
          <w:p w14:paraId="217E08C8">
            <w:pPr>
              <w:pStyle w:val="174"/>
              <w:tabs>
                <w:tab w:val="left" w:leader="dot" w:pos="8424"/>
              </w:tabs>
              <w:spacing w:line="240" w:lineRule="auto"/>
              <w:rPr>
                <w:sz w:val="20"/>
                <w:szCs w:val="20"/>
              </w:rPr>
            </w:pPr>
          </w:p>
          <w:p w14:paraId="7B2395ED">
            <w:pPr>
              <w:pStyle w:val="174"/>
              <w:tabs>
                <w:tab w:val="left" w:leader="dot" w:pos="8424"/>
              </w:tabs>
              <w:spacing w:line="240" w:lineRule="auto"/>
              <w:rPr>
                <w:sz w:val="20"/>
                <w:szCs w:val="20"/>
              </w:rPr>
            </w:pPr>
          </w:p>
          <w:p w14:paraId="1F3BAAEC">
            <w:pPr>
              <w:pStyle w:val="174"/>
              <w:tabs>
                <w:tab w:val="left" w:leader="dot" w:pos="8424"/>
              </w:tabs>
              <w:spacing w:line="240" w:lineRule="auto"/>
              <w:rPr>
                <w:sz w:val="20"/>
                <w:szCs w:val="20"/>
              </w:rPr>
            </w:pPr>
          </w:p>
          <w:p w14:paraId="4F18E318">
            <w:pPr>
              <w:pStyle w:val="174"/>
              <w:tabs>
                <w:tab w:val="left" w:leader="dot" w:pos="8424"/>
              </w:tabs>
              <w:spacing w:line="240" w:lineRule="auto"/>
              <w:rPr>
                <w:sz w:val="20"/>
                <w:szCs w:val="20"/>
              </w:rPr>
            </w:pPr>
          </w:p>
        </w:tc>
        <w:tc>
          <w:tcPr>
            <w:tcW w:w="1663" w:type="dxa"/>
          </w:tcPr>
          <w:p w14:paraId="08CCF4E0">
            <w:pPr>
              <w:pStyle w:val="174"/>
              <w:tabs>
                <w:tab w:val="left" w:leader="dot" w:pos="8424"/>
              </w:tabs>
              <w:spacing w:line="240" w:lineRule="auto"/>
              <w:rPr>
                <w:sz w:val="20"/>
                <w:szCs w:val="20"/>
              </w:rPr>
            </w:pPr>
            <w:r>
              <w:rPr>
                <w:sz w:val="20"/>
                <w:szCs w:val="20"/>
              </w:rPr>
              <w:t>N/A</w:t>
            </w:r>
          </w:p>
          <w:p w14:paraId="39DAF118">
            <w:pPr>
              <w:pStyle w:val="174"/>
              <w:tabs>
                <w:tab w:val="left" w:leader="dot" w:pos="8424"/>
              </w:tabs>
              <w:spacing w:line="240" w:lineRule="auto"/>
              <w:rPr>
                <w:sz w:val="20"/>
                <w:szCs w:val="20"/>
              </w:rPr>
            </w:pPr>
          </w:p>
          <w:p w14:paraId="1F5FF6A5">
            <w:pPr>
              <w:pStyle w:val="174"/>
              <w:tabs>
                <w:tab w:val="left" w:leader="dot" w:pos="8424"/>
              </w:tabs>
              <w:spacing w:line="240" w:lineRule="auto"/>
              <w:rPr>
                <w:sz w:val="20"/>
                <w:szCs w:val="20"/>
              </w:rPr>
            </w:pPr>
          </w:p>
          <w:p w14:paraId="3F85D203">
            <w:pPr>
              <w:pStyle w:val="174"/>
              <w:tabs>
                <w:tab w:val="left" w:leader="dot" w:pos="8424"/>
              </w:tabs>
              <w:spacing w:line="240" w:lineRule="auto"/>
              <w:rPr>
                <w:sz w:val="20"/>
                <w:szCs w:val="20"/>
              </w:rPr>
            </w:pPr>
          </w:p>
          <w:p w14:paraId="0BD68E2A">
            <w:pPr>
              <w:pStyle w:val="174"/>
              <w:tabs>
                <w:tab w:val="left" w:leader="dot" w:pos="8424"/>
              </w:tabs>
              <w:spacing w:line="240" w:lineRule="auto"/>
              <w:rPr>
                <w:sz w:val="20"/>
                <w:szCs w:val="20"/>
              </w:rPr>
            </w:pPr>
          </w:p>
          <w:p w14:paraId="4118A944">
            <w:pPr>
              <w:pStyle w:val="174"/>
              <w:tabs>
                <w:tab w:val="left" w:leader="dot" w:pos="8424"/>
              </w:tabs>
              <w:spacing w:line="240" w:lineRule="auto"/>
              <w:rPr>
                <w:sz w:val="20"/>
                <w:szCs w:val="20"/>
              </w:rPr>
            </w:pPr>
          </w:p>
          <w:p w14:paraId="6A225E88">
            <w:pPr>
              <w:pStyle w:val="174"/>
              <w:tabs>
                <w:tab w:val="left" w:leader="dot" w:pos="8424"/>
              </w:tabs>
              <w:spacing w:line="240" w:lineRule="auto"/>
              <w:rPr>
                <w:sz w:val="20"/>
                <w:szCs w:val="20"/>
              </w:rPr>
            </w:pPr>
          </w:p>
          <w:p w14:paraId="43917686">
            <w:pPr>
              <w:pStyle w:val="174"/>
              <w:tabs>
                <w:tab w:val="left" w:leader="dot" w:pos="8424"/>
              </w:tabs>
              <w:spacing w:line="240" w:lineRule="auto"/>
              <w:rPr>
                <w:sz w:val="20"/>
                <w:szCs w:val="20"/>
              </w:rPr>
            </w:pPr>
          </w:p>
          <w:p w14:paraId="3E7CDAD5">
            <w:pPr>
              <w:pStyle w:val="174"/>
              <w:tabs>
                <w:tab w:val="left" w:leader="dot" w:pos="8424"/>
              </w:tabs>
              <w:spacing w:line="240" w:lineRule="auto"/>
              <w:rPr>
                <w:sz w:val="20"/>
                <w:szCs w:val="20"/>
              </w:rPr>
            </w:pPr>
          </w:p>
          <w:p w14:paraId="56E3E349">
            <w:pPr>
              <w:pStyle w:val="174"/>
              <w:tabs>
                <w:tab w:val="left" w:leader="dot" w:pos="8424"/>
              </w:tabs>
              <w:spacing w:line="240" w:lineRule="auto"/>
              <w:rPr>
                <w:sz w:val="20"/>
                <w:szCs w:val="20"/>
              </w:rPr>
            </w:pPr>
          </w:p>
          <w:p w14:paraId="7F93536A">
            <w:pPr>
              <w:pStyle w:val="174"/>
              <w:tabs>
                <w:tab w:val="left" w:leader="dot" w:pos="8424"/>
              </w:tabs>
              <w:spacing w:line="240" w:lineRule="auto"/>
              <w:rPr>
                <w:sz w:val="20"/>
                <w:szCs w:val="20"/>
              </w:rPr>
            </w:pPr>
          </w:p>
          <w:p w14:paraId="51F3F8ED">
            <w:pPr>
              <w:pStyle w:val="174"/>
              <w:tabs>
                <w:tab w:val="left" w:leader="dot" w:pos="8424"/>
              </w:tabs>
              <w:spacing w:line="240" w:lineRule="auto"/>
              <w:rPr>
                <w:sz w:val="20"/>
                <w:szCs w:val="20"/>
              </w:rPr>
            </w:pPr>
          </w:p>
          <w:p w14:paraId="17A179D6">
            <w:pPr>
              <w:pStyle w:val="174"/>
              <w:tabs>
                <w:tab w:val="left" w:leader="dot" w:pos="8424"/>
              </w:tabs>
              <w:spacing w:line="240" w:lineRule="auto"/>
              <w:rPr>
                <w:sz w:val="20"/>
                <w:szCs w:val="20"/>
              </w:rPr>
            </w:pPr>
          </w:p>
          <w:p w14:paraId="28CBC323">
            <w:pPr>
              <w:pStyle w:val="174"/>
              <w:tabs>
                <w:tab w:val="left" w:leader="dot" w:pos="8424"/>
              </w:tabs>
              <w:spacing w:line="240" w:lineRule="auto"/>
              <w:rPr>
                <w:sz w:val="20"/>
                <w:szCs w:val="20"/>
              </w:rPr>
            </w:pPr>
          </w:p>
          <w:p w14:paraId="2C09D8A1">
            <w:pPr>
              <w:pStyle w:val="174"/>
              <w:tabs>
                <w:tab w:val="left" w:leader="dot" w:pos="8424"/>
              </w:tabs>
              <w:spacing w:line="240" w:lineRule="auto"/>
              <w:rPr>
                <w:sz w:val="20"/>
                <w:szCs w:val="20"/>
              </w:rPr>
            </w:pPr>
          </w:p>
        </w:tc>
        <w:tc>
          <w:tcPr>
            <w:tcW w:w="1663" w:type="dxa"/>
          </w:tcPr>
          <w:p w14:paraId="10C853D6">
            <w:pPr>
              <w:rPr>
                <w:sz w:val="20"/>
              </w:rPr>
            </w:pPr>
            <w:r>
              <w:rPr>
                <w:sz w:val="20"/>
              </w:rPr>
              <w:t>N/A</w:t>
            </w:r>
          </w:p>
          <w:p w14:paraId="7044E6D2">
            <w:pPr>
              <w:rPr>
                <w:sz w:val="20"/>
              </w:rPr>
            </w:pPr>
          </w:p>
          <w:p w14:paraId="1E57FB54">
            <w:pPr>
              <w:rPr>
                <w:sz w:val="20"/>
              </w:rPr>
            </w:pPr>
          </w:p>
          <w:p w14:paraId="305194DE">
            <w:pPr>
              <w:rPr>
                <w:sz w:val="20"/>
              </w:rPr>
            </w:pPr>
          </w:p>
          <w:p w14:paraId="44C8C9D6">
            <w:pPr>
              <w:rPr>
                <w:sz w:val="20"/>
              </w:rPr>
            </w:pPr>
          </w:p>
          <w:p w14:paraId="65F3F1A1">
            <w:pPr>
              <w:rPr>
                <w:sz w:val="20"/>
              </w:rPr>
            </w:pPr>
          </w:p>
          <w:p w14:paraId="5A8993FD">
            <w:pPr>
              <w:rPr>
                <w:sz w:val="20"/>
              </w:rPr>
            </w:pPr>
          </w:p>
          <w:p w14:paraId="6AFF3D54">
            <w:pPr>
              <w:rPr>
                <w:sz w:val="20"/>
              </w:rPr>
            </w:pPr>
          </w:p>
          <w:p w14:paraId="5CE0B959">
            <w:pPr>
              <w:rPr>
                <w:sz w:val="20"/>
              </w:rPr>
            </w:pPr>
          </w:p>
          <w:p w14:paraId="343372A9">
            <w:pPr>
              <w:rPr>
                <w:sz w:val="20"/>
              </w:rPr>
            </w:pPr>
          </w:p>
          <w:p w14:paraId="34C28361">
            <w:pPr>
              <w:rPr>
                <w:sz w:val="20"/>
              </w:rPr>
            </w:pPr>
          </w:p>
          <w:p w14:paraId="2536ECBE">
            <w:pPr>
              <w:rPr>
                <w:sz w:val="20"/>
              </w:rPr>
            </w:pPr>
          </w:p>
          <w:p w14:paraId="4724F9F5">
            <w:pPr>
              <w:rPr>
                <w:sz w:val="20"/>
              </w:rPr>
            </w:pPr>
          </w:p>
          <w:p w14:paraId="70960A09">
            <w:pPr>
              <w:rPr>
                <w:sz w:val="20"/>
              </w:rPr>
            </w:pPr>
          </w:p>
        </w:tc>
        <w:tc>
          <w:tcPr>
            <w:tcW w:w="1657" w:type="dxa"/>
          </w:tcPr>
          <w:p w14:paraId="470BF9E6">
            <w:pPr>
              <w:pStyle w:val="174"/>
              <w:tabs>
                <w:tab w:val="left" w:leader="dot" w:pos="8424"/>
              </w:tabs>
              <w:spacing w:line="240" w:lineRule="auto"/>
              <w:rPr>
                <w:sz w:val="20"/>
                <w:szCs w:val="20"/>
              </w:rPr>
            </w:pPr>
            <w:r>
              <w:rPr>
                <w:sz w:val="20"/>
                <w:szCs w:val="20"/>
              </w:rPr>
              <w:t>Form EXP 4.2(a)</w:t>
            </w:r>
          </w:p>
        </w:tc>
      </w:tr>
      <w:tr w14:paraId="463B6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vMerge w:val="continue"/>
          </w:tcPr>
          <w:p w14:paraId="676B63EA">
            <w:pPr>
              <w:pStyle w:val="174"/>
              <w:tabs>
                <w:tab w:val="left" w:leader="dot" w:pos="8424"/>
              </w:tabs>
              <w:spacing w:line="240" w:lineRule="auto"/>
              <w:rPr>
                <w:sz w:val="20"/>
                <w:szCs w:val="20"/>
              </w:rPr>
            </w:pPr>
          </w:p>
        </w:tc>
        <w:tc>
          <w:tcPr>
            <w:tcW w:w="2214" w:type="dxa"/>
            <w:vMerge w:val="continue"/>
          </w:tcPr>
          <w:p w14:paraId="1DE4EC7D">
            <w:pPr>
              <w:pStyle w:val="174"/>
              <w:tabs>
                <w:tab w:val="left" w:leader="dot" w:pos="8424"/>
              </w:tabs>
              <w:spacing w:line="240" w:lineRule="auto"/>
              <w:rPr>
                <w:b/>
                <w:sz w:val="20"/>
                <w:szCs w:val="20"/>
              </w:rPr>
            </w:pPr>
          </w:p>
        </w:tc>
        <w:tc>
          <w:tcPr>
            <w:tcW w:w="2055" w:type="dxa"/>
          </w:tcPr>
          <w:p w14:paraId="72514123">
            <w:pPr>
              <w:pStyle w:val="174"/>
              <w:tabs>
                <w:tab w:val="left" w:leader="dot" w:pos="8424"/>
              </w:tabs>
              <w:spacing w:line="240" w:lineRule="auto"/>
              <w:rPr>
                <w:sz w:val="20"/>
                <w:szCs w:val="20"/>
              </w:rPr>
            </w:pPr>
          </w:p>
        </w:tc>
        <w:tc>
          <w:tcPr>
            <w:tcW w:w="1416" w:type="dxa"/>
          </w:tcPr>
          <w:p w14:paraId="323CD1BA">
            <w:pPr>
              <w:pStyle w:val="174"/>
              <w:tabs>
                <w:tab w:val="left" w:leader="dot" w:pos="8424"/>
              </w:tabs>
              <w:spacing w:line="240" w:lineRule="auto"/>
              <w:rPr>
                <w:sz w:val="20"/>
                <w:szCs w:val="20"/>
              </w:rPr>
            </w:pPr>
          </w:p>
        </w:tc>
        <w:tc>
          <w:tcPr>
            <w:tcW w:w="1477" w:type="dxa"/>
          </w:tcPr>
          <w:p w14:paraId="6246A9B4">
            <w:pPr>
              <w:pStyle w:val="174"/>
              <w:tabs>
                <w:tab w:val="left" w:leader="dot" w:pos="8424"/>
              </w:tabs>
              <w:spacing w:line="240" w:lineRule="auto"/>
              <w:rPr>
                <w:i/>
                <w:sz w:val="20"/>
                <w:szCs w:val="20"/>
              </w:rPr>
            </w:pPr>
          </w:p>
        </w:tc>
        <w:tc>
          <w:tcPr>
            <w:tcW w:w="1663" w:type="dxa"/>
          </w:tcPr>
          <w:p w14:paraId="4BE95620">
            <w:pPr>
              <w:pStyle w:val="174"/>
              <w:tabs>
                <w:tab w:val="left" w:leader="dot" w:pos="8424"/>
              </w:tabs>
              <w:spacing w:line="240" w:lineRule="auto"/>
              <w:rPr>
                <w:i/>
                <w:sz w:val="20"/>
                <w:szCs w:val="20"/>
              </w:rPr>
            </w:pPr>
          </w:p>
        </w:tc>
        <w:tc>
          <w:tcPr>
            <w:tcW w:w="1663" w:type="dxa"/>
          </w:tcPr>
          <w:p w14:paraId="5199ED81">
            <w:pPr>
              <w:rPr>
                <w:sz w:val="20"/>
              </w:rPr>
            </w:pPr>
          </w:p>
        </w:tc>
        <w:tc>
          <w:tcPr>
            <w:tcW w:w="1657" w:type="dxa"/>
          </w:tcPr>
          <w:p w14:paraId="19394C93">
            <w:pPr>
              <w:pStyle w:val="174"/>
              <w:tabs>
                <w:tab w:val="left" w:leader="dot" w:pos="8424"/>
              </w:tabs>
              <w:spacing w:line="240" w:lineRule="auto"/>
              <w:rPr>
                <w:sz w:val="20"/>
                <w:szCs w:val="20"/>
              </w:rPr>
            </w:pPr>
          </w:p>
        </w:tc>
      </w:tr>
      <w:tr w14:paraId="110E2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5" w:type="dxa"/>
          </w:tcPr>
          <w:p w14:paraId="70EAA018">
            <w:pPr>
              <w:pStyle w:val="174"/>
              <w:tabs>
                <w:tab w:val="left" w:leader="dot" w:pos="8424"/>
              </w:tabs>
              <w:spacing w:line="240" w:lineRule="auto"/>
              <w:rPr>
                <w:sz w:val="20"/>
                <w:szCs w:val="20"/>
              </w:rPr>
            </w:pPr>
            <w:r>
              <w:rPr>
                <w:sz w:val="20"/>
                <w:szCs w:val="20"/>
              </w:rPr>
              <w:t>4.2 (b)</w:t>
            </w:r>
          </w:p>
        </w:tc>
        <w:tc>
          <w:tcPr>
            <w:tcW w:w="2214" w:type="dxa"/>
          </w:tcPr>
          <w:p w14:paraId="740C9F4B">
            <w:pPr>
              <w:pStyle w:val="174"/>
              <w:tabs>
                <w:tab w:val="left" w:leader="dot" w:pos="8424"/>
              </w:tabs>
              <w:spacing w:line="240" w:lineRule="auto"/>
              <w:rPr>
                <w:b/>
                <w:sz w:val="20"/>
                <w:szCs w:val="20"/>
              </w:rPr>
            </w:pPr>
          </w:p>
        </w:tc>
        <w:tc>
          <w:tcPr>
            <w:tcW w:w="2055" w:type="dxa"/>
          </w:tcPr>
          <w:p w14:paraId="262CB9D8">
            <w:pPr>
              <w:pStyle w:val="174"/>
              <w:tabs>
                <w:tab w:val="left" w:leader="dot" w:pos="8424"/>
              </w:tabs>
              <w:spacing w:line="240" w:lineRule="auto"/>
              <w:rPr>
                <w:b/>
                <w:bCs/>
                <w:sz w:val="20"/>
                <w:szCs w:val="20"/>
              </w:rPr>
            </w:pPr>
            <w:r>
              <w:rPr>
                <w:sz w:val="20"/>
                <w:szCs w:val="20"/>
              </w:rPr>
              <w:t>For the above and any other contracts completed and under implementation as prime contractor, joint venture member, management contractor or sub-contractor</w:t>
            </w:r>
            <w:r>
              <w:rPr>
                <w:sz w:val="20"/>
                <w:szCs w:val="20"/>
                <w:vertAlign w:val="superscript"/>
              </w:rPr>
              <w:footnoteReference w:id="13"/>
            </w:r>
            <w:r>
              <w:rPr>
                <w:sz w:val="20"/>
                <w:szCs w:val="20"/>
              </w:rPr>
              <w:t xml:space="preserve"> on or after the first day of the calendar year during the period stipulated in 4.2 (a) above, a minimum construction experience in the following key activities successfully completed</w:t>
            </w:r>
            <w:r>
              <w:rPr>
                <w:rStyle w:val="28"/>
                <w:sz w:val="20"/>
                <w:szCs w:val="20"/>
              </w:rPr>
              <w:footnoteReference w:id="14"/>
            </w:r>
            <w:r>
              <w:rPr>
                <w:sz w:val="20"/>
                <w:szCs w:val="20"/>
              </w:rPr>
              <w:t xml:space="preserve">: </w:t>
            </w:r>
            <w:r>
              <w:rPr>
                <w:b/>
                <w:bCs/>
                <w:sz w:val="20"/>
                <w:szCs w:val="20"/>
              </w:rPr>
              <w:t>Construction of Faecal Sludge Treatment Plant(s) (FSTPs) including;</w:t>
            </w:r>
          </w:p>
          <w:p w14:paraId="79699D7E">
            <w:pPr>
              <w:pStyle w:val="174"/>
              <w:tabs>
                <w:tab w:val="left" w:leader="dot" w:pos="8424"/>
              </w:tabs>
              <w:spacing w:line="240" w:lineRule="auto"/>
              <w:rPr>
                <w:b/>
                <w:bCs/>
                <w:sz w:val="20"/>
                <w:szCs w:val="20"/>
              </w:rPr>
            </w:pPr>
            <w:r>
              <w:rPr>
                <w:b/>
                <w:bCs/>
                <w:sz w:val="20"/>
                <w:szCs w:val="20"/>
              </w:rPr>
              <w:t>1. Construction of Reinforced Concrete Works at an average rate of 250m</w:t>
            </w:r>
            <w:r>
              <w:rPr>
                <w:b/>
                <w:bCs/>
                <w:sz w:val="20"/>
                <w:szCs w:val="20"/>
                <w:vertAlign w:val="superscript"/>
              </w:rPr>
              <w:t>3</w:t>
            </w:r>
            <w:r>
              <w:rPr>
                <w:b/>
                <w:bCs/>
                <w:sz w:val="20"/>
                <w:szCs w:val="20"/>
              </w:rPr>
              <w:t>/month</w:t>
            </w:r>
          </w:p>
          <w:p w14:paraId="63CBF4A4">
            <w:pPr>
              <w:pStyle w:val="174"/>
              <w:tabs>
                <w:tab w:val="left" w:leader="dot" w:pos="8424"/>
              </w:tabs>
              <w:spacing w:line="240" w:lineRule="auto"/>
              <w:rPr>
                <w:b/>
                <w:bCs/>
                <w:sz w:val="20"/>
                <w:szCs w:val="20"/>
              </w:rPr>
            </w:pPr>
            <w:r>
              <w:rPr>
                <w:b/>
                <w:bCs/>
                <w:sz w:val="20"/>
                <w:szCs w:val="20"/>
              </w:rPr>
              <w:t>2. At least one set of</w:t>
            </w:r>
          </w:p>
          <w:p w14:paraId="227530E4">
            <w:pPr>
              <w:pStyle w:val="174"/>
              <w:tabs>
                <w:tab w:val="left" w:leader="dot" w:pos="8424"/>
              </w:tabs>
              <w:spacing w:line="240" w:lineRule="auto"/>
              <w:rPr>
                <w:b/>
                <w:bCs/>
                <w:sz w:val="20"/>
                <w:szCs w:val="20"/>
              </w:rPr>
            </w:pPr>
            <w:r>
              <w:rPr>
                <w:b/>
                <w:bCs/>
                <w:sz w:val="20"/>
                <w:szCs w:val="20"/>
              </w:rPr>
              <w:t>Wastewater</w:t>
            </w:r>
          </w:p>
          <w:p w14:paraId="04E1513B">
            <w:pPr>
              <w:pStyle w:val="174"/>
              <w:tabs>
                <w:tab w:val="left" w:leader="dot" w:pos="8424"/>
              </w:tabs>
              <w:spacing w:line="240" w:lineRule="auto"/>
              <w:rPr>
                <w:b/>
                <w:bCs/>
                <w:sz w:val="20"/>
                <w:szCs w:val="20"/>
              </w:rPr>
            </w:pPr>
            <w:r>
              <w:rPr>
                <w:b/>
                <w:bCs/>
                <w:sz w:val="20"/>
                <w:szCs w:val="20"/>
              </w:rPr>
              <w:t>Stabilization Ponds</w:t>
            </w:r>
          </w:p>
          <w:p w14:paraId="4076BFDA">
            <w:pPr>
              <w:pStyle w:val="174"/>
              <w:tabs>
                <w:tab w:val="left" w:leader="dot" w:pos="8424"/>
              </w:tabs>
              <w:spacing w:line="240" w:lineRule="auto"/>
              <w:rPr>
                <w:b/>
                <w:bCs/>
                <w:sz w:val="20"/>
                <w:szCs w:val="20"/>
              </w:rPr>
            </w:pPr>
            <w:r>
              <w:rPr>
                <w:b/>
                <w:bCs/>
                <w:sz w:val="20"/>
                <w:szCs w:val="20"/>
              </w:rPr>
              <w:t>Comprising Anaerobic ponds,</w:t>
            </w:r>
          </w:p>
          <w:p w14:paraId="26AAEB09">
            <w:pPr>
              <w:pStyle w:val="174"/>
              <w:tabs>
                <w:tab w:val="left" w:leader="dot" w:pos="8424"/>
              </w:tabs>
              <w:spacing w:line="240" w:lineRule="auto"/>
              <w:rPr>
                <w:b/>
                <w:bCs/>
                <w:sz w:val="20"/>
                <w:szCs w:val="20"/>
              </w:rPr>
            </w:pPr>
            <w:r>
              <w:rPr>
                <w:b/>
                <w:bCs/>
                <w:sz w:val="20"/>
                <w:szCs w:val="20"/>
              </w:rPr>
              <w:t>Facultative ponds,</w:t>
            </w:r>
          </w:p>
          <w:p w14:paraId="06076DC6">
            <w:pPr>
              <w:pStyle w:val="174"/>
              <w:tabs>
                <w:tab w:val="left" w:leader="dot" w:pos="8424"/>
              </w:tabs>
              <w:spacing w:line="240" w:lineRule="auto"/>
              <w:rPr>
                <w:b/>
                <w:bCs/>
                <w:sz w:val="20"/>
                <w:szCs w:val="20"/>
              </w:rPr>
            </w:pPr>
            <w:r>
              <w:rPr>
                <w:b/>
                <w:bCs/>
                <w:sz w:val="20"/>
                <w:szCs w:val="20"/>
              </w:rPr>
              <w:t>Maturation Ponds</w:t>
            </w:r>
          </w:p>
          <w:p w14:paraId="660AEC91">
            <w:pPr>
              <w:pStyle w:val="174"/>
              <w:tabs>
                <w:tab w:val="left" w:leader="dot" w:pos="8424"/>
              </w:tabs>
              <w:spacing w:line="240" w:lineRule="auto"/>
              <w:rPr>
                <w:b/>
                <w:bCs/>
                <w:sz w:val="20"/>
                <w:szCs w:val="20"/>
              </w:rPr>
            </w:pPr>
            <w:r>
              <w:rPr>
                <w:b/>
                <w:bCs/>
                <w:sz w:val="20"/>
                <w:szCs w:val="20"/>
              </w:rPr>
              <w:t>and Constructed</w:t>
            </w:r>
          </w:p>
          <w:p w14:paraId="4C2253E3">
            <w:pPr>
              <w:pStyle w:val="174"/>
              <w:tabs>
                <w:tab w:val="left" w:leader="dot" w:pos="8424"/>
              </w:tabs>
              <w:spacing w:line="240" w:lineRule="auto"/>
              <w:rPr>
                <w:b/>
                <w:bCs/>
                <w:sz w:val="20"/>
                <w:szCs w:val="20"/>
              </w:rPr>
            </w:pPr>
            <w:r>
              <w:rPr>
                <w:b/>
                <w:bCs/>
                <w:sz w:val="20"/>
                <w:szCs w:val="20"/>
              </w:rPr>
              <w:t>wetlands of capacity</w:t>
            </w:r>
          </w:p>
          <w:p w14:paraId="6C50FD7B">
            <w:pPr>
              <w:pStyle w:val="174"/>
              <w:tabs>
                <w:tab w:val="left" w:leader="dot" w:pos="8424"/>
              </w:tabs>
              <w:spacing w:line="240" w:lineRule="auto"/>
              <w:rPr>
                <w:b/>
                <w:i/>
                <w:sz w:val="20"/>
              </w:rPr>
            </w:pPr>
            <w:r>
              <w:rPr>
                <w:b/>
                <w:bCs/>
                <w:sz w:val="20"/>
                <w:szCs w:val="20"/>
              </w:rPr>
              <w:t>60m</w:t>
            </w:r>
            <w:r>
              <w:rPr>
                <w:b/>
                <w:bCs/>
                <w:sz w:val="20"/>
                <w:szCs w:val="20"/>
                <w:vertAlign w:val="superscript"/>
              </w:rPr>
              <w:t>3</w:t>
            </w:r>
            <w:r>
              <w:rPr>
                <w:b/>
                <w:bCs/>
                <w:sz w:val="20"/>
                <w:szCs w:val="20"/>
              </w:rPr>
              <w:t>/day or more</w:t>
            </w:r>
            <w:r>
              <w:rPr>
                <w:b/>
                <w:i/>
                <w:sz w:val="20"/>
              </w:rPr>
              <w:t>.</w:t>
            </w:r>
          </w:p>
          <w:p w14:paraId="6A33F495">
            <w:pPr>
              <w:pStyle w:val="174"/>
              <w:tabs>
                <w:tab w:val="left" w:leader="dot" w:pos="8424"/>
              </w:tabs>
              <w:spacing w:line="240" w:lineRule="auto"/>
              <w:rPr>
                <w:b/>
                <w:i/>
                <w:sz w:val="20"/>
              </w:rPr>
            </w:pPr>
            <w:r>
              <w:rPr>
                <w:b/>
                <w:i/>
                <w:sz w:val="20"/>
              </w:rPr>
              <w:t>3. Construction of sludge drying beds</w:t>
            </w:r>
          </w:p>
          <w:p w14:paraId="4F272B3A">
            <w:pPr>
              <w:pStyle w:val="174"/>
              <w:tabs>
                <w:tab w:val="left" w:leader="dot" w:pos="8424"/>
              </w:tabs>
              <w:spacing w:line="240" w:lineRule="auto"/>
              <w:rPr>
                <w:b/>
                <w:bCs/>
                <w:sz w:val="20"/>
                <w:szCs w:val="20"/>
              </w:rPr>
            </w:pPr>
            <w:r>
              <w:rPr>
                <w:b/>
                <w:i/>
                <w:sz w:val="20"/>
              </w:rPr>
              <w:t xml:space="preserve">4. Construction of gravel roads </w:t>
            </w:r>
            <w:r>
              <w:rPr>
                <w:rStyle w:val="28"/>
                <w:i/>
                <w:sz w:val="20"/>
                <w:szCs w:val="20"/>
              </w:rPr>
              <w:footnoteReference w:id="15"/>
            </w:r>
          </w:p>
          <w:p w14:paraId="0BBF5CA1">
            <w:pPr>
              <w:pStyle w:val="174"/>
              <w:tabs>
                <w:tab w:val="left" w:leader="dot" w:pos="8424"/>
              </w:tabs>
              <w:spacing w:line="240" w:lineRule="auto"/>
              <w:rPr>
                <w:sz w:val="20"/>
                <w:szCs w:val="20"/>
              </w:rPr>
            </w:pPr>
          </w:p>
        </w:tc>
        <w:tc>
          <w:tcPr>
            <w:tcW w:w="1416" w:type="dxa"/>
          </w:tcPr>
          <w:p w14:paraId="47513D44">
            <w:pPr>
              <w:pStyle w:val="174"/>
              <w:tabs>
                <w:tab w:val="left" w:leader="dot" w:pos="8424"/>
              </w:tabs>
              <w:spacing w:line="240" w:lineRule="auto"/>
              <w:rPr>
                <w:sz w:val="20"/>
                <w:szCs w:val="20"/>
              </w:rPr>
            </w:pPr>
            <w:r>
              <w:rPr>
                <w:sz w:val="20"/>
                <w:szCs w:val="20"/>
              </w:rPr>
              <w:t xml:space="preserve">Must meet requirements </w:t>
            </w:r>
          </w:p>
        </w:tc>
        <w:tc>
          <w:tcPr>
            <w:tcW w:w="1477" w:type="dxa"/>
          </w:tcPr>
          <w:p w14:paraId="12A83D10">
            <w:pPr>
              <w:pStyle w:val="174"/>
              <w:tabs>
                <w:tab w:val="left" w:leader="dot" w:pos="8424"/>
              </w:tabs>
              <w:spacing w:line="240" w:lineRule="auto"/>
              <w:rPr>
                <w:sz w:val="20"/>
                <w:szCs w:val="20"/>
              </w:rPr>
            </w:pPr>
            <w:r>
              <w:rPr>
                <w:sz w:val="20"/>
                <w:szCs w:val="20"/>
              </w:rPr>
              <w:t>Must meet requirements</w:t>
            </w:r>
          </w:p>
        </w:tc>
        <w:tc>
          <w:tcPr>
            <w:tcW w:w="1663" w:type="dxa"/>
          </w:tcPr>
          <w:p w14:paraId="5B3B3CBE">
            <w:pPr>
              <w:pStyle w:val="174"/>
              <w:tabs>
                <w:tab w:val="left" w:leader="dot" w:pos="8424"/>
              </w:tabs>
              <w:spacing w:line="240" w:lineRule="auto"/>
              <w:rPr>
                <w:sz w:val="20"/>
                <w:szCs w:val="20"/>
              </w:rPr>
            </w:pPr>
            <w:r>
              <w:rPr>
                <w:sz w:val="20"/>
                <w:szCs w:val="20"/>
              </w:rPr>
              <w:t>N/A</w:t>
            </w:r>
          </w:p>
        </w:tc>
        <w:tc>
          <w:tcPr>
            <w:tcW w:w="1663" w:type="dxa"/>
          </w:tcPr>
          <w:p w14:paraId="0A962C21">
            <w:pPr>
              <w:rPr>
                <w:i/>
                <w:sz w:val="20"/>
              </w:rPr>
            </w:pPr>
            <w:r>
              <w:rPr>
                <w:sz w:val="20"/>
              </w:rPr>
              <w:t>Must meet the following requirements for the key activities listed below</w:t>
            </w:r>
            <w:r>
              <w:rPr>
                <w:sz w:val="20"/>
                <w:vertAlign w:val="superscript"/>
              </w:rPr>
              <w:t>16</w:t>
            </w:r>
            <w:r>
              <w:rPr>
                <w:i/>
                <w:sz w:val="20"/>
              </w:rPr>
              <w:t>[list key activities and the corresponding minimum requirements]</w:t>
            </w:r>
          </w:p>
        </w:tc>
        <w:tc>
          <w:tcPr>
            <w:tcW w:w="1657" w:type="dxa"/>
          </w:tcPr>
          <w:p w14:paraId="3E279F11">
            <w:pPr>
              <w:pStyle w:val="174"/>
              <w:tabs>
                <w:tab w:val="left" w:leader="dot" w:pos="8424"/>
              </w:tabs>
              <w:spacing w:line="240" w:lineRule="auto"/>
              <w:rPr>
                <w:sz w:val="20"/>
                <w:szCs w:val="20"/>
              </w:rPr>
            </w:pPr>
            <w:r>
              <w:rPr>
                <w:sz w:val="20"/>
                <w:szCs w:val="20"/>
              </w:rPr>
              <w:t>Form EXP – 4.2 (b)</w:t>
            </w:r>
          </w:p>
        </w:tc>
      </w:tr>
    </w:tbl>
    <w:p w14:paraId="10BCEB56">
      <w:pPr>
        <w:pStyle w:val="149"/>
      </w:pPr>
    </w:p>
    <w:p w14:paraId="3A9CF678">
      <w:pPr>
        <w:pStyle w:val="149"/>
      </w:pPr>
    </w:p>
    <w:p w14:paraId="4D786B72">
      <w:pPr>
        <w:pStyle w:val="2"/>
        <w:spacing w:before="360" w:after="120"/>
        <w:ind w:left="0"/>
        <w:rPr>
          <w:rFonts w:cs="Times New Roman"/>
          <w:bCs/>
          <w:szCs w:val="20"/>
        </w:rPr>
      </w:pPr>
      <w:bookmarkStart w:id="388" w:name="_Toc103401423"/>
    </w:p>
    <w:p w14:paraId="1FBEC3EA"/>
    <w:p w14:paraId="0EF72FF1">
      <w:pPr>
        <w:pStyle w:val="27"/>
        <w:tabs>
          <w:tab w:val="clear" w:pos="9504"/>
        </w:tabs>
        <w:spacing w:before="0"/>
        <w:ind w:left="720" w:hanging="720"/>
        <w:rPr>
          <w:b/>
        </w:rPr>
        <w:sectPr>
          <w:headerReference r:id="rId19" w:type="default"/>
          <w:headerReference r:id="rId20" w:type="even"/>
          <w:pgSz w:w="15840" w:h="12240" w:orient="landscape"/>
          <w:pgMar w:top="1584" w:right="1440" w:bottom="1008" w:left="1440" w:header="720" w:footer="720" w:gutter="0"/>
          <w:cols w:space="720" w:num="1"/>
          <w:docGrid w:linePitch="360" w:charSpace="0"/>
        </w:sectPr>
      </w:pPr>
    </w:p>
    <w:p w14:paraId="567465FF">
      <w:pPr>
        <w:pStyle w:val="27"/>
        <w:tabs>
          <w:tab w:val="clear" w:pos="9504"/>
        </w:tabs>
        <w:spacing w:before="0"/>
        <w:ind w:left="720" w:hanging="720"/>
        <w:rPr>
          <w:b/>
        </w:rPr>
      </w:pPr>
    </w:p>
    <w:p w14:paraId="4A79CEF6">
      <w:pPr>
        <w:pStyle w:val="150"/>
      </w:pPr>
      <w:bookmarkStart w:id="389" w:name="_Toc325555970"/>
      <w:r>
        <w:t>5</w:t>
      </w:r>
      <w:r>
        <w:tab/>
      </w:r>
      <w:r>
        <w:t>Key Personnel</w:t>
      </w:r>
      <w:bookmarkEnd w:id="389"/>
    </w:p>
    <w:p w14:paraId="3E059FB7">
      <w:pPr>
        <w:tabs>
          <w:tab w:val="right" w:pos="7254"/>
        </w:tabs>
        <w:spacing w:before="60" w:after="200"/>
        <w:rPr>
          <w:iCs/>
          <w:szCs w:val="20"/>
        </w:rPr>
      </w:pPr>
      <w:bookmarkStart w:id="390" w:name="_Toc325555971"/>
      <w:r>
        <w:rPr>
          <w:iCs/>
          <w:szCs w:val="20"/>
        </w:rPr>
        <w:t xml:space="preserve">The Bidder must demonstrate that it will have suitably qualified (and in adequate numbers) Key Personnel, as described in the Specifications. </w:t>
      </w:r>
    </w:p>
    <w:p w14:paraId="78CCFBFB">
      <w:pPr>
        <w:tabs>
          <w:tab w:val="right" w:pos="7254"/>
        </w:tabs>
        <w:spacing w:before="60" w:after="200"/>
        <w:rPr>
          <w:iCs/>
          <w:szCs w:val="20"/>
        </w:rPr>
      </w:pPr>
      <w:r>
        <w:rPr>
          <w:iCs/>
          <w:szCs w:val="20"/>
        </w:rPr>
        <w:t>The Bidder shall provide details of the Key Personnel and such other Key Personnel that the Bidder considers appropriate to perform the Contract, together with their academic qualifications and work experience. The Bidder shall complete the relevant Forms in Section IV, Bidding Forms.</w:t>
      </w:r>
    </w:p>
    <w:p w14:paraId="2BF2AAE8">
      <w:pPr>
        <w:tabs>
          <w:tab w:val="left" w:pos="432"/>
          <w:tab w:val="left" w:pos="2952"/>
          <w:tab w:val="left" w:pos="5832"/>
        </w:tabs>
        <w:spacing w:after="120"/>
        <w:ind w:left="720"/>
        <w:rPr>
          <w:b/>
          <w:iCs/>
          <w:szCs w:val="20"/>
        </w:rPr>
      </w:pPr>
      <w:r>
        <w:rPr>
          <w:b/>
          <w:iCs/>
          <w:szCs w:val="20"/>
        </w:rPr>
        <w:t>Key Personnel</w:t>
      </w:r>
    </w:p>
    <w:tbl>
      <w:tblPr>
        <w:tblStyle w:val="12"/>
        <w:tblW w:w="10642" w:type="dxa"/>
        <w:tblInd w:w="-587"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540"/>
        <w:gridCol w:w="3298"/>
        <w:gridCol w:w="3419"/>
        <w:gridCol w:w="1821"/>
        <w:gridCol w:w="1564"/>
      </w:tblGrid>
      <w:tr w14:paraId="08E47FB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018" w:hRule="atLeast"/>
          <w:tblHeader/>
        </w:trPr>
        <w:tc>
          <w:tcPr>
            <w:tcW w:w="540" w:type="dxa"/>
            <w:shd w:val="clear" w:color="auto" w:fill="auto"/>
            <w:vAlign w:val="center"/>
          </w:tcPr>
          <w:p w14:paraId="17933F61">
            <w:pPr>
              <w:jc w:val="center"/>
              <w:rPr>
                <w:b/>
                <w:bCs/>
                <w:color w:val="000000"/>
                <w:sz w:val="22"/>
                <w:szCs w:val="22"/>
              </w:rPr>
            </w:pPr>
            <w:r>
              <w:rPr>
                <w:b/>
                <w:bCs/>
                <w:color w:val="000000"/>
                <w:sz w:val="22"/>
                <w:szCs w:val="22"/>
              </w:rPr>
              <w:t>No.</w:t>
            </w:r>
          </w:p>
        </w:tc>
        <w:tc>
          <w:tcPr>
            <w:tcW w:w="3298" w:type="dxa"/>
            <w:shd w:val="clear" w:color="auto" w:fill="auto"/>
            <w:vAlign w:val="center"/>
          </w:tcPr>
          <w:p w14:paraId="06F32F74">
            <w:pPr>
              <w:jc w:val="center"/>
              <w:rPr>
                <w:b/>
                <w:bCs/>
                <w:color w:val="000000"/>
                <w:sz w:val="22"/>
                <w:szCs w:val="22"/>
              </w:rPr>
            </w:pPr>
            <w:r>
              <w:rPr>
                <w:b/>
                <w:bCs/>
                <w:color w:val="000000"/>
                <w:sz w:val="22"/>
                <w:szCs w:val="22"/>
              </w:rPr>
              <w:t>Position</w:t>
            </w:r>
          </w:p>
        </w:tc>
        <w:tc>
          <w:tcPr>
            <w:tcW w:w="3419" w:type="dxa"/>
            <w:shd w:val="clear" w:color="auto" w:fill="auto"/>
            <w:vAlign w:val="center"/>
          </w:tcPr>
          <w:p w14:paraId="3A7025FF">
            <w:pPr>
              <w:jc w:val="center"/>
              <w:rPr>
                <w:b/>
                <w:bCs/>
                <w:color w:val="000000"/>
                <w:sz w:val="22"/>
                <w:szCs w:val="22"/>
              </w:rPr>
            </w:pPr>
            <w:r>
              <w:rPr>
                <w:b/>
                <w:bCs/>
                <w:color w:val="000000"/>
                <w:sz w:val="22"/>
                <w:szCs w:val="22"/>
              </w:rPr>
              <w:t>Requirements / Qualifications</w:t>
            </w:r>
          </w:p>
        </w:tc>
        <w:tc>
          <w:tcPr>
            <w:tcW w:w="1821" w:type="dxa"/>
            <w:shd w:val="clear" w:color="auto" w:fill="auto"/>
            <w:vAlign w:val="center"/>
          </w:tcPr>
          <w:p w14:paraId="7B6E6B98">
            <w:pPr>
              <w:jc w:val="center"/>
              <w:rPr>
                <w:b/>
                <w:bCs/>
                <w:color w:val="000000"/>
                <w:sz w:val="22"/>
                <w:szCs w:val="22"/>
              </w:rPr>
            </w:pPr>
            <w:r>
              <w:rPr>
                <w:b/>
                <w:bCs/>
                <w:color w:val="000000"/>
                <w:sz w:val="22"/>
                <w:szCs w:val="22"/>
              </w:rPr>
              <w:t>Total Work Similar Experience (years)</w:t>
            </w:r>
          </w:p>
        </w:tc>
        <w:tc>
          <w:tcPr>
            <w:tcW w:w="1564" w:type="dxa"/>
            <w:shd w:val="clear" w:color="auto" w:fill="auto"/>
            <w:vAlign w:val="center"/>
          </w:tcPr>
          <w:p w14:paraId="56229CC1">
            <w:pPr>
              <w:jc w:val="center"/>
              <w:rPr>
                <w:b/>
                <w:bCs/>
                <w:color w:val="000000"/>
                <w:sz w:val="22"/>
                <w:szCs w:val="22"/>
              </w:rPr>
            </w:pPr>
            <w:r>
              <w:rPr>
                <w:b/>
                <w:bCs/>
                <w:color w:val="000000"/>
                <w:sz w:val="22"/>
                <w:szCs w:val="22"/>
              </w:rPr>
              <w:t>In Similar Works Experience (years)</w:t>
            </w:r>
          </w:p>
        </w:tc>
      </w:tr>
      <w:tr w14:paraId="4166857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65" w:hRule="atLeast"/>
        </w:trPr>
        <w:tc>
          <w:tcPr>
            <w:tcW w:w="540" w:type="dxa"/>
            <w:vMerge w:val="restart"/>
            <w:shd w:val="clear" w:color="auto" w:fill="auto"/>
            <w:vAlign w:val="center"/>
          </w:tcPr>
          <w:p w14:paraId="41055784">
            <w:pPr>
              <w:jc w:val="center"/>
              <w:rPr>
                <w:rFonts w:ascii="Arial" w:hAnsi="Arial" w:cs="Arial"/>
                <w:color w:val="000000"/>
                <w:sz w:val="22"/>
                <w:szCs w:val="22"/>
              </w:rPr>
            </w:pPr>
            <w:r>
              <w:rPr>
                <w:rFonts w:ascii="Arial" w:hAnsi="Arial" w:cs="Arial"/>
                <w:color w:val="000000"/>
                <w:sz w:val="22"/>
                <w:szCs w:val="22"/>
              </w:rPr>
              <w:t>1</w:t>
            </w:r>
          </w:p>
        </w:tc>
        <w:tc>
          <w:tcPr>
            <w:tcW w:w="3298" w:type="dxa"/>
            <w:vMerge w:val="restart"/>
            <w:shd w:val="clear" w:color="auto" w:fill="auto"/>
            <w:vAlign w:val="center"/>
          </w:tcPr>
          <w:p w14:paraId="0E191811">
            <w:pPr>
              <w:rPr>
                <w:color w:val="000000"/>
                <w:sz w:val="22"/>
                <w:szCs w:val="22"/>
              </w:rPr>
            </w:pPr>
            <w:r>
              <w:rPr>
                <w:color w:val="000000"/>
                <w:sz w:val="22"/>
                <w:szCs w:val="22"/>
              </w:rPr>
              <w:t>Project Manager (1no.)</w:t>
            </w:r>
          </w:p>
          <w:p w14:paraId="33A95103">
            <w:pPr>
              <w:rPr>
                <w:color w:val="000000"/>
                <w:sz w:val="22"/>
                <w:szCs w:val="22"/>
              </w:rPr>
            </w:pPr>
          </w:p>
          <w:p w14:paraId="04FB4557">
            <w:pPr>
              <w:tabs>
                <w:tab w:val="left" w:pos="720"/>
              </w:tabs>
              <w:rPr>
                <w:color w:val="000000"/>
                <w:sz w:val="22"/>
                <w:szCs w:val="22"/>
              </w:rPr>
            </w:pPr>
          </w:p>
        </w:tc>
        <w:tc>
          <w:tcPr>
            <w:tcW w:w="3419" w:type="dxa"/>
            <w:shd w:val="clear" w:color="auto" w:fill="auto"/>
            <w:vAlign w:val="center"/>
          </w:tcPr>
          <w:p w14:paraId="369FBAAD">
            <w:pPr>
              <w:rPr>
                <w:color w:val="000000"/>
                <w:sz w:val="22"/>
                <w:szCs w:val="22"/>
              </w:rPr>
            </w:pPr>
            <w:r>
              <w:rPr>
                <w:color w:val="000000"/>
                <w:sz w:val="22"/>
                <w:szCs w:val="22"/>
              </w:rPr>
              <w:t xml:space="preserve">BSc. Civil Engineering/Water Engineering, or equivalent. Registered Professional Engineer with at least 15 years of experience in the field of </w:t>
            </w:r>
            <w:r>
              <w:rPr>
                <w:rFonts w:hint="default"/>
                <w:color w:val="000000"/>
                <w:sz w:val="22"/>
                <w:szCs w:val="22"/>
                <w:lang w:val="en-US"/>
              </w:rPr>
              <w:t>Civil</w:t>
            </w:r>
            <w:r>
              <w:rPr>
                <w:color w:val="000000"/>
                <w:sz w:val="22"/>
                <w:szCs w:val="22"/>
              </w:rPr>
              <w:t xml:space="preserve"> Engineering and not less than 5years experience in a similar position. Should have worked in at least two previous assignments in a similar position.</w:t>
            </w:r>
          </w:p>
        </w:tc>
        <w:tc>
          <w:tcPr>
            <w:tcW w:w="1821" w:type="dxa"/>
            <w:vMerge w:val="restart"/>
            <w:shd w:val="clear" w:color="auto" w:fill="auto"/>
            <w:vAlign w:val="center"/>
          </w:tcPr>
          <w:p w14:paraId="28C94ECC">
            <w:pPr>
              <w:jc w:val="center"/>
              <w:rPr>
                <w:color w:val="000000"/>
                <w:sz w:val="22"/>
                <w:szCs w:val="22"/>
              </w:rPr>
            </w:pPr>
            <w:r>
              <w:rPr>
                <w:color w:val="000000"/>
                <w:sz w:val="22"/>
                <w:szCs w:val="22"/>
              </w:rPr>
              <w:t>15</w:t>
            </w:r>
          </w:p>
        </w:tc>
        <w:tc>
          <w:tcPr>
            <w:tcW w:w="1564" w:type="dxa"/>
            <w:vMerge w:val="restart"/>
            <w:shd w:val="clear" w:color="auto" w:fill="auto"/>
            <w:vAlign w:val="center"/>
          </w:tcPr>
          <w:p w14:paraId="4DE0BAAE">
            <w:pPr>
              <w:jc w:val="center"/>
              <w:rPr>
                <w:color w:val="000000"/>
                <w:sz w:val="22"/>
                <w:szCs w:val="22"/>
              </w:rPr>
            </w:pPr>
            <w:r>
              <w:rPr>
                <w:color w:val="000000"/>
                <w:sz w:val="22"/>
                <w:szCs w:val="22"/>
              </w:rPr>
              <w:t>5</w:t>
            </w:r>
          </w:p>
        </w:tc>
      </w:tr>
      <w:tr w14:paraId="6956619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2" w:hRule="atLeast"/>
        </w:trPr>
        <w:tc>
          <w:tcPr>
            <w:tcW w:w="540" w:type="dxa"/>
            <w:vMerge w:val="continue"/>
            <w:vAlign w:val="center"/>
          </w:tcPr>
          <w:p w14:paraId="151C1C47">
            <w:pPr>
              <w:rPr>
                <w:rFonts w:ascii="Arial" w:hAnsi="Arial" w:cs="Arial"/>
                <w:color w:val="000000"/>
                <w:sz w:val="22"/>
                <w:szCs w:val="22"/>
              </w:rPr>
            </w:pPr>
          </w:p>
        </w:tc>
        <w:tc>
          <w:tcPr>
            <w:tcW w:w="3298" w:type="dxa"/>
            <w:vMerge w:val="continue"/>
            <w:vAlign w:val="center"/>
          </w:tcPr>
          <w:p w14:paraId="727579AD">
            <w:pPr>
              <w:rPr>
                <w:color w:val="000000"/>
                <w:sz w:val="22"/>
                <w:szCs w:val="22"/>
              </w:rPr>
            </w:pPr>
          </w:p>
        </w:tc>
        <w:tc>
          <w:tcPr>
            <w:tcW w:w="3419" w:type="dxa"/>
            <w:shd w:val="clear" w:color="auto" w:fill="auto"/>
            <w:vAlign w:val="center"/>
          </w:tcPr>
          <w:p w14:paraId="1FC9D04B">
            <w:pPr>
              <w:rPr>
                <w:color w:val="000000"/>
                <w:sz w:val="22"/>
                <w:szCs w:val="22"/>
              </w:rPr>
            </w:pPr>
          </w:p>
        </w:tc>
        <w:tc>
          <w:tcPr>
            <w:tcW w:w="1821" w:type="dxa"/>
            <w:vMerge w:val="continue"/>
            <w:vAlign w:val="center"/>
          </w:tcPr>
          <w:p w14:paraId="1C489D32">
            <w:pPr>
              <w:rPr>
                <w:color w:val="000000"/>
                <w:sz w:val="22"/>
                <w:szCs w:val="22"/>
              </w:rPr>
            </w:pPr>
          </w:p>
        </w:tc>
        <w:tc>
          <w:tcPr>
            <w:tcW w:w="1564" w:type="dxa"/>
            <w:vMerge w:val="continue"/>
            <w:vAlign w:val="center"/>
          </w:tcPr>
          <w:p w14:paraId="28C359BD">
            <w:pPr>
              <w:rPr>
                <w:color w:val="000000"/>
                <w:sz w:val="22"/>
                <w:szCs w:val="22"/>
              </w:rPr>
            </w:pPr>
          </w:p>
        </w:tc>
      </w:tr>
      <w:tr w14:paraId="3575EBF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90" w:hRule="atLeast"/>
        </w:trPr>
        <w:tc>
          <w:tcPr>
            <w:tcW w:w="540" w:type="dxa"/>
            <w:shd w:val="clear" w:color="auto" w:fill="auto"/>
            <w:vAlign w:val="center"/>
          </w:tcPr>
          <w:p w14:paraId="31EA5444">
            <w:pPr>
              <w:jc w:val="center"/>
              <w:rPr>
                <w:color w:val="000000"/>
                <w:sz w:val="22"/>
                <w:szCs w:val="22"/>
              </w:rPr>
            </w:pPr>
            <w:r>
              <w:rPr>
                <w:color w:val="000000"/>
                <w:sz w:val="22"/>
                <w:szCs w:val="22"/>
              </w:rPr>
              <w:t>2</w:t>
            </w:r>
          </w:p>
        </w:tc>
        <w:tc>
          <w:tcPr>
            <w:tcW w:w="3298" w:type="dxa"/>
            <w:shd w:val="clear" w:color="auto" w:fill="auto"/>
            <w:vAlign w:val="center"/>
          </w:tcPr>
          <w:p w14:paraId="05AF84F5">
            <w:pPr>
              <w:tabs>
                <w:tab w:val="left" w:pos="720"/>
              </w:tabs>
              <w:rPr>
                <w:color w:val="000000"/>
                <w:sz w:val="22"/>
                <w:szCs w:val="22"/>
              </w:rPr>
            </w:pPr>
            <w:r>
              <w:rPr>
                <w:color w:val="000000"/>
                <w:sz w:val="22"/>
                <w:szCs w:val="22"/>
              </w:rPr>
              <w:t>Site Agent (1no.)</w:t>
            </w:r>
            <w:r>
              <w:t xml:space="preserve"> </w:t>
            </w:r>
          </w:p>
        </w:tc>
        <w:tc>
          <w:tcPr>
            <w:tcW w:w="3419" w:type="dxa"/>
            <w:shd w:val="clear" w:color="auto" w:fill="auto"/>
            <w:vAlign w:val="center"/>
          </w:tcPr>
          <w:p w14:paraId="398C4CB9">
            <w:pPr>
              <w:rPr>
                <w:color w:val="000000"/>
                <w:sz w:val="22"/>
                <w:szCs w:val="22"/>
              </w:rPr>
            </w:pPr>
            <w:r>
              <w:rPr>
                <w:color w:val="000000"/>
                <w:sz w:val="22"/>
                <w:szCs w:val="22"/>
              </w:rPr>
              <w:t xml:space="preserve">BSc. in Civil Engineering or Water Engineering and must be a Registered Professional Engineer with a minimum of 10 years of experience in the field of </w:t>
            </w:r>
            <w:r>
              <w:rPr>
                <w:rFonts w:hint="default"/>
                <w:color w:val="000000"/>
                <w:sz w:val="22"/>
                <w:szCs w:val="22"/>
                <w:lang w:val="en-US"/>
              </w:rPr>
              <w:t>Civil</w:t>
            </w:r>
            <w:r>
              <w:rPr>
                <w:color w:val="000000"/>
                <w:sz w:val="22"/>
                <w:szCs w:val="22"/>
              </w:rPr>
              <w:t xml:space="preserve"> Engineering, with at least 3 years' experience in a similar position. Additionally, the candidate should have successfully worked on at least two previous assignments in a similar role, particularly in projects related to wastewater treatment or faecal sludge management.</w:t>
            </w:r>
          </w:p>
        </w:tc>
        <w:tc>
          <w:tcPr>
            <w:tcW w:w="1821" w:type="dxa"/>
            <w:shd w:val="clear" w:color="auto" w:fill="auto"/>
            <w:vAlign w:val="center"/>
          </w:tcPr>
          <w:p w14:paraId="56682501">
            <w:pPr>
              <w:jc w:val="center"/>
              <w:rPr>
                <w:color w:val="000000"/>
                <w:sz w:val="22"/>
                <w:szCs w:val="22"/>
              </w:rPr>
            </w:pPr>
            <w:r>
              <w:rPr>
                <w:color w:val="000000"/>
                <w:sz w:val="22"/>
                <w:szCs w:val="22"/>
              </w:rPr>
              <w:t>10</w:t>
            </w:r>
          </w:p>
        </w:tc>
        <w:tc>
          <w:tcPr>
            <w:tcW w:w="1564" w:type="dxa"/>
            <w:shd w:val="clear" w:color="auto" w:fill="auto"/>
            <w:vAlign w:val="center"/>
          </w:tcPr>
          <w:p w14:paraId="7460825C">
            <w:pPr>
              <w:jc w:val="center"/>
              <w:rPr>
                <w:color w:val="000000"/>
                <w:sz w:val="22"/>
                <w:szCs w:val="22"/>
              </w:rPr>
            </w:pPr>
            <w:r>
              <w:rPr>
                <w:color w:val="000000"/>
                <w:sz w:val="22"/>
                <w:szCs w:val="22"/>
              </w:rPr>
              <w:t>3</w:t>
            </w:r>
          </w:p>
        </w:tc>
      </w:tr>
      <w:tr w14:paraId="043474F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65" w:hRule="atLeast"/>
        </w:trPr>
        <w:tc>
          <w:tcPr>
            <w:tcW w:w="540" w:type="dxa"/>
            <w:shd w:val="clear" w:color="auto" w:fill="auto"/>
            <w:vAlign w:val="center"/>
          </w:tcPr>
          <w:p w14:paraId="07E98BBE">
            <w:pPr>
              <w:jc w:val="center"/>
              <w:rPr>
                <w:color w:val="000000"/>
                <w:sz w:val="22"/>
                <w:szCs w:val="22"/>
              </w:rPr>
            </w:pPr>
            <w:r>
              <w:rPr>
                <w:color w:val="000000"/>
                <w:sz w:val="22"/>
                <w:szCs w:val="22"/>
              </w:rPr>
              <w:t>3</w:t>
            </w:r>
          </w:p>
        </w:tc>
        <w:tc>
          <w:tcPr>
            <w:tcW w:w="3298" w:type="dxa"/>
            <w:shd w:val="clear" w:color="auto" w:fill="auto"/>
            <w:vAlign w:val="center"/>
          </w:tcPr>
          <w:p w14:paraId="25A2AFEC">
            <w:pPr>
              <w:rPr>
                <w:color w:val="000000"/>
                <w:sz w:val="22"/>
                <w:szCs w:val="22"/>
              </w:rPr>
            </w:pPr>
            <w:r>
              <w:rPr>
                <w:color w:val="000000"/>
                <w:sz w:val="22"/>
                <w:szCs w:val="22"/>
              </w:rPr>
              <w:t>Construction Engineer (1no.)</w:t>
            </w:r>
          </w:p>
        </w:tc>
        <w:tc>
          <w:tcPr>
            <w:tcW w:w="3419" w:type="dxa"/>
            <w:shd w:val="clear" w:color="auto" w:fill="auto"/>
            <w:vAlign w:val="center"/>
          </w:tcPr>
          <w:p w14:paraId="6D43B78A">
            <w:pPr>
              <w:rPr>
                <w:color w:val="000000"/>
                <w:sz w:val="22"/>
                <w:szCs w:val="22"/>
              </w:rPr>
            </w:pPr>
            <w:r>
              <w:rPr>
                <w:color w:val="000000"/>
                <w:sz w:val="22"/>
                <w:szCs w:val="22"/>
              </w:rPr>
              <w:t xml:space="preserve">BSc. in Civil Engineering or Water Engineering and must be a Registered Professional Engineer with at least 10 years of experience in </w:t>
            </w:r>
            <w:r>
              <w:rPr>
                <w:rFonts w:hint="default"/>
                <w:color w:val="000000"/>
                <w:sz w:val="22"/>
                <w:szCs w:val="22"/>
                <w:lang w:val="en-US"/>
              </w:rPr>
              <w:t>Civil</w:t>
            </w:r>
            <w:r>
              <w:rPr>
                <w:color w:val="000000"/>
                <w:sz w:val="22"/>
                <w:szCs w:val="22"/>
              </w:rPr>
              <w:t xml:space="preserve"> Engineering, with a minimum of 3 years in a similar position. The candidate must have successfully participated in at least two previous projects in a similar capacity, particularly focused on the construction of wastewater treatment facilities or faecal sludge treatment plants.</w:t>
            </w:r>
          </w:p>
        </w:tc>
        <w:tc>
          <w:tcPr>
            <w:tcW w:w="1821" w:type="dxa"/>
            <w:shd w:val="clear" w:color="auto" w:fill="auto"/>
            <w:vAlign w:val="center"/>
          </w:tcPr>
          <w:p w14:paraId="59E51BEC">
            <w:pPr>
              <w:jc w:val="center"/>
              <w:rPr>
                <w:color w:val="000000"/>
                <w:sz w:val="22"/>
                <w:szCs w:val="22"/>
              </w:rPr>
            </w:pPr>
            <w:r>
              <w:rPr>
                <w:color w:val="000000"/>
                <w:sz w:val="22"/>
                <w:szCs w:val="22"/>
              </w:rPr>
              <w:t>10</w:t>
            </w:r>
          </w:p>
        </w:tc>
        <w:tc>
          <w:tcPr>
            <w:tcW w:w="1564" w:type="dxa"/>
            <w:shd w:val="clear" w:color="auto" w:fill="auto"/>
            <w:vAlign w:val="center"/>
          </w:tcPr>
          <w:p w14:paraId="456D1110">
            <w:pPr>
              <w:jc w:val="center"/>
              <w:rPr>
                <w:color w:val="000000"/>
                <w:sz w:val="22"/>
                <w:szCs w:val="22"/>
              </w:rPr>
            </w:pPr>
            <w:r>
              <w:rPr>
                <w:color w:val="000000"/>
                <w:sz w:val="22"/>
                <w:szCs w:val="22"/>
              </w:rPr>
              <w:t>3</w:t>
            </w:r>
          </w:p>
        </w:tc>
      </w:tr>
      <w:tr w14:paraId="00420F9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0" w:hRule="atLeast"/>
        </w:trPr>
        <w:tc>
          <w:tcPr>
            <w:tcW w:w="540" w:type="dxa"/>
            <w:shd w:val="clear" w:color="auto" w:fill="auto"/>
            <w:vAlign w:val="center"/>
          </w:tcPr>
          <w:p w14:paraId="6B7825FB">
            <w:pPr>
              <w:jc w:val="center"/>
              <w:rPr>
                <w:color w:val="000000"/>
                <w:sz w:val="22"/>
                <w:szCs w:val="22"/>
              </w:rPr>
            </w:pPr>
            <w:r>
              <w:rPr>
                <w:color w:val="000000"/>
                <w:sz w:val="22"/>
                <w:szCs w:val="22"/>
              </w:rPr>
              <w:t>4</w:t>
            </w:r>
          </w:p>
        </w:tc>
        <w:tc>
          <w:tcPr>
            <w:tcW w:w="3298" w:type="dxa"/>
            <w:shd w:val="clear" w:color="auto" w:fill="auto"/>
            <w:vAlign w:val="center"/>
          </w:tcPr>
          <w:p w14:paraId="7B5610DB">
            <w:pPr>
              <w:rPr>
                <w:color w:val="000000"/>
                <w:sz w:val="22"/>
                <w:szCs w:val="22"/>
              </w:rPr>
            </w:pPr>
            <w:r>
              <w:rPr>
                <w:color w:val="000000"/>
                <w:sz w:val="22"/>
                <w:szCs w:val="22"/>
              </w:rPr>
              <w:t>Engineering Surveyor (1no)</w:t>
            </w:r>
          </w:p>
        </w:tc>
        <w:tc>
          <w:tcPr>
            <w:tcW w:w="3419" w:type="dxa"/>
            <w:shd w:val="clear" w:color="auto" w:fill="auto"/>
            <w:vAlign w:val="center"/>
          </w:tcPr>
          <w:p w14:paraId="2FD1995F">
            <w:pPr>
              <w:rPr>
                <w:color w:val="000000"/>
                <w:sz w:val="22"/>
                <w:szCs w:val="22"/>
              </w:rPr>
            </w:pPr>
            <w:r>
              <w:rPr>
                <w:color w:val="000000"/>
                <w:sz w:val="22"/>
                <w:szCs w:val="22"/>
              </w:rPr>
              <w:t>BSc. Surveying or Higher National Diploma or equivalent. A minimum of 10 years of professional experience in engineering surveying, including at least 5 years of experience in a similar role within the construction or wastewater engineering sectors. Proficiency in using advanced surveying equipment and software, such as GPS, total stations, and CAD applications, to conduct site surveys, topographical assessments, and construction layout activities.</w:t>
            </w:r>
          </w:p>
        </w:tc>
        <w:tc>
          <w:tcPr>
            <w:tcW w:w="1821" w:type="dxa"/>
            <w:shd w:val="clear" w:color="auto" w:fill="auto"/>
            <w:vAlign w:val="center"/>
          </w:tcPr>
          <w:p w14:paraId="16F59613">
            <w:pPr>
              <w:jc w:val="center"/>
              <w:rPr>
                <w:color w:val="000000"/>
                <w:sz w:val="22"/>
                <w:szCs w:val="22"/>
              </w:rPr>
            </w:pPr>
            <w:r>
              <w:rPr>
                <w:color w:val="000000"/>
                <w:sz w:val="22"/>
                <w:szCs w:val="22"/>
              </w:rPr>
              <w:t>10</w:t>
            </w:r>
          </w:p>
        </w:tc>
        <w:tc>
          <w:tcPr>
            <w:tcW w:w="1564" w:type="dxa"/>
            <w:shd w:val="clear" w:color="auto" w:fill="auto"/>
            <w:vAlign w:val="center"/>
          </w:tcPr>
          <w:p w14:paraId="668B1218">
            <w:pPr>
              <w:jc w:val="center"/>
              <w:rPr>
                <w:color w:val="000000"/>
                <w:sz w:val="22"/>
                <w:szCs w:val="22"/>
              </w:rPr>
            </w:pPr>
            <w:r>
              <w:rPr>
                <w:color w:val="000000"/>
                <w:sz w:val="22"/>
                <w:szCs w:val="22"/>
              </w:rPr>
              <w:t>5</w:t>
            </w:r>
          </w:p>
        </w:tc>
      </w:tr>
      <w:tr w14:paraId="714C78E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76" w:hRule="atLeast"/>
        </w:trPr>
        <w:tc>
          <w:tcPr>
            <w:tcW w:w="540" w:type="dxa"/>
            <w:shd w:val="clear" w:color="auto" w:fill="auto"/>
            <w:vAlign w:val="center"/>
          </w:tcPr>
          <w:p w14:paraId="015CEAC7">
            <w:pPr>
              <w:jc w:val="center"/>
              <w:rPr>
                <w:color w:val="000000"/>
                <w:sz w:val="22"/>
                <w:szCs w:val="22"/>
              </w:rPr>
            </w:pPr>
            <w:r>
              <w:rPr>
                <w:color w:val="000000"/>
                <w:sz w:val="22"/>
                <w:szCs w:val="22"/>
              </w:rPr>
              <w:t>5</w:t>
            </w:r>
          </w:p>
        </w:tc>
        <w:tc>
          <w:tcPr>
            <w:tcW w:w="3298" w:type="dxa"/>
            <w:shd w:val="clear" w:color="auto" w:fill="auto"/>
            <w:vAlign w:val="center"/>
          </w:tcPr>
          <w:p w14:paraId="64A77C61">
            <w:pPr>
              <w:rPr>
                <w:color w:val="000000"/>
                <w:sz w:val="22"/>
                <w:szCs w:val="22"/>
              </w:rPr>
            </w:pPr>
            <w:r>
              <w:rPr>
                <w:color w:val="000000"/>
                <w:sz w:val="22"/>
                <w:szCs w:val="22"/>
              </w:rPr>
              <w:t>Foremen Civil works (2Nr)</w:t>
            </w:r>
          </w:p>
        </w:tc>
        <w:tc>
          <w:tcPr>
            <w:tcW w:w="3419" w:type="dxa"/>
            <w:shd w:val="clear" w:color="auto" w:fill="auto"/>
            <w:vAlign w:val="center"/>
          </w:tcPr>
          <w:p w14:paraId="085B8446">
            <w:pPr>
              <w:rPr>
                <w:color w:val="000000"/>
                <w:sz w:val="22"/>
                <w:szCs w:val="22"/>
              </w:rPr>
            </w:pPr>
            <w:r>
              <w:rPr>
                <w:color w:val="000000"/>
                <w:sz w:val="22"/>
                <w:szCs w:val="22"/>
              </w:rPr>
              <w:t>Diploma in Civil Engineering/ Water Engineering, or an equivalent qualification. A minimum of 7 years’ experience in construction supervision, with at least 3 years' experience in a similar supervisory role focused on wastewater engineering projects, particularly in the construction of treatment facilities like faecal sludge treatment plants. Experience in at least two previous assignments in a similar capacity.</w:t>
            </w:r>
          </w:p>
        </w:tc>
        <w:tc>
          <w:tcPr>
            <w:tcW w:w="1821" w:type="dxa"/>
            <w:shd w:val="clear" w:color="auto" w:fill="auto"/>
            <w:vAlign w:val="center"/>
          </w:tcPr>
          <w:p w14:paraId="39EE20DC">
            <w:pPr>
              <w:jc w:val="center"/>
              <w:rPr>
                <w:color w:val="000000"/>
                <w:sz w:val="22"/>
                <w:szCs w:val="22"/>
              </w:rPr>
            </w:pPr>
            <w:r>
              <w:rPr>
                <w:color w:val="000000"/>
                <w:sz w:val="22"/>
                <w:szCs w:val="22"/>
              </w:rPr>
              <w:t>7</w:t>
            </w:r>
          </w:p>
        </w:tc>
        <w:tc>
          <w:tcPr>
            <w:tcW w:w="1564" w:type="dxa"/>
            <w:shd w:val="clear" w:color="auto" w:fill="auto"/>
            <w:vAlign w:val="center"/>
          </w:tcPr>
          <w:p w14:paraId="7F6F70EF">
            <w:pPr>
              <w:jc w:val="center"/>
              <w:rPr>
                <w:color w:val="000000"/>
                <w:sz w:val="22"/>
                <w:szCs w:val="22"/>
              </w:rPr>
            </w:pPr>
            <w:r>
              <w:rPr>
                <w:color w:val="000000"/>
                <w:sz w:val="22"/>
                <w:szCs w:val="22"/>
              </w:rPr>
              <w:t>3</w:t>
            </w:r>
          </w:p>
        </w:tc>
      </w:tr>
      <w:tr w14:paraId="7C65FB5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0" w:hRule="atLeast"/>
        </w:trPr>
        <w:tc>
          <w:tcPr>
            <w:tcW w:w="540" w:type="dxa"/>
            <w:vMerge w:val="restart"/>
            <w:shd w:val="clear" w:color="auto" w:fill="auto"/>
            <w:vAlign w:val="center"/>
          </w:tcPr>
          <w:p w14:paraId="1DC84942">
            <w:pPr>
              <w:jc w:val="center"/>
              <w:rPr>
                <w:color w:val="000000"/>
                <w:sz w:val="22"/>
                <w:szCs w:val="22"/>
              </w:rPr>
            </w:pPr>
            <w:r>
              <w:rPr>
                <w:color w:val="000000"/>
                <w:sz w:val="22"/>
                <w:szCs w:val="22"/>
              </w:rPr>
              <w:t>6</w:t>
            </w:r>
          </w:p>
        </w:tc>
        <w:tc>
          <w:tcPr>
            <w:tcW w:w="3298" w:type="dxa"/>
            <w:vMerge w:val="restart"/>
            <w:shd w:val="clear" w:color="auto" w:fill="auto"/>
            <w:vAlign w:val="center"/>
          </w:tcPr>
          <w:p w14:paraId="7A9F8364">
            <w:pPr>
              <w:rPr>
                <w:color w:val="000000"/>
                <w:sz w:val="22"/>
                <w:szCs w:val="22"/>
              </w:rPr>
            </w:pPr>
            <w:r>
              <w:rPr>
                <w:color w:val="000000"/>
                <w:sz w:val="22"/>
                <w:szCs w:val="22"/>
              </w:rPr>
              <w:t>Environmental Safeguard</w:t>
            </w:r>
          </w:p>
          <w:p w14:paraId="27AF3A20">
            <w:pPr>
              <w:rPr>
                <w:color w:val="000000"/>
                <w:sz w:val="22"/>
                <w:szCs w:val="22"/>
              </w:rPr>
            </w:pPr>
            <w:r>
              <w:rPr>
                <w:color w:val="000000"/>
                <w:sz w:val="22"/>
                <w:szCs w:val="22"/>
              </w:rPr>
              <w:t>Specialist (1no.)</w:t>
            </w:r>
          </w:p>
        </w:tc>
        <w:tc>
          <w:tcPr>
            <w:tcW w:w="3419" w:type="dxa"/>
            <w:shd w:val="clear" w:color="auto" w:fill="auto"/>
            <w:vAlign w:val="center"/>
          </w:tcPr>
          <w:p w14:paraId="1119B6A0">
            <w:pPr>
              <w:rPr>
                <w:color w:val="000000"/>
                <w:sz w:val="22"/>
                <w:szCs w:val="22"/>
              </w:rPr>
            </w:pPr>
            <w:r>
              <w:rPr>
                <w:color w:val="000000"/>
                <w:sz w:val="22"/>
                <w:szCs w:val="22"/>
              </w:rPr>
              <w:t>Degree in Environmental Science, Environmental Management, Environmental Impact Assessment (EIA), Environmental Planning, or a related field. A minimum of 7 years of professional experience in planning and conducting Environmental Impact Assessments and related environmental studies, including at least 3 years of experience in a similar role. Registered NEMA Lead Expert or hold a similar qualification in a relevant field. Proven expertise in environmental management practices, regulatory compliance, and stakeholder engagement in relation to environmental projects is essential.</w:t>
            </w:r>
          </w:p>
          <w:p w14:paraId="59CB54A7">
            <w:pPr>
              <w:rPr>
                <w:color w:val="000000"/>
                <w:sz w:val="22"/>
                <w:szCs w:val="22"/>
              </w:rPr>
            </w:pPr>
          </w:p>
        </w:tc>
        <w:tc>
          <w:tcPr>
            <w:tcW w:w="1821" w:type="dxa"/>
            <w:vMerge w:val="restart"/>
            <w:shd w:val="clear" w:color="auto" w:fill="auto"/>
            <w:vAlign w:val="center"/>
          </w:tcPr>
          <w:p w14:paraId="687B7A29">
            <w:pPr>
              <w:jc w:val="center"/>
              <w:rPr>
                <w:color w:val="000000"/>
                <w:sz w:val="22"/>
                <w:szCs w:val="22"/>
              </w:rPr>
            </w:pPr>
            <w:r>
              <w:rPr>
                <w:color w:val="000000"/>
                <w:sz w:val="22"/>
                <w:szCs w:val="22"/>
              </w:rPr>
              <w:t>7</w:t>
            </w:r>
          </w:p>
        </w:tc>
        <w:tc>
          <w:tcPr>
            <w:tcW w:w="1564" w:type="dxa"/>
            <w:vMerge w:val="restart"/>
            <w:shd w:val="clear" w:color="auto" w:fill="auto"/>
            <w:vAlign w:val="center"/>
          </w:tcPr>
          <w:p w14:paraId="640A5B85">
            <w:pPr>
              <w:jc w:val="center"/>
              <w:rPr>
                <w:color w:val="000000"/>
                <w:sz w:val="22"/>
                <w:szCs w:val="22"/>
              </w:rPr>
            </w:pPr>
            <w:r>
              <w:rPr>
                <w:color w:val="000000"/>
                <w:sz w:val="22"/>
                <w:szCs w:val="22"/>
              </w:rPr>
              <w:t>3</w:t>
            </w:r>
          </w:p>
        </w:tc>
      </w:tr>
      <w:tr w14:paraId="7A713D5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5" w:hRule="atLeast"/>
        </w:trPr>
        <w:tc>
          <w:tcPr>
            <w:tcW w:w="540" w:type="dxa"/>
            <w:vMerge w:val="continue"/>
            <w:vAlign w:val="center"/>
          </w:tcPr>
          <w:p w14:paraId="6F684CBC">
            <w:pPr>
              <w:rPr>
                <w:color w:val="000000"/>
                <w:sz w:val="22"/>
                <w:szCs w:val="22"/>
              </w:rPr>
            </w:pPr>
          </w:p>
        </w:tc>
        <w:tc>
          <w:tcPr>
            <w:tcW w:w="3298" w:type="dxa"/>
            <w:vMerge w:val="continue"/>
            <w:vAlign w:val="center"/>
          </w:tcPr>
          <w:p w14:paraId="0F54CC8C">
            <w:pPr>
              <w:rPr>
                <w:color w:val="000000"/>
                <w:sz w:val="22"/>
                <w:szCs w:val="22"/>
              </w:rPr>
            </w:pPr>
          </w:p>
        </w:tc>
        <w:tc>
          <w:tcPr>
            <w:tcW w:w="3419" w:type="dxa"/>
            <w:shd w:val="clear" w:color="auto" w:fill="auto"/>
            <w:vAlign w:val="center"/>
          </w:tcPr>
          <w:p w14:paraId="4337E143">
            <w:pPr>
              <w:rPr>
                <w:color w:val="000000"/>
                <w:sz w:val="22"/>
                <w:szCs w:val="22"/>
              </w:rPr>
            </w:pPr>
          </w:p>
        </w:tc>
        <w:tc>
          <w:tcPr>
            <w:tcW w:w="1821" w:type="dxa"/>
            <w:vMerge w:val="continue"/>
            <w:vAlign w:val="center"/>
          </w:tcPr>
          <w:p w14:paraId="51C9AF57">
            <w:pPr>
              <w:rPr>
                <w:color w:val="000000"/>
                <w:sz w:val="22"/>
                <w:szCs w:val="22"/>
              </w:rPr>
            </w:pPr>
          </w:p>
        </w:tc>
        <w:tc>
          <w:tcPr>
            <w:tcW w:w="1564" w:type="dxa"/>
            <w:vMerge w:val="continue"/>
            <w:vAlign w:val="center"/>
          </w:tcPr>
          <w:p w14:paraId="41587AF1">
            <w:pPr>
              <w:rPr>
                <w:color w:val="000000"/>
                <w:sz w:val="22"/>
                <w:szCs w:val="22"/>
              </w:rPr>
            </w:pPr>
          </w:p>
        </w:tc>
      </w:tr>
      <w:tr w14:paraId="1C0C718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5" w:hRule="atLeast"/>
        </w:trPr>
        <w:tc>
          <w:tcPr>
            <w:tcW w:w="540" w:type="dxa"/>
            <w:shd w:val="clear" w:color="auto" w:fill="auto"/>
            <w:vAlign w:val="center"/>
          </w:tcPr>
          <w:p w14:paraId="654A87D2">
            <w:pPr>
              <w:jc w:val="center"/>
              <w:rPr>
                <w:color w:val="000000"/>
                <w:sz w:val="22"/>
                <w:szCs w:val="22"/>
              </w:rPr>
            </w:pPr>
            <w:r>
              <w:rPr>
                <w:color w:val="000000"/>
                <w:sz w:val="22"/>
                <w:szCs w:val="22"/>
              </w:rPr>
              <w:t>7</w:t>
            </w:r>
          </w:p>
        </w:tc>
        <w:tc>
          <w:tcPr>
            <w:tcW w:w="3298" w:type="dxa"/>
            <w:shd w:val="clear" w:color="auto" w:fill="auto"/>
            <w:vAlign w:val="center"/>
          </w:tcPr>
          <w:p w14:paraId="77496811">
            <w:pPr>
              <w:rPr>
                <w:color w:val="000000"/>
                <w:sz w:val="22"/>
                <w:szCs w:val="22"/>
              </w:rPr>
            </w:pPr>
            <w:r>
              <w:rPr>
                <w:color w:val="000000"/>
                <w:sz w:val="22"/>
                <w:szCs w:val="22"/>
              </w:rPr>
              <w:t>Health &amp; Safety Specialist (1no.)</w:t>
            </w:r>
          </w:p>
        </w:tc>
        <w:tc>
          <w:tcPr>
            <w:tcW w:w="3419" w:type="dxa"/>
            <w:shd w:val="clear" w:color="auto" w:fill="auto"/>
            <w:vAlign w:val="center"/>
          </w:tcPr>
          <w:p w14:paraId="562A39C7">
            <w:pPr>
              <w:rPr>
                <w:color w:val="000000"/>
                <w:sz w:val="22"/>
                <w:szCs w:val="22"/>
              </w:rPr>
            </w:pPr>
            <w:r>
              <w:rPr>
                <w:color w:val="000000"/>
                <w:sz w:val="22"/>
                <w:szCs w:val="22"/>
              </w:rPr>
              <w:t>Degree in Occupational Health and Safety, Environmental Health, or a related field. A minimum of 7 years of professional experience in developing, implementing, and managing health and safety programs, with at least 3 years of experience in a similar role within the construction or wastewater engineering sectors in Kenya. Knowledgeable about local health and safety regulations and standards set by the Occupational Safety and Health Administration (OSHA) in Kenya, as well as risk assessment methodologies and safety management systems. Certification in health and safety, such as NEBOSH or IOSH, is highly desirable. Proven experience in conducting safety audits, training staff on safety practices, and promoting a culture of safety on site is essential.</w:t>
            </w:r>
          </w:p>
        </w:tc>
        <w:tc>
          <w:tcPr>
            <w:tcW w:w="1821" w:type="dxa"/>
            <w:shd w:val="clear" w:color="auto" w:fill="auto"/>
            <w:vAlign w:val="center"/>
          </w:tcPr>
          <w:p w14:paraId="2CF76CD3">
            <w:pPr>
              <w:jc w:val="center"/>
              <w:rPr>
                <w:color w:val="000000"/>
                <w:sz w:val="22"/>
                <w:szCs w:val="22"/>
              </w:rPr>
            </w:pPr>
            <w:r>
              <w:rPr>
                <w:color w:val="000000"/>
                <w:sz w:val="22"/>
                <w:szCs w:val="22"/>
              </w:rPr>
              <w:t>7</w:t>
            </w:r>
          </w:p>
        </w:tc>
        <w:tc>
          <w:tcPr>
            <w:tcW w:w="1564" w:type="dxa"/>
            <w:shd w:val="clear" w:color="auto" w:fill="auto"/>
            <w:vAlign w:val="center"/>
          </w:tcPr>
          <w:p w14:paraId="2B1692DA">
            <w:pPr>
              <w:jc w:val="center"/>
              <w:rPr>
                <w:color w:val="000000"/>
                <w:sz w:val="22"/>
                <w:szCs w:val="22"/>
              </w:rPr>
            </w:pPr>
            <w:r>
              <w:rPr>
                <w:color w:val="000000"/>
                <w:sz w:val="22"/>
                <w:szCs w:val="22"/>
              </w:rPr>
              <w:t>3</w:t>
            </w:r>
          </w:p>
        </w:tc>
      </w:tr>
      <w:tr w14:paraId="5BE9E99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5" w:hRule="atLeast"/>
        </w:trPr>
        <w:tc>
          <w:tcPr>
            <w:tcW w:w="540" w:type="dxa"/>
            <w:shd w:val="clear" w:color="auto" w:fill="auto"/>
            <w:vAlign w:val="center"/>
          </w:tcPr>
          <w:p w14:paraId="200D5BED">
            <w:pPr>
              <w:jc w:val="center"/>
              <w:rPr>
                <w:color w:val="000000"/>
                <w:sz w:val="22"/>
                <w:szCs w:val="22"/>
              </w:rPr>
            </w:pPr>
          </w:p>
        </w:tc>
        <w:tc>
          <w:tcPr>
            <w:tcW w:w="3298" w:type="dxa"/>
            <w:shd w:val="clear" w:color="auto" w:fill="auto"/>
            <w:vAlign w:val="center"/>
          </w:tcPr>
          <w:p w14:paraId="3B8C5017">
            <w:pPr>
              <w:rPr>
                <w:color w:val="000000"/>
                <w:sz w:val="22"/>
                <w:szCs w:val="22"/>
              </w:rPr>
            </w:pPr>
            <w:r>
              <w:rPr>
                <w:rFonts w:ascii="Times-Roman" w:hAnsi="Times-Roman"/>
                <w:color w:val="000000"/>
                <w:sz w:val="22"/>
                <w:szCs w:val="22"/>
              </w:rPr>
              <w:t>Sociologist (1no.)</w:t>
            </w:r>
          </w:p>
        </w:tc>
        <w:tc>
          <w:tcPr>
            <w:tcW w:w="3419" w:type="dxa"/>
            <w:shd w:val="clear" w:color="auto" w:fill="auto"/>
            <w:vAlign w:val="center"/>
          </w:tcPr>
          <w:p w14:paraId="10E956A7">
            <w:pPr>
              <w:rPr>
                <w:color w:val="000000"/>
                <w:sz w:val="22"/>
                <w:szCs w:val="22"/>
              </w:rPr>
            </w:pPr>
            <w:r>
              <w:rPr>
                <w:rFonts w:ascii="Times-Roman" w:hAnsi="Times-Roman"/>
                <w:color w:val="000000"/>
                <w:sz w:val="22"/>
                <w:szCs w:val="22"/>
              </w:rPr>
              <w:t xml:space="preserve">Degree in Sociology / Community Development or equivalent. </w:t>
            </w:r>
            <w:r>
              <w:rPr>
                <w:color w:val="000000"/>
                <w:sz w:val="22"/>
                <w:szCs w:val="22"/>
              </w:rPr>
              <w:t>A minimum of 8 years of professional experience in planning, preparation and implementation of Construction specific Environmental and Social Management Plans (C-ESMMP).</w:t>
            </w:r>
          </w:p>
        </w:tc>
        <w:tc>
          <w:tcPr>
            <w:tcW w:w="1821" w:type="dxa"/>
            <w:shd w:val="clear" w:color="auto" w:fill="auto"/>
            <w:vAlign w:val="center"/>
          </w:tcPr>
          <w:p w14:paraId="62AE0567">
            <w:pPr>
              <w:jc w:val="center"/>
              <w:rPr>
                <w:color w:val="000000"/>
                <w:sz w:val="22"/>
                <w:szCs w:val="22"/>
              </w:rPr>
            </w:pPr>
            <w:r>
              <w:rPr>
                <w:color w:val="000000"/>
                <w:sz w:val="22"/>
                <w:szCs w:val="22"/>
              </w:rPr>
              <w:t>8</w:t>
            </w:r>
          </w:p>
        </w:tc>
        <w:tc>
          <w:tcPr>
            <w:tcW w:w="1564" w:type="dxa"/>
            <w:shd w:val="clear" w:color="auto" w:fill="auto"/>
            <w:vAlign w:val="center"/>
          </w:tcPr>
          <w:p w14:paraId="49123E39">
            <w:pPr>
              <w:jc w:val="center"/>
              <w:rPr>
                <w:color w:val="000000"/>
                <w:sz w:val="22"/>
                <w:szCs w:val="22"/>
              </w:rPr>
            </w:pPr>
            <w:r>
              <w:rPr>
                <w:color w:val="000000"/>
                <w:sz w:val="22"/>
                <w:szCs w:val="22"/>
              </w:rPr>
              <w:t>5</w:t>
            </w:r>
          </w:p>
        </w:tc>
      </w:tr>
      <w:tr w14:paraId="0DF0B6A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5" w:hRule="atLeast"/>
        </w:trPr>
        <w:tc>
          <w:tcPr>
            <w:tcW w:w="540" w:type="dxa"/>
            <w:shd w:val="clear" w:color="auto" w:fill="auto"/>
            <w:vAlign w:val="center"/>
          </w:tcPr>
          <w:p w14:paraId="7A2ED783">
            <w:pPr>
              <w:jc w:val="center"/>
              <w:rPr>
                <w:color w:val="000000"/>
                <w:sz w:val="22"/>
                <w:szCs w:val="22"/>
              </w:rPr>
            </w:pPr>
            <w:r>
              <w:rPr>
                <w:color w:val="000000"/>
                <w:sz w:val="22"/>
                <w:szCs w:val="22"/>
              </w:rPr>
              <w:t>8</w:t>
            </w:r>
          </w:p>
        </w:tc>
        <w:tc>
          <w:tcPr>
            <w:tcW w:w="3298" w:type="dxa"/>
            <w:shd w:val="clear" w:color="auto" w:fill="auto"/>
            <w:vAlign w:val="center"/>
          </w:tcPr>
          <w:p w14:paraId="3DC8DD34">
            <w:pPr>
              <w:rPr>
                <w:color w:val="000000"/>
                <w:sz w:val="22"/>
                <w:szCs w:val="22"/>
              </w:rPr>
            </w:pPr>
            <w:r>
              <w:rPr>
                <w:color w:val="000000"/>
                <w:sz w:val="22"/>
                <w:szCs w:val="22"/>
              </w:rPr>
              <w:t>Artisans 4 No. (electrical technical, plumber/pipe fitter, mason, steel fixer)</w:t>
            </w:r>
          </w:p>
          <w:p w14:paraId="720EB54C">
            <w:pPr>
              <w:rPr>
                <w:color w:val="000000"/>
                <w:sz w:val="22"/>
                <w:szCs w:val="22"/>
              </w:rPr>
            </w:pPr>
          </w:p>
        </w:tc>
        <w:tc>
          <w:tcPr>
            <w:tcW w:w="3419" w:type="dxa"/>
            <w:shd w:val="clear" w:color="auto" w:fill="auto"/>
            <w:vAlign w:val="center"/>
          </w:tcPr>
          <w:p w14:paraId="3E9E3DB8">
            <w:pPr>
              <w:rPr>
                <w:color w:val="000000"/>
                <w:sz w:val="22"/>
                <w:szCs w:val="22"/>
              </w:rPr>
            </w:pPr>
            <w:r>
              <w:rPr>
                <w:sz w:val="22"/>
                <w:szCs w:val="22"/>
              </w:rPr>
              <w:t>Government Trade Test Grade 1.</w:t>
            </w:r>
          </w:p>
          <w:p w14:paraId="394E166D">
            <w:pPr>
              <w:rPr>
                <w:b/>
                <w:bCs/>
                <w:color w:val="000000"/>
                <w:sz w:val="22"/>
                <w:szCs w:val="22"/>
              </w:rPr>
            </w:pPr>
          </w:p>
        </w:tc>
        <w:tc>
          <w:tcPr>
            <w:tcW w:w="1821" w:type="dxa"/>
            <w:shd w:val="clear" w:color="auto" w:fill="auto"/>
            <w:vAlign w:val="center"/>
          </w:tcPr>
          <w:p w14:paraId="03BF2A25">
            <w:pPr>
              <w:jc w:val="center"/>
              <w:rPr>
                <w:color w:val="000000"/>
                <w:sz w:val="22"/>
                <w:szCs w:val="22"/>
              </w:rPr>
            </w:pPr>
            <w:r>
              <w:rPr>
                <w:color w:val="000000"/>
                <w:sz w:val="22"/>
                <w:szCs w:val="22"/>
              </w:rPr>
              <w:t>7</w:t>
            </w:r>
          </w:p>
        </w:tc>
        <w:tc>
          <w:tcPr>
            <w:tcW w:w="1564" w:type="dxa"/>
            <w:shd w:val="clear" w:color="auto" w:fill="auto"/>
            <w:vAlign w:val="center"/>
          </w:tcPr>
          <w:p w14:paraId="57C0790C">
            <w:pPr>
              <w:jc w:val="center"/>
              <w:rPr>
                <w:color w:val="000000"/>
                <w:sz w:val="22"/>
                <w:szCs w:val="22"/>
              </w:rPr>
            </w:pPr>
            <w:r>
              <w:rPr>
                <w:color w:val="000000"/>
                <w:sz w:val="22"/>
                <w:szCs w:val="22"/>
              </w:rPr>
              <w:t>3</w:t>
            </w:r>
          </w:p>
        </w:tc>
      </w:tr>
    </w:tbl>
    <w:p w14:paraId="6FEAC7B7">
      <w:pPr>
        <w:pStyle w:val="150"/>
      </w:pPr>
      <w:r>
        <w:br w:type="page"/>
      </w:r>
      <w:r>
        <w:t>6.</w:t>
      </w:r>
      <w:r>
        <w:tab/>
      </w:r>
      <w:r>
        <w:t>Equipment</w:t>
      </w:r>
      <w:bookmarkEnd w:id="390"/>
    </w:p>
    <w:p w14:paraId="1CFCB630">
      <w:pPr>
        <w:tabs>
          <w:tab w:val="right" w:pos="7254"/>
        </w:tabs>
        <w:spacing w:after="200"/>
        <w:ind w:left="720"/>
        <w:rPr>
          <w:iCs/>
        </w:rPr>
      </w:pPr>
      <w:r>
        <w:rPr>
          <w:iCs/>
        </w:rPr>
        <w:t>The Bidder must demonstrate that it will have access to the key Contractor’s equipment listed hereafter:</w:t>
      </w:r>
    </w:p>
    <w:p w14:paraId="7FB4F6E2">
      <w:pPr>
        <w:pStyle w:val="150"/>
      </w:pPr>
      <w:bookmarkStart w:id="391" w:name="_Toc38527256"/>
      <w:r>
        <w:t>6.</w:t>
      </w:r>
      <w:r>
        <w:tab/>
      </w:r>
      <w:r>
        <w:t>Equipment</w:t>
      </w:r>
      <w:bookmarkEnd w:id="391"/>
    </w:p>
    <w:p w14:paraId="5C703D5A">
      <w:pPr>
        <w:tabs>
          <w:tab w:val="right" w:pos="7254"/>
        </w:tabs>
        <w:spacing w:after="200"/>
        <w:ind w:left="720"/>
        <w:rPr>
          <w:iCs/>
        </w:rPr>
      </w:pPr>
      <w:r>
        <w:rPr>
          <w:iCs/>
        </w:rPr>
        <w:t xml:space="preserve">The Bidder must demonstrate </w:t>
      </w:r>
      <w:r>
        <w:rPr>
          <w:rFonts w:hint="default"/>
          <w:iCs/>
          <w:lang w:val="en-US"/>
        </w:rPr>
        <w:t xml:space="preserve">By Show Of Registration Document </w:t>
      </w:r>
      <w:r>
        <w:rPr>
          <w:rFonts w:hint="default"/>
          <w:b/>
          <w:bCs/>
          <w:iCs/>
          <w:lang w:val="en-US"/>
        </w:rPr>
        <w:t>(Logbook of the Company  and Ownership D</w:t>
      </w:r>
      <w:r>
        <w:rPr>
          <w:rFonts w:hint="default"/>
          <w:b/>
          <w:bCs/>
          <w:iCs/>
          <w:lang w:val="en-US"/>
        </w:rPr>
        <w:tab/>
      </w:r>
      <w:r>
        <w:rPr>
          <w:rFonts w:hint="default"/>
          <w:b/>
          <w:bCs/>
          <w:iCs/>
          <w:lang w:val="en-US"/>
        </w:rPr>
        <w:t>ocument)</w:t>
      </w:r>
      <w:r>
        <w:rPr>
          <w:rFonts w:hint="default"/>
          <w:iCs/>
          <w:lang w:val="en-US"/>
        </w:rPr>
        <w:t xml:space="preserve"> </w:t>
      </w:r>
      <w:r>
        <w:rPr>
          <w:iCs/>
        </w:rPr>
        <w:t>the key Contractor’s equipment listed hereafter:</w:t>
      </w:r>
    </w:p>
    <w:tbl>
      <w:tblPr>
        <w:tblStyle w:val="12"/>
        <w:tblW w:w="0" w:type="auto"/>
        <w:tblInd w:w="9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11"/>
        <w:gridCol w:w="5666"/>
        <w:gridCol w:w="1875"/>
      </w:tblGrid>
      <w:tr w14:paraId="211103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58EE8C45">
            <w:pPr>
              <w:jc w:val="center"/>
              <w:rPr>
                <w:b/>
                <w:bCs/>
                <w:iCs/>
                <w:sz w:val="20"/>
                <w:szCs w:val="20"/>
              </w:rPr>
            </w:pPr>
            <w:r>
              <w:rPr>
                <w:b/>
                <w:bCs/>
                <w:iCs/>
                <w:sz w:val="20"/>
                <w:szCs w:val="20"/>
              </w:rPr>
              <w:t>No.</w:t>
            </w:r>
          </w:p>
        </w:tc>
        <w:tc>
          <w:tcPr>
            <w:tcW w:w="5666" w:type="dxa"/>
          </w:tcPr>
          <w:p w14:paraId="52882675">
            <w:pPr>
              <w:jc w:val="center"/>
              <w:rPr>
                <w:b/>
                <w:bCs/>
                <w:iCs/>
                <w:sz w:val="20"/>
                <w:szCs w:val="20"/>
              </w:rPr>
            </w:pPr>
            <w:r>
              <w:rPr>
                <w:b/>
                <w:bCs/>
                <w:iCs/>
                <w:sz w:val="20"/>
                <w:szCs w:val="20"/>
              </w:rPr>
              <w:t>Equipment Type and Characteristics</w:t>
            </w:r>
          </w:p>
        </w:tc>
        <w:tc>
          <w:tcPr>
            <w:tcW w:w="1875" w:type="dxa"/>
          </w:tcPr>
          <w:p w14:paraId="4C3825DA">
            <w:pPr>
              <w:jc w:val="center"/>
              <w:rPr>
                <w:b/>
                <w:bCs/>
                <w:iCs/>
                <w:sz w:val="20"/>
                <w:szCs w:val="20"/>
              </w:rPr>
            </w:pPr>
            <w:r>
              <w:rPr>
                <w:b/>
                <w:bCs/>
                <w:iCs/>
                <w:sz w:val="20"/>
                <w:szCs w:val="20"/>
              </w:rPr>
              <w:t>Minimum Number required</w:t>
            </w:r>
          </w:p>
        </w:tc>
      </w:tr>
      <w:tr w14:paraId="4CC4B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24C99147">
            <w:pPr>
              <w:pStyle w:val="30"/>
              <w:pBdr>
                <w:bottom w:val="none" w:color="auto" w:sz="0" w:space="0"/>
              </w:pBdr>
              <w:tabs>
                <w:tab w:val="clear" w:pos="9000"/>
              </w:tabs>
              <w:jc w:val="center"/>
              <w:rPr>
                <w:rFonts w:ascii="Times New Roman" w:hAnsi="Times New Roman"/>
                <w:lang w:val="en-US"/>
              </w:rPr>
            </w:pPr>
            <w:r>
              <w:rPr>
                <w:rFonts w:ascii="Times New Roman" w:hAnsi="Times New Roman"/>
                <w:lang w:val="en-US"/>
              </w:rPr>
              <w:t>1</w:t>
            </w:r>
          </w:p>
        </w:tc>
        <w:tc>
          <w:tcPr>
            <w:tcW w:w="5666" w:type="dxa"/>
          </w:tcPr>
          <w:p w14:paraId="63D710EE">
            <w:pPr>
              <w:rPr>
                <w:sz w:val="20"/>
                <w:szCs w:val="20"/>
              </w:rPr>
            </w:pPr>
            <w:r>
              <w:rPr>
                <w:spacing w:val="-3"/>
                <w:sz w:val="20"/>
              </w:rPr>
              <w:t>Excavator with 0.75m</w:t>
            </w:r>
            <w:r>
              <w:rPr>
                <w:spacing w:val="-3"/>
                <w:sz w:val="20"/>
                <w:vertAlign w:val="superscript"/>
              </w:rPr>
              <w:t>3</w:t>
            </w:r>
            <w:r>
              <w:rPr>
                <w:spacing w:val="-3"/>
                <w:sz w:val="20"/>
              </w:rPr>
              <w:t xml:space="preserve"> Bucket </w:t>
            </w:r>
          </w:p>
        </w:tc>
        <w:tc>
          <w:tcPr>
            <w:tcW w:w="1875" w:type="dxa"/>
          </w:tcPr>
          <w:p w14:paraId="4CB166E2">
            <w:pPr>
              <w:jc w:val="center"/>
              <w:rPr>
                <w:iCs/>
                <w:sz w:val="20"/>
                <w:szCs w:val="20"/>
              </w:rPr>
            </w:pPr>
            <w:r>
              <w:rPr>
                <w:iCs/>
                <w:sz w:val="20"/>
                <w:szCs w:val="20"/>
              </w:rPr>
              <w:t>1</w:t>
            </w:r>
          </w:p>
        </w:tc>
      </w:tr>
      <w:tr w14:paraId="13D65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32F62B37">
            <w:pPr>
              <w:pStyle w:val="30"/>
              <w:pBdr>
                <w:bottom w:val="none" w:color="auto" w:sz="0" w:space="0"/>
              </w:pBdr>
              <w:tabs>
                <w:tab w:val="clear" w:pos="9000"/>
              </w:tabs>
              <w:jc w:val="center"/>
              <w:rPr>
                <w:rFonts w:ascii="Times New Roman" w:hAnsi="Times New Roman"/>
                <w:iCs/>
                <w:lang w:val="en-US" w:eastAsia="en-US"/>
              </w:rPr>
            </w:pPr>
            <w:r>
              <w:rPr>
                <w:rFonts w:ascii="Times New Roman" w:hAnsi="Times New Roman"/>
                <w:iCs/>
                <w:lang w:val="en-US"/>
              </w:rPr>
              <w:t>2</w:t>
            </w:r>
          </w:p>
        </w:tc>
        <w:tc>
          <w:tcPr>
            <w:tcW w:w="5666" w:type="dxa"/>
          </w:tcPr>
          <w:p w14:paraId="28E4BB64">
            <w:pPr>
              <w:rPr>
                <w:rFonts w:ascii="Arial" w:hAnsi="Arial" w:cs="Arial"/>
                <w:iCs/>
                <w:sz w:val="20"/>
                <w:szCs w:val="20"/>
              </w:rPr>
            </w:pPr>
            <w:r>
              <w:rPr>
                <w:sz w:val="20"/>
                <w:szCs w:val="20"/>
              </w:rPr>
              <w:t>Back Hoe Excavators</w:t>
            </w:r>
          </w:p>
        </w:tc>
        <w:tc>
          <w:tcPr>
            <w:tcW w:w="1875" w:type="dxa"/>
          </w:tcPr>
          <w:p w14:paraId="69F5C012">
            <w:pPr>
              <w:jc w:val="center"/>
              <w:rPr>
                <w:iCs/>
                <w:sz w:val="20"/>
                <w:szCs w:val="20"/>
              </w:rPr>
            </w:pPr>
            <w:r>
              <w:rPr>
                <w:iCs/>
                <w:sz w:val="20"/>
                <w:szCs w:val="20"/>
              </w:rPr>
              <w:t>2</w:t>
            </w:r>
          </w:p>
        </w:tc>
      </w:tr>
      <w:tr w14:paraId="25BF4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21BDFA13">
            <w:pPr>
              <w:jc w:val="center"/>
              <w:rPr>
                <w:iCs/>
                <w:sz w:val="20"/>
                <w:szCs w:val="20"/>
              </w:rPr>
            </w:pPr>
            <w:r>
              <w:rPr>
                <w:iCs/>
                <w:sz w:val="20"/>
                <w:szCs w:val="20"/>
              </w:rPr>
              <w:t>3</w:t>
            </w:r>
          </w:p>
        </w:tc>
        <w:tc>
          <w:tcPr>
            <w:tcW w:w="5666" w:type="dxa"/>
          </w:tcPr>
          <w:p w14:paraId="102F5FA8">
            <w:pPr>
              <w:rPr>
                <w:rFonts w:ascii="Arial" w:hAnsi="Arial" w:cs="Arial"/>
                <w:iCs/>
                <w:sz w:val="20"/>
                <w:szCs w:val="20"/>
              </w:rPr>
            </w:pPr>
            <w:r>
              <w:rPr>
                <w:sz w:val="20"/>
                <w:szCs w:val="20"/>
              </w:rPr>
              <w:t>7 / 10 / 15-ton Tipper Lorries</w:t>
            </w:r>
          </w:p>
        </w:tc>
        <w:tc>
          <w:tcPr>
            <w:tcW w:w="1875" w:type="dxa"/>
          </w:tcPr>
          <w:p w14:paraId="04755EB7">
            <w:pPr>
              <w:jc w:val="center"/>
              <w:rPr>
                <w:iCs/>
                <w:sz w:val="20"/>
                <w:szCs w:val="20"/>
                <w:u w:val="single"/>
              </w:rPr>
            </w:pPr>
            <w:r>
              <w:rPr>
                <w:iCs/>
                <w:sz w:val="20"/>
                <w:szCs w:val="20"/>
              </w:rPr>
              <w:t>4</w:t>
            </w:r>
          </w:p>
        </w:tc>
      </w:tr>
      <w:tr w14:paraId="3DE7D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36DA2EF1">
            <w:pPr>
              <w:jc w:val="center"/>
              <w:rPr>
                <w:iCs/>
                <w:sz w:val="20"/>
                <w:szCs w:val="20"/>
              </w:rPr>
            </w:pPr>
            <w:r>
              <w:rPr>
                <w:iCs/>
                <w:sz w:val="20"/>
                <w:szCs w:val="20"/>
              </w:rPr>
              <w:t>4</w:t>
            </w:r>
          </w:p>
        </w:tc>
        <w:tc>
          <w:tcPr>
            <w:tcW w:w="5666" w:type="dxa"/>
          </w:tcPr>
          <w:p w14:paraId="6B47B029">
            <w:pPr>
              <w:rPr>
                <w:rFonts w:ascii="Arial" w:hAnsi="Arial" w:cs="Arial"/>
                <w:iCs/>
                <w:sz w:val="20"/>
                <w:szCs w:val="20"/>
              </w:rPr>
            </w:pPr>
            <w:r>
              <w:rPr>
                <w:sz w:val="20"/>
                <w:szCs w:val="20"/>
              </w:rPr>
              <w:t>Pick-Ups – 1 Ton</w:t>
            </w:r>
          </w:p>
        </w:tc>
        <w:tc>
          <w:tcPr>
            <w:tcW w:w="1875" w:type="dxa"/>
          </w:tcPr>
          <w:p w14:paraId="383E0237">
            <w:pPr>
              <w:jc w:val="center"/>
              <w:rPr>
                <w:iCs/>
                <w:sz w:val="20"/>
                <w:szCs w:val="20"/>
                <w:u w:val="single"/>
              </w:rPr>
            </w:pPr>
            <w:r>
              <w:rPr>
                <w:iCs/>
                <w:sz w:val="20"/>
                <w:szCs w:val="20"/>
              </w:rPr>
              <w:t>2</w:t>
            </w:r>
          </w:p>
        </w:tc>
      </w:tr>
      <w:tr w14:paraId="7848D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018035EE">
            <w:pPr>
              <w:jc w:val="center"/>
              <w:rPr>
                <w:iCs/>
                <w:sz w:val="20"/>
                <w:szCs w:val="20"/>
              </w:rPr>
            </w:pPr>
            <w:r>
              <w:rPr>
                <w:iCs/>
                <w:sz w:val="20"/>
                <w:szCs w:val="20"/>
              </w:rPr>
              <w:t>5</w:t>
            </w:r>
          </w:p>
        </w:tc>
        <w:tc>
          <w:tcPr>
            <w:tcW w:w="5666" w:type="dxa"/>
          </w:tcPr>
          <w:p w14:paraId="2EA1A3E2">
            <w:pPr>
              <w:rPr>
                <w:rFonts w:ascii="Arial" w:hAnsi="Arial" w:cs="Arial"/>
                <w:iCs/>
                <w:sz w:val="20"/>
                <w:szCs w:val="20"/>
              </w:rPr>
            </w:pPr>
            <w:r>
              <w:rPr>
                <w:sz w:val="20"/>
                <w:szCs w:val="20"/>
              </w:rPr>
              <w:t>Concrete Mixers (capacity 0.3m</w:t>
            </w:r>
            <w:r>
              <w:rPr>
                <w:sz w:val="20"/>
                <w:szCs w:val="20"/>
                <w:vertAlign w:val="superscript"/>
              </w:rPr>
              <w:t>3</w:t>
            </w:r>
            <w:r>
              <w:rPr>
                <w:sz w:val="20"/>
                <w:szCs w:val="20"/>
              </w:rPr>
              <w:t xml:space="preserve"> to1m</w:t>
            </w:r>
            <w:r>
              <w:rPr>
                <w:sz w:val="20"/>
                <w:szCs w:val="20"/>
                <w:vertAlign w:val="superscript"/>
              </w:rPr>
              <w:t>3</w:t>
            </w:r>
            <w:r>
              <w:rPr>
                <w:sz w:val="20"/>
                <w:szCs w:val="20"/>
              </w:rPr>
              <w:t>), including batch weighing</w:t>
            </w:r>
          </w:p>
        </w:tc>
        <w:tc>
          <w:tcPr>
            <w:tcW w:w="1875" w:type="dxa"/>
          </w:tcPr>
          <w:p w14:paraId="0A18E654">
            <w:pPr>
              <w:jc w:val="center"/>
              <w:rPr>
                <w:iCs/>
                <w:sz w:val="20"/>
                <w:szCs w:val="20"/>
              </w:rPr>
            </w:pPr>
            <w:r>
              <w:rPr>
                <w:iCs/>
                <w:sz w:val="20"/>
                <w:szCs w:val="20"/>
              </w:rPr>
              <w:t>3</w:t>
            </w:r>
          </w:p>
        </w:tc>
      </w:tr>
      <w:tr w14:paraId="495C6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1EB6BFD2">
            <w:pPr>
              <w:jc w:val="center"/>
              <w:rPr>
                <w:iCs/>
                <w:sz w:val="20"/>
                <w:szCs w:val="20"/>
              </w:rPr>
            </w:pPr>
            <w:r>
              <w:rPr>
                <w:iCs/>
                <w:sz w:val="20"/>
                <w:szCs w:val="20"/>
              </w:rPr>
              <w:t>6</w:t>
            </w:r>
          </w:p>
        </w:tc>
        <w:tc>
          <w:tcPr>
            <w:tcW w:w="5666" w:type="dxa"/>
          </w:tcPr>
          <w:p w14:paraId="63E9A53E">
            <w:pPr>
              <w:rPr>
                <w:rFonts w:ascii="Arial" w:hAnsi="Arial" w:cs="Arial"/>
                <w:iCs/>
                <w:sz w:val="20"/>
                <w:szCs w:val="20"/>
              </w:rPr>
            </w:pPr>
            <w:r>
              <w:rPr>
                <w:sz w:val="20"/>
                <w:szCs w:val="20"/>
              </w:rPr>
              <w:t>Concrete Vibrators (40mm – 60mm)</w:t>
            </w:r>
          </w:p>
        </w:tc>
        <w:tc>
          <w:tcPr>
            <w:tcW w:w="1875" w:type="dxa"/>
          </w:tcPr>
          <w:p w14:paraId="15752015">
            <w:pPr>
              <w:jc w:val="center"/>
              <w:rPr>
                <w:iCs/>
                <w:sz w:val="20"/>
                <w:szCs w:val="20"/>
                <w:u w:val="single"/>
              </w:rPr>
            </w:pPr>
            <w:r>
              <w:rPr>
                <w:iCs/>
                <w:sz w:val="20"/>
                <w:szCs w:val="20"/>
              </w:rPr>
              <w:t>6</w:t>
            </w:r>
          </w:p>
        </w:tc>
      </w:tr>
      <w:tr w14:paraId="49C94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7A402241">
            <w:pPr>
              <w:jc w:val="center"/>
              <w:rPr>
                <w:iCs/>
                <w:sz w:val="20"/>
                <w:szCs w:val="20"/>
              </w:rPr>
            </w:pPr>
            <w:r>
              <w:rPr>
                <w:iCs/>
                <w:sz w:val="20"/>
                <w:szCs w:val="20"/>
              </w:rPr>
              <w:t>7</w:t>
            </w:r>
          </w:p>
        </w:tc>
        <w:tc>
          <w:tcPr>
            <w:tcW w:w="5666" w:type="dxa"/>
          </w:tcPr>
          <w:p w14:paraId="096F1B6A">
            <w:pPr>
              <w:rPr>
                <w:iCs/>
                <w:sz w:val="20"/>
                <w:szCs w:val="20"/>
              </w:rPr>
            </w:pPr>
            <w:r>
              <w:rPr>
                <w:sz w:val="20"/>
                <w:szCs w:val="20"/>
              </w:rPr>
              <w:t xml:space="preserve">Dozer </w:t>
            </w:r>
          </w:p>
        </w:tc>
        <w:tc>
          <w:tcPr>
            <w:tcW w:w="1875" w:type="dxa"/>
          </w:tcPr>
          <w:p w14:paraId="067B7878">
            <w:pPr>
              <w:jc w:val="center"/>
              <w:rPr>
                <w:iCs/>
                <w:sz w:val="20"/>
                <w:szCs w:val="20"/>
                <w:u w:val="single"/>
              </w:rPr>
            </w:pPr>
            <w:r>
              <w:rPr>
                <w:iCs/>
                <w:sz w:val="20"/>
                <w:szCs w:val="20"/>
              </w:rPr>
              <w:t>1</w:t>
            </w:r>
          </w:p>
        </w:tc>
      </w:tr>
      <w:tr w14:paraId="22E57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49CC6E4E">
            <w:pPr>
              <w:jc w:val="center"/>
              <w:rPr>
                <w:iCs/>
                <w:sz w:val="20"/>
                <w:szCs w:val="20"/>
              </w:rPr>
            </w:pPr>
            <w:r>
              <w:rPr>
                <w:iCs/>
                <w:sz w:val="20"/>
                <w:szCs w:val="20"/>
              </w:rPr>
              <w:t>8</w:t>
            </w:r>
          </w:p>
        </w:tc>
        <w:tc>
          <w:tcPr>
            <w:tcW w:w="5666" w:type="dxa"/>
          </w:tcPr>
          <w:p w14:paraId="42B0893E">
            <w:pPr>
              <w:rPr>
                <w:iCs/>
                <w:sz w:val="20"/>
                <w:szCs w:val="20"/>
              </w:rPr>
            </w:pPr>
            <w:r>
              <w:rPr>
                <w:sz w:val="20"/>
                <w:szCs w:val="20"/>
              </w:rPr>
              <w:t>Compressors (5,000 l/min)</w:t>
            </w:r>
          </w:p>
        </w:tc>
        <w:tc>
          <w:tcPr>
            <w:tcW w:w="1875" w:type="dxa"/>
          </w:tcPr>
          <w:p w14:paraId="098DE060">
            <w:pPr>
              <w:jc w:val="center"/>
              <w:rPr>
                <w:iCs/>
                <w:sz w:val="20"/>
                <w:szCs w:val="20"/>
                <w:u w:val="single"/>
              </w:rPr>
            </w:pPr>
            <w:r>
              <w:rPr>
                <w:iCs/>
                <w:sz w:val="20"/>
                <w:szCs w:val="20"/>
              </w:rPr>
              <w:t>2</w:t>
            </w:r>
          </w:p>
        </w:tc>
      </w:tr>
      <w:tr w14:paraId="3763E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57EBCD03">
            <w:pPr>
              <w:jc w:val="center"/>
              <w:rPr>
                <w:iCs/>
                <w:sz w:val="20"/>
                <w:szCs w:val="20"/>
              </w:rPr>
            </w:pPr>
            <w:r>
              <w:rPr>
                <w:iCs/>
                <w:sz w:val="20"/>
                <w:szCs w:val="20"/>
              </w:rPr>
              <w:t>9</w:t>
            </w:r>
          </w:p>
        </w:tc>
        <w:tc>
          <w:tcPr>
            <w:tcW w:w="5666" w:type="dxa"/>
          </w:tcPr>
          <w:p w14:paraId="0C24DA17">
            <w:pPr>
              <w:rPr>
                <w:iCs/>
                <w:sz w:val="20"/>
                <w:szCs w:val="20"/>
              </w:rPr>
            </w:pPr>
            <w:r>
              <w:rPr>
                <w:sz w:val="20"/>
                <w:szCs w:val="20"/>
              </w:rPr>
              <w:t>Total Station or RTK (for Surveying Works)</w:t>
            </w:r>
          </w:p>
        </w:tc>
        <w:tc>
          <w:tcPr>
            <w:tcW w:w="1875" w:type="dxa"/>
          </w:tcPr>
          <w:p w14:paraId="7CCF4A57">
            <w:pPr>
              <w:jc w:val="center"/>
              <w:rPr>
                <w:iCs/>
                <w:sz w:val="20"/>
                <w:szCs w:val="20"/>
                <w:u w:val="single"/>
              </w:rPr>
            </w:pPr>
            <w:r>
              <w:rPr>
                <w:iCs/>
                <w:sz w:val="20"/>
                <w:szCs w:val="20"/>
              </w:rPr>
              <w:t>1</w:t>
            </w:r>
          </w:p>
        </w:tc>
      </w:tr>
      <w:tr w14:paraId="14484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0FE14FF2">
            <w:pPr>
              <w:jc w:val="center"/>
              <w:rPr>
                <w:sz w:val="20"/>
                <w:szCs w:val="20"/>
              </w:rPr>
            </w:pPr>
            <w:r>
              <w:rPr>
                <w:sz w:val="20"/>
                <w:szCs w:val="20"/>
              </w:rPr>
              <w:t>10</w:t>
            </w:r>
          </w:p>
        </w:tc>
        <w:tc>
          <w:tcPr>
            <w:tcW w:w="5666" w:type="dxa"/>
          </w:tcPr>
          <w:p w14:paraId="51C4B601">
            <w:pPr>
              <w:rPr>
                <w:sz w:val="20"/>
                <w:szCs w:val="20"/>
              </w:rPr>
            </w:pPr>
            <w:r>
              <w:rPr>
                <w:sz w:val="20"/>
                <w:szCs w:val="20"/>
              </w:rPr>
              <w:t>Portable De-Watering Pumps</w:t>
            </w:r>
          </w:p>
        </w:tc>
        <w:tc>
          <w:tcPr>
            <w:tcW w:w="1875" w:type="dxa"/>
          </w:tcPr>
          <w:p w14:paraId="02871BF5">
            <w:pPr>
              <w:jc w:val="center"/>
              <w:rPr>
                <w:iCs/>
                <w:sz w:val="20"/>
                <w:szCs w:val="20"/>
              </w:rPr>
            </w:pPr>
            <w:r>
              <w:rPr>
                <w:iCs/>
                <w:sz w:val="20"/>
                <w:szCs w:val="20"/>
              </w:rPr>
              <w:t>1</w:t>
            </w:r>
          </w:p>
        </w:tc>
      </w:tr>
      <w:tr w14:paraId="6C6E40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33C33EFC">
            <w:pPr>
              <w:jc w:val="center"/>
              <w:rPr>
                <w:sz w:val="20"/>
                <w:szCs w:val="20"/>
              </w:rPr>
            </w:pPr>
            <w:r>
              <w:rPr>
                <w:sz w:val="20"/>
                <w:szCs w:val="20"/>
              </w:rPr>
              <w:t>12</w:t>
            </w:r>
          </w:p>
        </w:tc>
        <w:tc>
          <w:tcPr>
            <w:tcW w:w="5666" w:type="dxa"/>
          </w:tcPr>
          <w:p w14:paraId="64542389">
            <w:pPr>
              <w:rPr>
                <w:sz w:val="20"/>
                <w:szCs w:val="20"/>
              </w:rPr>
            </w:pPr>
            <w:r>
              <w:rPr>
                <w:sz w:val="20"/>
                <w:szCs w:val="20"/>
              </w:rPr>
              <w:t>15 tonne Roller Compactor-Sheep foot and Steel</w:t>
            </w:r>
          </w:p>
        </w:tc>
        <w:tc>
          <w:tcPr>
            <w:tcW w:w="1875" w:type="dxa"/>
          </w:tcPr>
          <w:p w14:paraId="0AE41E62">
            <w:pPr>
              <w:jc w:val="center"/>
              <w:rPr>
                <w:iCs/>
                <w:sz w:val="20"/>
                <w:szCs w:val="20"/>
              </w:rPr>
            </w:pPr>
            <w:r>
              <w:rPr>
                <w:iCs/>
                <w:sz w:val="20"/>
                <w:szCs w:val="20"/>
              </w:rPr>
              <w:t>2</w:t>
            </w:r>
          </w:p>
        </w:tc>
      </w:tr>
      <w:tr w14:paraId="40507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08C2F67B">
            <w:pPr>
              <w:jc w:val="center"/>
              <w:rPr>
                <w:sz w:val="20"/>
                <w:szCs w:val="20"/>
              </w:rPr>
            </w:pPr>
            <w:r>
              <w:rPr>
                <w:sz w:val="20"/>
                <w:szCs w:val="20"/>
              </w:rPr>
              <w:t>13</w:t>
            </w:r>
          </w:p>
        </w:tc>
        <w:tc>
          <w:tcPr>
            <w:tcW w:w="5666" w:type="dxa"/>
          </w:tcPr>
          <w:p w14:paraId="3A768D92">
            <w:pPr>
              <w:rPr>
                <w:sz w:val="20"/>
                <w:szCs w:val="20"/>
              </w:rPr>
            </w:pPr>
            <w:r>
              <w:rPr>
                <w:sz w:val="20"/>
                <w:szCs w:val="20"/>
              </w:rPr>
              <w:t>At Least 20KVA Generating Set</w:t>
            </w:r>
          </w:p>
        </w:tc>
        <w:tc>
          <w:tcPr>
            <w:tcW w:w="1875" w:type="dxa"/>
          </w:tcPr>
          <w:p w14:paraId="7121FF6A">
            <w:pPr>
              <w:jc w:val="center"/>
              <w:rPr>
                <w:iCs/>
                <w:sz w:val="20"/>
                <w:szCs w:val="20"/>
              </w:rPr>
            </w:pPr>
            <w:r>
              <w:rPr>
                <w:iCs/>
                <w:sz w:val="20"/>
                <w:szCs w:val="20"/>
              </w:rPr>
              <w:t>1</w:t>
            </w:r>
          </w:p>
        </w:tc>
      </w:tr>
      <w:tr w14:paraId="05516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13A2F55C">
            <w:pPr>
              <w:jc w:val="center"/>
              <w:rPr>
                <w:sz w:val="20"/>
                <w:szCs w:val="20"/>
              </w:rPr>
            </w:pPr>
            <w:r>
              <w:rPr>
                <w:sz w:val="20"/>
                <w:szCs w:val="20"/>
              </w:rPr>
              <w:t>14</w:t>
            </w:r>
          </w:p>
        </w:tc>
        <w:tc>
          <w:tcPr>
            <w:tcW w:w="5666" w:type="dxa"/>
          </w:tcPr>
          <w:p w14:paraId="6DAB92F3">
            <w:pPr>
              <w:rPr>
                <w:sz w:val="20"/>
                <w:szCs w:val="20"/>
              </w:rPr>
            </w:pPr>
            <w:r>
              <w:rPr>
                <w:sz w:val="20"/>
                <w:szCs w:val="20"/>
              </w:rPr>
              <w:t>A set of Welding Machine</w:t>
            </w:r>
          </w:p>
        </w:tc>
        <w:tc>
          <w:tcPr>
            <w:tcW w:w="1875" w:type="dxa"/>
          </w:tcPr>
          <w:p w14:paraId="6A316DE2">
            <w:pPr>
              <w:jc w:val="center"/>
              <w:rPr>
                <w:iCs/>
                <w:sz w:val="20"/>
                <w:szCs w:val="20"/>
              </w:rPr>
            </w:pPr>
            <w:r>
              <w:rPr>
                <w:iCs/>
                <w:sz w:val="20"/>
                <w:szCs w:val="20"/>
              </w:rPr>
              <w:t>1</w:t>
            </w:r>
          </w:p>
        </w:tc>
      </w:tr>
      <w:tr w14:paraId="65D7A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0CED8B7A">
            <w:pPr>
              <w:jc w:val="center"/>
              <w:rPr>
                <w:sz w:val="20"/>
                <w:szCs w:val="20"/>
              </w:rPr>
            </w:pPr>
            <w:r>
              <w:rPr>
                <w:sz w:val="20"/>
                <w:szCs w:val="20"/>
              </w:rPr>
              <w:t>15</w:t>
            </w:r>
          </w:p>
        </w:tc>
        <w:tc>
          <w:tcPr>
            <w:tcW w:w="5666" w:type="dxa"/>
          </w:tcPr>
          <w:p w14:paraId="100C7D59">
            <w:pPr>
              <w:rPr>
                <w:sz w:val="20"/>
                <w:szCs w:val="20"/>
              </w:rPr>
            </w:pPr>
            <w:r>
              <w:rPr>
                <w:sz w:val="20"/>
                <w:szCs w:val="20"/>
              </w:rPr>
              <w:t>Water Bowser</w:t>
            </w:r>
          </w:p>
        </w:tc>
        <w:tc>
          <w:tcPr>
            <w:tcW w:w="1875" w:type="dxa"/>
          </w:tcPr>
          <w:p w14:paraId="4A317162">
            <w:pPr>
              <w:jc w:val="center"/>
              <w:rPr>
                <w:iCs/>
                <w:sz w:val="20"/>
                <w:szCs w:val="20"/>
              </w:rPr>
            </w:pPr>
            <w:r>
              <w:rPr>
                <w:iCs/>
                <w:sz w:val="20"/>
                <w:szCs w:val="20"/>
              </w:rPr>
              <w:t>3</w:t>
            </w:r>
          </w:p>
        </w:tc>
      </w:tr>
    </w:tbl>
    <w:p w14:paraId="4BA5B5D4">
      <w:pPr>
        <w:ind w:left="720"/>
      </w:pPr>
    </w:p>
    <w:p w14:paraId="168FFBBC">
      <w:pPr>
        <w:ind w:left="720"/>
      </w:pPr>
      <w:r>
        <w:t>The Bidder shall provide further details of proposed items of equipment using the relevant Form in Section IV.</w:t>
      </w:r>
    </w:p>
    <w:p w14:paraId="2CB90EED">
      <w:pPr>
        <w:ind w:left="720"/>
      </w:pPr>
    </w:p>
    <w:p w14:paraId="527E5358">
      <w:pPr>
        <w:ind w:left="720"/>
      </w:pPr>
    </w:p>
    <w:p w14:paraId="5350281E">
      <w:pPr>
        <w:ind w:left="720"/>
      </w:pPr>
    </w:p>
    <w:bookmarkEnd w:id="388"/>
    <w:p w14:paraId="451FD5DF">
      <w:pPr>
        <w:ind w:left="720"/>
      </w:pPr>
    </w:p>
    <w:p w14:paraId="715CB715">
      <w:pPr>
        <w:ind w:left="720"/>
      </w:pPr>
    </w:p>
    <w:p w14:paraId="792206FC">
      <w:pPr>
        <w:ind w:left="720"/>
      </w:pPr>
    </w:p>
    <w:p w14:paraId="3943E969">
      <w:pPr>
        <w:ind w:left="720"/>
      </w:pPr>
    </w:p>
    <w:p w14:paraId="247C768A">
      <w:pPr>
        <w:ind w:left="720"/>
      </w:pPr>
    </w:p>
    <w:p w14:paraId="5E5EF30A">
      <w:pPr>
        <w:tabs>
          <w:tab w:val="left" w:pos="1290"/>
        </w:tabs>
        <w:sectPr>
          <w:headerReference r:id="rId23" w:type="first"/>
          <w:headerReference r:id="rId21" w:type="default"/>
          <w:headerReference r:id="rId22" w:type="even"/>
          <w:pgSz w:w="12240" w:h="15840"/>
          <w:pgMar w:top="1440" w:right="1440" w:bottom="1440" w:left="1800" w:header="720" w:footer="720" w:gutter="0"/>
          <w:paperSrc w:first="15" w:other="15"/>
          <w:cols w:space="720" w:num="1"/>
        </w:sectPr>
      </w:pPr>
    </w:p>
    <w:p w14:paraId="50EDD9E4">
      <w:pPr>
        <w:pStyle w:val="54"/>
        <w:spacing w:after="120"/>
        <w:ind w:left="187" w:right="288"/>
        <w:rPr>
          <w:rFonts w:cs="Arial"/>
        </w:rPr>
      </w:pPr>
      <w:bookmarkStart w:id="392" w:name="_Toc178543290"/>
      <w:bookmarkStart w:id="393" w:name="_Toc41971244"/>
      <w:r>
        <w:rPr>
          <w:rFonts w:cs="Arial"/>
        </w:rPr>
        <w:t>Section IV - Bidding Forms</w:t>
      </w:r>
      <w:bookmarkEnd w:id="392"/>
    </w:p>
    <w:bookmarkEnd w:id="393"/>
    <w:p w14:paraId="4FCCD77E">
      <w:pPr>
        <w:spacing w:before="120" w:after="120"/>
        <w:ind w:left="180" w:right="288"/>
        <w:jc w:val="both"/>
        <w:rPr>
          <w:u w:val="single"/>
        </w:rPr>
      </w:pPr>
    </w:p>
    <w:p w14:paraId="0073EA8C">
      <w:pPr>
        <w:jc w:val="center"/>
        <w:rPr>
          <w:b/>
        </w:rPr>
      </w:pPr>
      <w:r>
        <w:rPr>
          <w:b/>
        </w:rPr>
        <w:t>Table of Forms</w:t>
      </w:r>
    </w:p>
    <w:p w14:paraId="79F9B44E"/>
    <w:p w14:paraId="7BBAA8A0">
      <w:pPr>
        <w:pStyle w:val="58"/>
        <w:tabs>
          <w:tab w:val="right" w:leader="dot" w:pos="9350"/>
        </w:tabs>
        <w:rPr>
          <w:rFonts w:asciiTheme="minorHAnsi" w:hAnsiTheme="minorHAnsi" w:eastAsiaTheme="minorEastAsia" w:cstheme="minorBidi"/>
          <w:b w:val="0"/>
          <w:kern w:val="2"/>
          <w:sz w:val="22"/>
          <w:szCs w:val="22"/>
          <w14:ligatures w14:val="standardContextual"/>
        </w:rPr>
      </w:pPr>
      <w:r>
        <w:fldChar w:fldCharType="begin"/>
      </w:r>
      <w:r>
        <w:instrText xml:space="preserve"> TOC \h \z \t "S4-header1,1,S4-Header 2,2" </w:instrText>
      </w:r>
      <w:r>
        <w:fldChar w:fldCharType="separate"/>
      </w:r>
      <w:r>
        <w:fldChar w:fldCharType="begin"/>
      </w:r>
      <w:r>
        <w:instrText xml:space="preserve"> HYPERLINK \l "_Toc178519587" </w:instrText>
      </w:r>
      <w:r>
        <w:fldChar w:fldCharType="separate"/>
      </w:r>
      <w:r>
        <w:rPr>
          <w:rStyle w:val="31"/>
        </w:rPr>
        <w:t>Letter of Bid</w:t>
      </w:r>
      <w:r>
        <w:tab/>
      </w:r>
      <w:r>
        <w:fldChar w:fldCharType="begin"/>
      </w:r>
      <w:r>
        <w:instrText xml:space="preserve"> PAGEREF _Toc178519587 \h </w:instrText>
      </w:r>
      <w:r>
        <w:fldChar w:fldCharType="separate"/>
      </w:r>
      <w:r>
        <w:t>53</w:t>
      </w:r>
      <w:r>
        <w:fldChar w:fldCharType="end"/>
      </w:r>
      <w:r>
        <w:fldChar w:fldCharType="end"/>
      </w:r>
    </w:p>
    <w:p w14:paraId="42E4016E">
      <w:pPr>
        <w:pStyle w:val="58"/>
        <w:tabs>
          <w:tab w:val="right" w:leader="dot" w:pos="935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"_Toc178519588" </w:instrText>
      </w:r>
      <w:r>
        <w:fldChar w:fldCharType="separate"/>
      </w:r>
      <w:r>
        <w:rPr>
          <w:rStyle w:val="31"/>
        </w:rPr>
        <w:t xml:space="preserve">Schedules of Bill of Quantities </w:t>
      </w:r>
      <w:r>
        <w:tab/>
      </w:r>
      <w:r>
        <w:fldChar w:fldCharType="begin"/>
      </w:r>
      <w:r>
        <w:instrText xml:space="preserve"> PAGEREF _Toc178519588 \h </w:instrText>
      </w:r>
      <w:r>
        <w:fldChar w:fldCharType="separate"/>
      </w:r>
      <w:r>
        <w:t>57</w:t>
      </w:r>
      <w:r>
        <w:fldChar w:fldCharType="end"/>
      </w:r>
      <w:r>
        <w:fldChar w:fldCharType="end"/>
      </w:r>
    </w:p>
    <w:p w14:paraId="4017A3D1">
      <w:pPr>
        <w:pStyle w:val="58"/>
        <w:tabs>
          <w:tab w:val="right" w:leader="dot" w:pos="935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"_Toc178519589" </w:instrText>
      </w:r>
      <w:r>
        <w:fldChar w:fldCharType="separate"/>
      </w:r>
      <w:r>
        <w:rPr>
          <w:rStyle w:val="31"/>
          <w:iCs/>
        </w:rPr>
        <w:t>Form</w:t>
      </w:r>
      <w:r>
        <w:rPr>
          <w:rStyle w:val="31"/>
        </w:rPr>
        <w:t xml:space="preserve"> of Bid Security (Bank Guarantee)</w:t>
      </w:r>
      <w:r>
        <w:tab/>
      </w:r>
      <w:r>
        <w:fldChar w:fldCharType="begin"/>
      </w:r>
      <w:r>
        <w:instrText xml:space="preserve"> PAGEREF _Toc178519589 \h </w:instrText>
      </w:r>
      <w:r>
        <w:fldChar w:fldCharType="separate"/>
      </w:r>
      <w:r>
        <w:t>60</w:t>
      </w:r>
      <w:r>
        <w:fldChar w:fldCharType="end"/>
      </w:r>
      <w:r>
        <w:fldChar w:fldCharType="end"/>
      </w:r>
    </w:p>
    <w:p w14:paraId="65F44E02">
      <w:pPr>
        <w:pStyle w:val="58"/>
        <w:tabs>
          <w:tab w:val="right" w:leader="dot" w:pos="935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"_Toc178519590" </w:instrText>
      </w:r>
      <w:r>
        <w:fldChar w:fldCharType="separate"/>
      </w:r>
      <w:r>
        <w:rPr>
          <w:rStyle w:val="31"/>
        </w:rPr>
        <w:t>Technical Proposal</w:t>
      </w:r>
      <w:r>
        <w:tab/>
      </w:r>
      <w:r>
        <w:fldChar w:fldCharType="begin"/>
      </w:r>
      <w:r>
        <w:instrText xml:space="preserve"> PAGEREF _Toc178519590 \h </w:instrText>
      </w:r>
      <w:r>
        <w:fldChar w:fldCharType="separate"/>
      </w:r>
      <w:r>
        <w:t>62</w:t>
      </w:r>
      <w:r>
        <w:fldChar w:fldCharType="end"/>
      </w:r>
      <w:r>
        <w:fldChar w:fldCharType="end"/>
      </w:r>
    </w:p>
    <w:p w14:paraId="68618EB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"_Toc178519591" </w:instrText>
      </w:r>
      <w:r>
        <w:fldChar w:fldCharType="separate"/>
      </w:r>
      <w:r>
        <w:rPr>
          <w:rStyle w:val="31"/>
        </w:rPr>
        <w:t>Technical Proposal Forms</w:t>
      </w:r>
      <w:r>
        <w:tab/>
      </w:r>
      <w:r>
        <w:fldChar w:fldCharType="begin"/>
      </w:r>
      <w:r>
        <w:instrText xml:space="preserve"> PAGEREF _Toc178519591 \h </w:instrText>
      </w:r>
      <w:r>
        <w:fldChar w:fldCharType="separate"/>
      </w:r>
      <w:r>
        <w:t>62</w:t>
      </w:r>
      <w:r>
        <w:fldChar w:fldCharType="end"/>
      </w:r>
      <w:r>
        <w:fldChar w:fldCharType="end"/>
      </w:r>
    </w:p>
    <w:p w14:paraId="01AC390E">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"_Toc178519592" </w:instrText>
      </w:r>
      <w:r>
        <w:fldChar w:fldCharType="separate"/>
      </w:r>
      <w:r>
        <w:rPr>
          <w:rStyle w:val="31"/>
        </w:rPr>
        <w:t>Form PER -1</w:t>
      </w:r>
      <w:r>
        <w:tab/>
      </w:r>
      <w:r>
        <w:fldChar w:fldCharType="begin"/>
      </w:r>
      <w:r>
        <w:instrText xml:space="preserve"> PAGEREF _Toc178519592 \h </w:instrText>
      </w:r>
      <w:r>
        <w:fldChar w:fldCharType="separate"/>
      </w:r>
      <w:r>
        <w:t>63</w:t>
      </w:r>
      <w:r>
        <w:fldChar w:fldCharType="end"/>
      </w:r>
      <w:r>
        <w:fldChar w:fldCharType="end"/>
      </w:r>
    </w:p>
    <w:p w14:paraId="47158143">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"_Toc178519593" </w:instrText>
      </w:r>
      <w:r>
        <w:fldChar w:fldCharType="separate"/>
      </w:r>
      <w:r>
        <w:rPr>
          <w:rStyle w:val="31"/>
        </w:rPr>
        <w:t>Form PER-2:</w:t>
      </w:r>
      <w:r>
        <w:tab/>
      </w:r>
      <w:r>
        <w:fldChar w:fldCharType="begin"/>
      </w:r>
      <w:r>
        <w:instrText xml:space="preserve"> PAGEREF _Toc178519593 \h </w:instrText>
      </w:r>
      <w:r>
        <w:fldChar w:fldCharType="separate"/>
      </w:r>
      <w:r>
        <w:t>65</w:t>
      </w:r>
      <w:r>
        <w:fldChar w:fldCharType="end"/>
      </w:r>
      <w:r>
        <w:fldChar w:fldCharType="end"/>
      </w:r>
    </w:p>
    <w:p w14:paraId="1F0CC382">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"_Toc178519594" </w:instrText>
      </w:r>
      <w:r>
        <w:fldChar w:fldCharType="separate"/>
      </w:r>
      <w:r>
        <w:rPr>
          <w:rStyle w:val="31"/>
        </w:rPr>
        <w:t>Equipment</w:t>
      </w:r>
      <w:r>
        <w:tab/>
      </w:r>
      <w:r>
        <w:fldChar w:fldCharType="begin"/>
      </w:r>
      <w:r>
        <w:instrText xml:space="preserve"> PAGEREF _Toc178519594 \h </w:instrText>
      </w:r>
      <w:r>
        <w:fldChar w:fldCharType="separate"/>
      </w:r>
      <w:r>
        <w:t>67</w:t>
      </w:r>
      <w:r>
        <w:fldChar w:fldCharType="end"/>
      </w:r>
      <w:r>
        <w:fldChar w:fldCharType="end"/>
      </w:r>
    </w:p>
    <w:p w14:paraId="47B50660">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"_Toc178519595" </w:instrText>
      </w:r>
      <w:r>
        <w:fldChar w:fldCharType="separate"/>
      </w:r>
      <w:r>
        <w:rPr>
          <w:rStyle w:val="31"/>
        </w:rPr>
        <w:t>Site Organization</w:t>
      </w:r>
      <w:r>
        <w:tab/>
      </w:r>
      <w:r>
        <w:fldChar w:fldCharType="begin"/>
      </w:r>
      <w:r>
        <w:instrText xml:space="preserve"> PAGEREF _Toc178519595 \h </w:instrText>
      </w:r>
      <w:r>
        <w:fldChar w:fldCharType="separate"/>
      </w:r>
      <w:r>
        <w:t>68</w:t>
      </w:r>
      <w:r>
        <w:fldChar w:fldCharType="end"/>
      </w:r>
      <w:r>
        <w:fldChar w:fldCharType="end"/>
      </w:r>
    </w:p>
    <w:p w14:paraId="06C27AE7">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"_Toc178519596" </w:instrText>
      </w:r>
      <w:r>
        <w:fldChar w:fldCharType="separate"/>
      </w:r>
      <w:r>
        <w:rPr>
          <w:rStyle w:val="31"/>
        </w:rPr>
        <w:t>Method Statement</w:t>
      </w:r>
      <w:r>
        <w:tab/>
      </w:r>
      <w:r>
        <w:fldChar w:fldCharType="begin"/>
      </w:r>
      <w:r>
        <w:instrText xml:space="preserve"> PAGEREF _Toc178519596 \h </w:instrText>
      </w:r>
      <w:r>
        <w:fldChar w:fldCharType="separate"/>
      </w:r>
      <w:r>
        <w:t>69</w:t>
      </w:r>
      <w:r>
        <w:fldChar w:fldCharType="end"/>
      </w:r>
      <w:r>
        <w:fldChar w:fldCharType="end"/>
      </w:r>
    </w:p>
    <w:p w14:paraId="6DF1A437">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"_Toc178519597" </w:instrText>
      </w:r>
      <w:r>
        <w:fldChar w:fldCharType="separate"/>
      </w:r>
      <w:r>
        <w:rPr>
          <w:rStyle w:val="31"/>
        </w:rPr>
        <w:t>Mobilization Schedule</w:t>
      </w:r>
      <w:r>
        <w:tab/>
      </w:r>
      <w:r>
        <w:fldChar w:fldCharType="begin"/>
      </w:r>
      <w:r>
        <w:instrText xml:space="preserve"> PAGEREF _Toc178519597 \h </w:instrText>
      </w:r>
      <w:r>
        <w:fldChar w:fldCharType="separate"/>
      </w:r>
      <w:r>
        <w:t>70</w:t>
      </w:r>
      <w:r>
        <w:fldChar w:fldCharType="end"/>
      </w:r>
      <w:r>
        <w:fldChar w:fldCharType="end"/>
      </w:r>
    </w:p>
    <w:p w14:paraId="6A35C9F0">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"_Toc178519598" </w:instrText>
      </w:r>
      <w:r>
        <w:fldChar w:fldCharType="separate"/>
      </w:r>
      <w:r>
        <w:rPr>
          <w:rStyle w:val="31"/>
        </w:rPr>
        <w:t>Construction Schedule</w:t>
      </w:r>
      <w:r>
        <w:tab/>
      </w:r>
      <w:r>
        <w:fldChar w:fldCharType="begin"/>
      </w:r>
      <w:r>
        <w:instrText xml:space="preserve"> PAGEREF _Toc178519598 \h </w:instrText>
      </w:r>
      <w:r>
        <w:fldChar w:fldCharType="separate"/>
      </w:r>
      <w:r>
        <w:t>71</w:t>
      </w:r>
      <w:r>
        <w:fldChar w:fldCharType="end"/>
      </w:r>
      <w:r>
        <w:fldChar w:fldCharType="end"/>
      </w:r>
    </w:p>
    <w:p w14:paraId="2C90F50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"_Toc178519599" </w:instrText>
      </w:r>
      <w:r>
        <w:fldChar w:fldCharType="separate"/>
      </w:r>
      <w:r>
        <w:rPr>
          <w:rStyle w:val="31"/>
        </w:rPr>
        <w:t>ES Management Strategies and Implementation Plans</w:t>
      </w:r>
      <w:r>
        <w:tab/>
      </w:r>
      <w:r>
        <w:fldChar w:fldCharType="begin"/>
      </w:r>
      <w:r>
        <w:instrText xml:space="preserve"> PAGEREF _Toc178519599 \h </w:instrText>
      </w:r>
      <w:r>
        <w:fldChar w:fldCharType="separate"/>
      </w:r>
      <w:r>
        <w:t>72</w:t>
      </w:r>
      <w:r>
        <w:fldChar w:fldCharType="end"/>
      </w:r>
      <w:r>
        <w:fldChar w:fldCharType="end"/>
      </w:r>
    </w:p>
    <w:p w14:paraId="5015A6A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"_Toc178519600" </w:instrText>
      </w:r>
      <w:r>
        <w:fldChar w:fldCharType="separate"/>
      </w:r>
      <w:r>
        <w:rPr>
          <w:rStyle w:val="31"/>
        </w:rPr>
        <w:t>Code of Conduct for Contractor’s Personnel (ES) Form</w:t>
      </w:r>
      <w:r>
        <w:tab/>
      </w:r>
      <w:r>
        <w:fldChar w:fldCharType="begin"/>
      </w:r>
      <w:r>
        <w:instrText xml:space="preserve"> PAGEREF _Toc178519600 \h </w:instrText>
      </w:r>
      <w:r>
        <w:fldChar w:fldCharType="separate"/>
      </w:r>
      <w:r>
        <w:t>73</w:t>
      </w:r>
      <w:r>
        <w:fldChar w:fldCharType="end"/>
      </w:r>
      <w:r>
        <w:fldChar w:fldCharType="end"/>
      </w:r>
    </w:p>
    <w:p w14:paraId="69A8021A">
      <w:pPr>
        <w:pStyle w:val="58"/>
        <w:tabs>
          <w:tab w:val="right" w:leader="dot" w:pos="935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"_Toc178519601" </w:instrText>
      </w:r>
      <w:r>
        <w:fldChar w:fldCharType="separate"/>
      </w:r>
      <w:r>
        <w:rPr>
          <w:rStyle w:val="31"/>
        </w:rPr>
        <w:t>Bidder’s Qualification</w:t>
      </w:r>
      <w:r>
        <w:tab/>
      </w:r>
      <w:r>
        <w:fldChar w:fldCharType="begin"/>
      </w:r>
      <w:r>
        <w:instrText xml:space="preserve"> PAGEREF _Toc178519601 \h </w:instrText>
      </w:r>
      <w:r>
        <w:fldChar w:fldCharType="separate"/>
      </w:r>
      <w:r>
        <w:t>78</w:t>
      </w:r>
      <w:r>
        <w:fldChar w:fldCharType="end"/>
      </w:r>
      <w:r>
        <w:fldChar w:fldCharType="end"/>
      </w:r>
    </w:p>
    <w:p w14:paraId="6D6595AE">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"_Toc178519602" </w:instrText>
      </w:r>
      <w:r>
        <w:fldChar w:fldCharType="separate"/>
      </w:r>
      <w:r>
        <w:rPr>
          <w:rStyle w:val="31"/>
        </w:rPr>
        <w:t>Form ELI -1.1: Bidder Information Form</w:t>
      </w:r>
      <w:r>
        <w:tab/>
      </w:r>
      <w:r>
        <w:fldChar w:fldCharType="begin"/>
      </w:r>
      <w:r>
        <w:instrText xml:space="preserve"> PAGEREF _Toc178519602 \h </w:instrText>
      </w:r>
      <w:r>
        <w:fldChar w:fldCharType="separate"/>
      </w:r>
      <w:r>
        <w:t>79</w:t>
      </w:r>
      <w:r>
        <w:fldChar w:fldCharType="end"/>
      </w:r>
      <w:r>
        <w:fldChar w:fldCharType="end"/>
      </w:r>
    </w:p>
    <w:p w14:paraId="6D2C262D">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"_Toc178519603" </w:instrText>
      </w:r>
      <w:r>
        <w:fldChar w:fldCharType="separate"/>
      </w:r>
      <w:r>
        <w:rPr>
          <w:rStyle w:val="31"/>
          <w:lang w:val="da-DK"/>
        </w:rPr>
        <w:t>Form ELI -1.2: Information Form for JV Bidders</w:t>
      </w:r>
      <w:r>
        <w:tab/>
      </w:r>
      <w:r>
        <w:fldChar w:fldCharType="begin"/>
      </w:r>
      <w:r>
        <w:instrText xml:space="preserve"> PAGEREF _Toc178519603 \h </w:instrText>
      </w:r>
      <w:r>
        <w:fldChar w:fldCharType="separate"/>
      </w:r>
      <w:r>
        <w:t>80</w:t>
      </w:r>
      <w:r>
        <w:fldChar w:fldCharType="end"/>
      </w:r>
      <w:r>
        <w:fldChar w:fldCharType="end"/>
      </w:r>
    </w:p>
    <w:p w14:paraId="51C170D3">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"_Toc178519604" </w:instrText>
      </w:r>
      <w:r>
        <w:fldChar w:fldCharType="separate"/>
      </w:r>
      <w:r>
        <w:rPr>
          <w:rStyle w:val="31"/>
        </w:rPr>
        <w:t>Form CON – 2: Historical Contract Non-Performance, Pending Litigation and Litigation History</w:t>
      </w:r>
      <w:r>
        <w:tab/>
      </w:r>
      <w:r>
        <w:fldChar w:fldCharType="begin"/>
      </w:r>
      <w:r>
        <w:instrText xml:space="preserve"> PAGEREF _Toc178519604 \h </w:instrText>
      </w:r>
      <w:r>
        <w:fldChar w:fldCharType="separate"/>
      </w:r>
      <w:r>
        <w:t>81</w:t>
      </w:r>
      <w:r>
        <w:fldChar w:fldCharType="end"/>
      </w:r>
      <w:r>
        <w:fldChar w:fldCharType="end"/>
      </w:r>
    </w:p>
    <w:p w14:paraId="05123ED3">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"_Toc178519605" </w:instrText>
      </w:r>
      <w:r>
        <w:fldChar w:fldCharType="separate"/>
      </w:r>
      <w:r>
        <w:rPr>
          <w:rStyle w:val="31"/>
        </w:rPr>
        <w:t>Form CON – 3: Environmental and Social</w:t>
      </w:r>
      <w:r>
        <w:tab/>
      </w:r>
      <w:r>
        <w:fldChar w:fldCharType="begin"/>
      </w:r>
      <w:r>
        <w:instrText xml:space="preserve"> PAGEREF _Toc178519605 \h </w:instrText>
      </w:r>
      <w:r>
        <w:fldChar w:fldCharType="separate"/>
      </w:r>
      <w:r>
        <w:t>84</w:t>
      </w:r>
      <w:r>
        <w:fldChar w:fldCharType="end"/>
      </w:r>
      <w:r>
        <w:fldChar w:fldCharType="end"/>
      </w:r>
    </w:p>
    <w:p w14:paraId="2800D4E8">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"_Toc178519606" </w:instrText>
      </w:r>
      <w:r>
        <w:fldChar w:fldCharType="separate"/>
      </w:r>
      <w:r>
        <w:rPr>
          <w:rStyle w:val="31"/>
        </w:rPr>
        <w:t>Form CON – 4 Sexual Exploitation and Abuse (SEA) and/or Sexual Harassment Performance Declaration</w:t>
      </w:r>
      <w:r>
        <w:tab/>
      </w:r>
      <w:r>
        <w:fldChar w:fldCharType="begin"/>
      </w:r>
      <w:r>
        <w:instrText xml:space="preserve"> PAGEREF _Toc178519606 \h </w:instrText>
      </w:r>
      <w:r>
        <w:fldChar w:fldCharType="separate"/>
      </w:r>
      <w:r>
        <w:t>86</w:t>
      </w:r>
      <w:r>
        <w:fldChar w:fldCharType="end"/>
      </w:r>
      <w:r>
        <w:fldChar w:fldCharType="end"/>
      </w:r>
    </w:p>
    <w:p w14:paraId="42F4A139">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"_Toc178519607" </w:instrText>
      </w:r>
      <w:r>
        <w:fldChar w:fldCharType="separate"/>
      </w:r>
      <w:r>
        <w:rPr>
          <w:rStyle w:val="31"/>
        </w:rPr>
        <w:t>Form CCC: Current Contract Commitments / Works in Progress</w:t>
      </w:r>
      <w:r>
        <w:tab/>
      </w:r>
      <w:r>
        <w:fldChar w:fldCharType="begin"/>
      </w:r>
      <w:r>
        <w:instrText xml:space="preserve"> PAGEREF _Toc178519607 \h </w:instrText>
      </w:r>
      <w:r>
        <w:fldChar w:fldCharType="separate"/>
      </w:r>
      <w:r>
        <w:t>88</w:t>
      </w:r>
      <w:r>
        <w:fldChar w:fldCharType="end"/>
      </w:r>
      <w:r>
        <w:fldChar w:fldCharType="end"/>
      </w:r>
    </w:p>
    <w:p w14:paraId="3DD9D27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"_Toc178519608" </w:instrText>
      </w:r>
      <w:r>
        <w:fldChar w:fldCharType="separate"/>
      </w:r>
      <w:r>
        <w:rPr>
          <w:rStyle w:val="31"/>
        </w:rPr>
        <w:t>Form FIN – 3.1: Financial Situation and Performance</w:t>
      </w:r>
      <w:r>
        <w:tab/>
      </w:r>
      <w:r>
        <w:fldChar w:fldCharType="begin"/>
      </w:r>
      <w:r>
        <w:instrText xml:space="preserve"> PAGEREF _Toc178519608 \h </w:instrText>
      </w:r>
      <w:r>
        <w:fldChar w:fldCharType="separate"/>
      </w:r>
      <w:r>
        <w:t>89</w:t>
      </w:r>
      <w:r>
        <w:fldChar w:fldCharType="end"/>
      </w:r>
      <w:r>
        <w:fldChar w:fldCharType="end"/>
      </w:r>
    </w:p>
    <w:p w14:paraId="686CC38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"_Toc178519609" </w:instrText>
      </w:r>
      <w:r>
        <w:fldChar w:fldCharType="separate"/>
      </w:r>
      <w:r>
        <w:rPr>
          <w:rStyle w:val="31"/>
        </w:rPr>
        <w:t>Form FIN - 3.2: Average Annual Construction Turnover</w:t>
      </w:r>
      <w:r>
        <w:tab/>
      </w:r>
      <w:r>
        <w:fldChar w:fldCharType="begin"/>
      </w:r>
      <w:r>
        <w:instrText xml:space="preserve"> PAGEREF _Toc178519609 \h </w:instrText>
      </w:r>
      <w:r>
        <w:fldChar w:fldCharType="separate"/>
      </w:r>
      <w:r>
        <w:t>91</w:t>
      </w:r>
      <w:r>
        <w:fldChar w:fldCharType="end"/>
      </w:r>
      <w:r>
        <w:fldChar w:fldCharType="end"/>
      </w:r>
    </w:p>
    <w:p w14:paraId="2F95DBC6">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"_Toc178519610" </w:instrText>
      </w:r>
      <w:r>
        <w:fldChar w:fldCharType="separate"/>
      </w:r>
      <w:r>
        <w:rPr>
          <w:rStyle w:val="31"/>
        </w:rPr>
        <w:t>Form FIN - 3.3: Financial Resources</w:t>
      </w:r>
      <w:r>
        <w:tab/>
      </w:r>
      <w:r>
        <w:fldChar w:fldCharType="begin"/>
      </w:r>
      <w:r>
        <w:instrText xml:space="preserve"> PAGEREF _Toc178519610 \h </w:instrText>
      </w:r>
      <w:r>
        <w:fldChar w:fldCharType="separate"/>
      </w:r>
      <w:r>
        <w:t>92</w:t>
      </w:r>
      <w:r>
        <w:fldChar w:fldCharType="end"/>
      </w:r>
      <w:r>
        <w:fldChar w:fldCharType="end"/>
      </w:r>
    </w:p>
    <w:p w14:paraId="231D0A95">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"_Toc178519611" </w:instrText>
      </w:r>
      <w:r>
        <w:fldChar w:fldCharType="separate"/>
      </w:r>
      <w:r>
        <w:rPr>
          <w:rStyle w:val="31"/>
        </w:rPr>
        <w:t>Form EXP - 4.1: General Construction Experience</w:t>
      </w:r>
      <w:r>
        <w:tab/>
      </w:r>
      <w:r>
        <w:fldChar w:fldCharType="begin"/>
      </w:r>
      <w:r>
        <w:instrText xml:space="preserve"> PAGEREF _Toc178519611 \h </w:instrText>
      </w:r>
      <w:r>
        <w:fldChar w:fldCharType="separate"/>
      </w:r>
      <w:r>
        <w:t>93</w:t>
      </w:r>
      <w:r>
        <w:fldChar w:fldCharType="end"/>
      </w:r>
      <w:r>
        <w:fldChar w:fldCharType="end"/>
      </w:r>
    </w:p>
    <w:p w14:paraId="2C2BACD4">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"_Toc178519612" </w:instrText>
      </w:r>
      <w:r>
        <w:fldChar w:fldCharType="separate"/>
      </w:r>
      <w:r>
        <w:rPr>
          <w:rStyle w:val="31"/>
        </w:rPr>
        <w:t>Form EXP - 4.2(a): Specific Construction and Contract Management Experience</w:t>
      </w:r>
      <w:r>
        <w:tab/>
      </w:r>
      <w:r>
        <w:fldChar w:fldCharType="begin"/>
      </w:r>
      <w:r>
        <w:instrText xml:space="preserve"> PAGEREF _Toc178519612 \h </w:instrText>
      </w:r>
      <w:r>
        <w:fldChar w:fldCharType="separate"/>
      </w:r>
      <w:r>
        <w:t>94</w:t>
      </w:r>
      <w:r>
        <w:fldChar w:fldCharType="end"/>
      </w:r>
      <w:r>
        <w:fldChar w:fldCharType="end"/>
      </w:r>
    </w:p>
    <w:p w14:paraId="22920B6C">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"_Toc178519613" </w:instrText>
      </w:r>
      <w:r>
        <w:fldChar w:fldCharType="separate"/>
      </w:r>
      <w:r>
        <w:rPr>
          <w:rStyle w:val="31"/>
        </w:rPr>
        <w:t xml:space="preserve">Form EXP </w:t>
      </w:r>
      <w:r>
        <w:rPr>
          <w:rStyle w:val="31"/>
          <w:spacing w:val="22"/>
        </w:rPr>
        <w:t xml:space="preserve">- </w:t>
      </w:r>
      <w:r>
        <w:rPr>
          <w:rStyle w:val="31"/>
          <w:spacing w:val="21"/>
        </w:rPr>
        <w:t xml:space="preserve">4.2(b): </w:t>
      </w:r>
      <w:r>
        <w:rPr>
          <w:rStyle w:val="31"/>
        </w:rPr>
        <w:t>Construction Experience in Key Activities</w:t>
      </w:r>
      <w:r>
        <w:tab/>
      </w:r>
      <w:r>
        <w:fldChar w:fldCharType="begin"/>
      </w:r>
      <w:r>
        <w:instrText xml:space="preserve"> PAGEREF _Toc178519613 \h </w:instrText>
      </w:r>
      <w:r>
        <w:fldChar w:fldCharType="separate"/>
      </w:r>
      <w:r>
        <w:t>96</w:t>
      </w:r>
      <w:r>
        <w:fldChar w:fldCharType="end"/>
      </w:r>
      <w:r>
        <w:fldChar w:fldCharType="end"/>
      </w:r>
    </w:p>
    <w:p w14:paraId="57CCEFDF">
      <w:pPr>
        <w:pStyle w:val="59"/>
        <w:rPr>
          <w:rFonts w:asciiTheme="minorHAnsi" w:hAnsiTheme="minorHAnsi" w:eastAsiaTheme="minorEastAsia" w:cstheme="minorBidi"/>
          <w:kern w:val="2"/>
          <w:sz w:val="22"/>
          <w:szCs w:val="22"/>
          <w14:ligatures w14:val="standardContextual"/>
        </w:rPr>
      </w:pPr>
      <w:r>
        <w:fldChar w:fldCharType="begin"/>
      </w:r>
      <w:r>
        <w:instrText xml:space="preserve"> HYPERLINK \l "_Toc178519614" </w:instrText>
      </w:r>
      <w:r>
        <w:fldChar w:fldCharType="separate"/>
      </w:r>
      <w:r>
        <w:rPr>
          <w:rStyle w:val="31"/>
        </w:rPr>
        <w:t>Form EXP - 4.2(c): Specific Experience in Managing ES aspects</w:t>
      </w:r>
      <w:r>
        <w:tab/>
      </w:r>
      <w:r>
        <w:fldChar w:fldCharType="begin"/>
      </w:r>
      <w:r>
        <w:instrText xml:space="preserve"> PAGEREF _Toc178519614 \h </w:instrText>
      </w:r>
      <w:r>
        <w:fldChar w:fldCharType="separate"/>
      </w:r>
      <w:r>
        <w:t>99</w:t>
      </w:r>
      <w:r>
        <w:fldChar w:fldCharType="end"/>
      </w:r>
      <w:r>
        <w:fldChar w:fldCharType="end"/>
      </w:r>
    </w:p>
    <w:p w14:paraId="33819AE8">
      <w:r>
        <w:fldChar w:fldCharType="end"/>
      </w:r>
    </w:p>
    <w:p w14:paraId="0E209345">
      <w:pPr>
        <w:rPr>
          <w:rFonts w:cs="Arial"/>
        </w:rPr>
      </w:pPr>
      <w:r>
        <w:br w:type="page"/>
      </w:r>
    </w:p>
    <w:p w14:paraId="6215591E">
      <w:pPr>
        <w:pStyle w:val="152"/>
      </w:pPr>
      <w:bookmarkStart w:id="394" w:name="_Toc178519587"/>
      <w:bookmarkStart w:id="395" w:name="_Toc108950331"/>
      <w:bookmarkStart w:id="396" w:name="_Toc108949930"/>
      <w:r>
        <w:t>Letter of Bid</w:t>
      </w:r>
      <w:bookmarkEnd w:id="394"/>
    </w:p>
    <w:p w14:paraId="6808CC15">
      <w:pPr>
        <w:tabs>
          <w:tab w:val="right" w:pos="9000"/>
        </w:tabs>
        <w:spacing w:line="360" w:lineRule="auto"/>
        <w:ind w:left="4320" w:firstLine="720"/>
      </w:pPr>
      <w:r>
        <w:t xml:space="preserve">Date: </w:t>
      </w:r>
      <w:r>
        <w:rPr>
          <w:u w:val="single"/>
        </w:rPr>
        <w:tab/>
      </w:r>
    </w:p>
    <w:p w14:paraId="2B447DC3">
      <w:pPr>
        <w:tabs>
          <w:tab w:val="right" w:pos="9000"/>
        </w:tabs>
        <w:spacing w:line="360" w:lineRule="auto"/>
        <w:ind w:left="3600" w:firstLine="720"/>
        <w:rPr>
          <w:color w:val="auto"/>
          <w:sz w:val="24"/>
          <w:szCs w:val="24"/>
          <w:highlight w:val="none"/>
        </w:rPr>
      </w:pPr>
      <w:r>
        <w:t xml:space="preserve">NCB No.: </w:t>
      </w:r>
      <w:r>
        <w:rPr>
          <w:rFonts w:ascii="Times New Roman" w:hAnsi="Times New Roman" w:eastAsia="Times New Roman" w:cs="Times New Roman"/>
          <w:color w:val="auto"/>
          <w:sz w:val="28"/>
          <w:szCs w:val="28"/>
          <w:highlight w:val="none"/>
          <w:u w:val="none"/>
          <w:lang w:val="en-GB"/>
        </w:rPr>
        <w:t xml:space="preserve"> </w:t>
      </w:r>
      <w:r>
        <w:rPr>
          <w:rFonts w:ascii="Times New Roman" w:hAnsi="Times New Roman" w:eastAsia="Open Sans" w:cs="Times New Roman"/>
          <w:b/>
          <w:bCs/>
          <w:i w:val="0"/>
          <w:iCs w:val="0"/>
          <w:caps w:val="0"/>
          <w:color w:val="auto"/>
          <w:spacing w:val="0"/>
          <w:sz w:val="24"/>
          <w:szCs w:val="24"/>
          <w:highlight w:val="none"/>
          <w:u w:val="none"/>
          <w:shd w:val="clear" w:fill="E8EBF0"/>
        </w:rPr>
        <w:t>KE-WAJWASCO-456993-CW-RFB</w:t>
      </w:r>
    </w:p>
    <w:p w14:paraId="335204FD">
      <w:pPr>
        <w:tabs>
          <w:tab w:val="right" w:pos="9000"/>
        </w:tabs>
        <w:spacing w:line="360" w:lineRule="auto"/>
        <w:jc w:val="right"/>
        <w:rPr>
          <w:iCs/>
          <w:color w:val="auto"/>
          <w:highlight w:val="none"/>
        </w:rPr>
      </w:pPr>
      <w:r>
        <w:rPr>
          <w:color w:val="auto"/>
          <w:highlight w:val="none"/>
        </w:rPr>
        <w:t>Invitation for Bid No.: KE-WAJWASCO</w:t>
      </w:r>
      <w:r>
        <w:rPr>
          <w:rFonts w:hint="default"/>
          <w:color w:val="auto"/>
          <w:highlight w:val="none"/>
          <w:lang w:val="en-US"/>
        </w:rPr>
        <w:t>-456993</w:t>
      </w:r>
      <w:r>
        <w:rPr>
          <w:color w:val="auto"/>
          <w:highlight w:val="none"/>
        </w:rPr>
        <w:t>-</w:t>
      </w:r>
      <w:r>
        <w:rPr>
          <w:rFonts w:hint="default"/>
          <w:color w:val="auto"/>
          <w:highlight w:val="none"/>
          <w:lang w:val="en-US"/>
        </w:rPr>
        <w:t>CW</w:t>
      </w:r>
      <w:r>
        <w:rPr>
          <w:color w:val="auto"/>
          <w:highlight w:val="none"/>
        </w:rPr>
        <w:t>-RFB</w:t>
      </w:r>
    </w:p>
    <w:p w14:paraId="57E5E971">
      <w:pPr>
        <w:tabs>
          <w:tab w:val="right" w:pos="9000"/>
        </w:tabs>
        <w:spacing w:line="360" w:lineRule="auto"/>
        <w:jc w:val="right"/>
        <w:rPr>
          <w:rFonts w:cs="Arial"/>
        </w:rPr>
      </w:pPr>
      <w:r>
        <w:rPr>
          <w:rFonts w:cs="Arial"/>
        </w:rPr>
        <w:t xml:space="preserve">Alternative No.: </w:t>
      </w:r>
      <w:r>
        <w:rPr>
          <w:rFonts w:cs="Arial"/>
          <w:b/>
          <w:bCs/>
          <w:i/>
          <w:iCs/>
        </w:rPr>
        <w:t>Not Applicable</w:t>
      </w:r>
    </w:p>
    <w:p w14:paraId="6627EFB8">
      <w:pPr>
        <w:rPr>
          <w:rFonts w:cs="Arial"/>
        </w:rPr>
      </w:pPr>
    </w:p>
    <w:bookmarkEnd w:id="395"/>
    <w:bookmarkEnd w:id="396"/>
    <w:p w14:paraId="2524436E">
      <w:pPr>
        <w:tabs>
          <w:tab w:val="right" w:pos="9000"/>
        </w:tabs>
      </w:pPr>
    </w:p>
    <w:p w14:paraId="7B3BA7C7">
      <w:pPr>
        <w:tabs>
          <w:tab w:val="right" w:pos="9000"/>
        </w:tabs>
      </w:pPr>
      <w:bookmarkStart w:id="397" w:name="_Toc482500892"/>
      <w:r>
        <w:t xml:space="preserve">Date: </w:t>
      </w:r>
      <w:r>
        <w:rPr>
          <w:b/>
          <w:i/>
        </w:rPr>
        <w:t>[insert date (as day, month and year) of Bid Submission]</w:t>
      </w:r>
    </w:p>
    <w:p w14:paraId="3AA06ECF">
      <w:pPr>
        <w:tabs>
          <w:tab w:val="right" w:pos="9000"/>
        </w:tabs>
      </w:pPr>
      <w:r>
        <w:t xml:space="preserve">NCB No.: </w:t>
      </w:r>
      <w:r>
        <w:rPr>
          <w:b/>
          <w:u w:val="single"/>
        </w:rPr>
        <w:t>[</w:t>
      </w:r>
      <w:r>
        <w:rPr>
          <w:b/>
          <w:i/>
          <w:u w:val="single"/>
        </w:rPr>
        <w:t>insert number of bidding process</w:t>
      </w:r>
      <w:r>
        <w:rPr>
          <w:b/>
          <w:u w:val="single"/>
        </w:rPr>
        <w:t>]</w:t>
      </w:r>
    </w:p>
    <w:p w14:paraId="37C7DC3B">
      <w:pPr>
        <w:tabs>
          <w:tab w:val="right" w:pos="9000"/>
        </w:tabs>
      </w:pPr>
      <w:r>
        <w:t xml:space="preserve">Invitation for Bid No.: </w:t>
      </w:r>
      <w:r>
        <w:rPr>
          <w:b/>
          <w:i/>
        </w:rPr>
        <w:t>[insert identification]</w:t>
      </w:r>
    </w:p>
    <w:p w14:paraId="0958A5E5">
      <w:r>
        <w:rPr>
          <w:iCs/>
        </w:rPr>
        <w:t>Alternative No.:</w:t>
      </w:r>
      <w:r>
        <w:rPr>
          <w:i/>
          <w:iCs/>
        </w:rPr>
        <w:t xml:space="preserve"> </w:t>
      </w:r>
      <w:r>
        <w:rPr>
          <w:b/>
          <w:i/>
          <w:iCs/>
        </w:rPr>
        <w:t>[insert identification No if this is a Bid for an alternative]</w:t>
      </w:r>
    </w:p>
    <w:p w14:paraId="28E0E93B"/>
    <w:p w14:paraId="6041F1B6">
      <w:r>
        <w:t xml:space="preserve">To:  </w:t>
      </w:r>
    </w:p>
    <w:p w14:paraId="5CE2AB88">
      <w:pPr>
        <w:tabs>
          <w:tab w:val="right" w:pos="7254"/>
        </w:tabs>
        <w:spacing w:before="120" w:after="120"/>
      </w:pPr>
      <w:r>
        <w:rPr>
          <w:b/>
        </w:rPr>
        <w:t>Managing Director</w:t>
      </w:r>
    </w:p>
    <w:p w14:paraId="7EDB6721">
      <w:pPr>
        <w:rPr>
          <w:b/>
        </w:rPr>
      </w:pPr>
      <w:r>
        <w:rPr>
          <w:b/>
        </w:rPr>
        <w:t>Wajir Water and Sewerage Company Limited</w:t>
      </w:r>
    </w:p>
    <w:p w14:paraId="42105E51">
      <w:pPr>
        <w:tabs>
          <w:tab w:val="right" w:pos="7254"/>
        </w:tabs>
        <w:spacing w:before="120" w:after="120"/>
      </w:pPr>
      <w:r>
        <w:rPr>
          <w:b/>
        </w:rPr>
        <w:t>Airport Road</w:t>
      </w:r>
    </w:p>
    <w:p w14:paraId="08FF10B0">
      <w:pPr>
        <w:tabs>
          <w:tab w:val="right" w:pos="7254"/>
        </w:tabs>
        <w:spacing w:before="120" w:after="120"/>
      </w:pPr>
      <w:r>
        <w:rPr>
          <w:b/>
        </w:rPr>
        <w:t>Wajir</w:t>
      </w:r>
    </w:p>
    <w:p w14:paraId="57604843">
      <w:pPr>
        <w:rPr>
          <w:b/>
        </w:rPr>
      </w:pPr>
      <w:r>
        <w:rPr>
          <w:b/>
        </w:rPr>
        <w:t xml:space="preserve"> </w:t>
      </w:r>
    </w:p>
    <w:p w14:paraId="23C1054A"/>
    <w:p w14:paraId="3EF49E48">
      <w:pPr>
        <w:pStyle w:val="176"/>
        <w:numPr>
          <w:ilvl w:val="0"/>
          <w:numId w:val="42"/>
        </w:numPr>
        <w:spacing w:after="200"/>
        <w:ind w:left="432" w:hanging="432"/>
        <w:contextualSpacing w:val="0"/>
        <w:jc w:val="left"/>
      </w:pPr>
      <w:r>
        <w:t>We have examined and have no reservations to the Bidding Documents, including Addenda issued in accordance with Instructions to Bidders (ITB 8)</w:t>
      </w:r>
      <w:r>
        <w:rPr>
          <w:u w:val="single"/>
        </w:rPr>
        <w:tab/>
      </w:r>
      <w:r>
        <w:t>;</w:t>
      </w:r>
    </w:p>
    <w:p w14:paraId="4969050D">
      <w:pPr>
        <w:pStyle w:val="176"/>
        <w:numPr>
          <w:ilvl w:val="0"/>
          <w:numId w:val="42"/>
        </w:numPr>
        <w:spacing w:after="200"/>
        <w:ind w:left="432" w:hanging="432"/>
        <w:contextualSpacing w:val="0"/>
        <w:jc w:val="left"/>
      </w:pPr>
      <w:r>
        <w:rPr>
          <w:bCs/>
        </w:rPr>
        <w:t xml:space="preserve">We </w:t>
      </w:r>
      <w:r>
        <w:t>meet</w:t>
      </w:r>
      <w:r>
        <w:rPr>
          <w:bCs/>
        </w:rPr>
        <w:t xml:space="preserve"> the eligibility requirements and have no conflict of interest in accordance with ITB 4;</w:t>
      </w:r>
    </w:p>
    <w:p w14:paraId="5CF395D8">
      <w:pPr>
        <w:pStyle w:val="176"/>
        <w:numPr>
          <w:ilvl w:val="0"/>
          <w:numId w:val="42"/>
        </w:numPr>
        <w:spacing w:after="200"/>
        <w:ind w:left="432" w:hanging="432"/>
        <w:contextualSpacing w:val="0"/>
        <w:jc w:val="left"/>
      </w:pPr>
      <w:r>
        <w:rPr>
          <w:bCs/>
        </w:rPr>
        <w:t xml:space="preserve">We </w:t>
      </w:r>
      <w:r>
        <w:t>have</w:t>
      </w:r>
      <w:r>
        <w:rPr>
          <w:bCs/>
        </w:rPr>
        <w:t xml:space="preserve"> </w:t>
      </w:r>
      <w:r>
        <w:t>not</w:t>
      </w:r>
      <w:r>
        <w:rPr>
          <w:bCs/>
        </w:rPr>
        <w:t xml:space="preserve"> been suspended nor declared ineligible by the Employer based on execution of a Bid Securing Declaration in the Employer’s country</w:t>
      </w:r>
      <w:r>
        <w:t xml:space="preserve"> in accordance with ITB 4.6</w:t>
      </w:r>
    </w:p>
    <w:p w14:paraId="3EA4B061">
      <w:pPr>
        <w:numPr>
          <w:ilvl w:val="0"/>
          <w:numId w:val="42"/>
        </w:numPr>
        <w:spacing w:after="200"/>
        <w:ind w:left="576" w:right="-14" w:hanging="576"/>
        <w:jc w:val="both"/>
        <w:rPr>
          <w:color w:val="000000" w:themeColor="text1"/>
          <w14:textFill>
            <w14:solidFill>
              <w14:schemeClr w14:val="tx1"/>
            </w14:solidFill>
          </w14:textFill>
        </w:rPr>
      </w:pPr>
      <w:r>
        <w:rPr>
          <w:b/>
          <w:bCs/>
        </w:rPr>
        <w:t>Exploitation</w:t>
      </w:r>
      <w:r>
        <w:rPr>
          <w:b/>
          <w:color w:val="000000" w:themeColor="text1"/>
          <w14:textFill>
            <w14:solidFill>
              <w14:schemeClr w14:val="tx1"/>
            </w14:solidFill>
          </w14:textFill>
        </w:rPr>
        <w:t xml:space="preserve"> and Abuse (SEA) and/or Sexual Harassment (SH):</w:t>
      </w:r>
      <w:r>
        <w:rPr>
          <w:color w:val="000000" w:themeColor="text1"/>
          <w14:textFill>
            <w14:solidFill>
              <w14:schemeClr w14:val="tx1"/>
            </w14:solidFill>
          </w14:textFill>
        </w:rPr>
        <w:t xml:space="preserve"> </w:t>
      </w:r>
      <w:r>
        <w:rPr>
          <w:color w:val="000000"/>
        </w:rPr>
        <w:t>[</w:t>
      </w:r>
      <w:r>
        <w:rPr>
          <w:i/>
          <w:iCs/>
          <w:color w:val="000000"/>
        </w:rPr>
        <w:t>select the appropriate option from (i) to (v) below and delete the others</w:t>
      </w:r>
      <w:r>
        <w:rPr>
          <w:color w:val="000000"/>
        </w:rPr>
        <w:t>]</w:t>
      </w:r>
      <w:r>
        <w:rPr>
          <w:color w:val="000000" w:themeColor="text1"/>
          <w14:textFill>
            <w14:solidFill>
              <w14:schemeClr w14:val="tx1"/>
            </w14:solidFill>
          </w14:textFill>
        </w:rPr>
        <w:t>.</w:t>
      </w:r>
    </w:p>
    <w:p w14:paraId="4F0F5CAB">
      <w:pPr>
        <w:tabs>
          <w:tab w:val="right" w:pos="9000"/>
        </w:tabs>
        <w:spacing w:before="240" w:after="120"/>
        <w:ind w:left="360"/>
        <w:jc w:val="both"/>
        <w:rPr>
          <w:color w:val="000000" w:themeColor="text1"/>
          <w14:textFill>
            <w14:solidFill>
              <w14:schemeClr w14:val="tx1"/>
            </w14:solidFill>
          </w14:textFill>
        </w:rPr>
      </w:pPr>
      <w:r>
        <w:rPr>
          <w:color w:val="000000"/>
        </w:rPr>
        <w:t xml:space="preserve">We </w:t>
      </w:r>
      <w:r>
        <w:rPr>
          <w:i/>
          <w:iCs/>
          <w:color w:val="000000"/>
        </w:rPr>
        <w:t xml:space="preserve">[where JV, insert: </w:t>
      </w:r>
      <w:r>
        <w:rPr>
          <w:color w:val="000000"/>
        </w:rPr>
        <w:t>“including any of our JV members”</w:t>
      </w:r>
      <w:r>
        <w:rPr>
          <w:i/>
          <w:iCs/>
          <w:color w:val="000000"/>
        </w:rPr>
        <w:t>]</w:t>
      </w:r>
      <w:r>
        <w:rPr>
          <w:color w:val="000000"/>
        </w:rPr>
        <w:t>, and any of our subcontractors</w:t>
      </w:r>
      <w:r>
        <w:rPr>
          <w:color w:val="000000" w:themeColor="text1"/>
          <w14:textFill>
            <w14:solidFill>
              <w14:schemeClr w14:val="tx1"/>
            </w14:solidFill>
          </w14:textFill>
        </w:rPr>
        <w:t>:</w:t>
      </w:r>
    </w:p>
    <w:p w14:paraId="1B62E763">
      <w:pPr>
        <w:pStyle w:val="176"/>
        <w:numPr>
          <w:ilvl w:val="1"/>
          <w:numId w:val="43"/>
        </w:numPr>
        <w:tabs>
          <w:tab w:val="right" w:pos="9000"/>
        </w:tabs>
        <w:spacing w:before="120" w:after="120"/>
        <w:ind w:left="1260"/>
        <w:contextualSpacing w:val="0"/>
      </w:pPr>
      <w:r>
        <w:rPr>
          <w:color w:val="000000" w:themeColor="text1"/>
          <w14:textFill>
            <w14:solidFill>
              <w14:schemeClr w14:val="tx1"/>
            </w14:solidFill>
          </w14:textFill>
        </w:rPr>
        <w:t xml:space="preserve">[have not been </w:t>
      </w:r>
      <w:r>
        <w:t xml:space="preserve">subject to disqualification by the Bank for non-compliance with SEA/ SH obligations.] </w:t>
      </w:r>
    </w:p>
    <w:p w14:paraId="3C537D95">
      <w:pPr>
        <w:pStyle w:val="176"/>
        <w:numPr>
          <w:ilvl w:val="1"/>
          <w:numId w:val="43"/>
        </w:numPr>
        <w:tabs>
          <w:tab w:val="right" w:pos="9000"/>
        </w:tabs>
        <w:spacing w:before="120" w:after="120"/>
        <w:ind w:left="1260"/>
        <w:contextualSpacing w:val="0"/>
      </w:pPr>
      <w:r>
        <w:t>[</w:t>
      </w:r>
      <w:r>
        <w:rPr>
          <w:color w:val="000000" w:themeColor="text1"/>
          <w14:textFill>
            <w14:solidFill>
              <w14:schemeClr w14:val="tx1"/>
            </w14:solidFill>
          </w14:textFill>
        </w:rPr>
        <w:t xml:space="preserve">are </w:t>
      </w:r>
      <w:r>
        <w:t xml:space="preserve">subject to disqualification by the Bank for non-compliance with SEA/ SH obligations.] </w:t>
      </w:r>
    </w:p>
    <w:p w14:paraId="6A0594F1">
      <w:pPr>
        <w:pStyle w:val="176"/>
        <w:numPr>
          <w:ilvl w:val="1"/>
          <w:numId w:val="43"/>
        </w:numPr>
        <w:tabs>
          <w:tab w:val="right" w:pos="9000"/>
        </w:tabs>
        <w:spacing w:before="120" w:after="120"/>
        <w:ind w:left="1260"/>
        <w:contextualSpacing w:val="0"/>
        <w:rPr>
          <w:color w:val="000000" w:themeColor="text1"/>
          <w14:textFill>
            <w14:solidFill>
              <w14:schemeClr w14:val="tx1"/>
            </w14:solidFill>
          </w14:textFill>
        </w:rPr>
      </w:pPr>
      <w:r>
        <w:rPr>
          <w:color w:val="000000" w:themeColor="text1"/>
          <w14:textFill>
            <w14:solidFill>
              <w14:schemeClr w14:val="tx1"/>
            </w14:solidFill>
          </w14:textFill>
        </w:rPr>
        <w:t xml:space="preserve">[had been </w:t>
      </w:r>
      <w:r>
        <w:t xml:space="preserve">subject to disqualification by the Bank for non-compliance with SEA/ SH obligations. </w:t>
      </w:r>
      <w:r>
        <w:rPr>
          <w:color w:val="000000" w:themeColor="text1"/>
          <w14:textFill>
            <w14:solidFill>
              <w14:schemeClr w14:val="tx1"/>
            </w14:solidFill>
          </w14:textFill>
        </w:rPr>
        <w:t>An arbitral award on the disqualification case has been made in our favor.]</w:t>
      </w:r>
    </w:p>
    <w:p w14:paraId="09272A21">
      <w:pPr>
        <w:pStyle w:val="176"/>
        <w:numPr>
          <w:ilvl w:val="1"/>
          <w:numId w:val="43"/>
        </w:numPr>
        <w:tabs>
          <w:tab w:val="right" w:pos="9000"/>
        </w:tabs>
        <w:spacing w:before="120" w:after="120"/>
        <w:ind w:left="1260"/>
        <w:contextualSpacing w:val="0"/>
        <w:rPr>
          <w:color w:val="000000" w:themeColor="text1"/>
          <w14:textFill>
            <w14:solidFill>
              <w14:schemeClr w14:val="tx1"/>
            </w14:solidFill>
          </w14:textFill>
        </w:rPr>
      </w:pPr>
      <w:r>
        <w:rPr>
          <w:color w:val="000000" w:themeColor="text1"/>
          <w14:textFill>
            <w14:solidFill>
              <w14:schemeClr w14:val="tx1"/>
            </w14:solidFill>
          </w14:textFill>
        </w:rPr>
        <w:t xml:space="preserve">[had been </w:t>
      </w:r>
      <w:r>
        <w:t xml:space="preserve">subject to disqualification by the Bank for non-compliance with SEA/ SH obligations for a period of two years. </w:t>
      </w:r>
      <w:r>
        <w:rPr>
          <w:color w:val="000000" w:themeColor="text1"/>
          <w14:textFill>
            <w14:solidFill>
              <w14:schemeClr w14:val="tx1"/>
            </w14:solidFill>
          </w14:textFill>
        </w:rPr>
        <w:t xml:space="preserve">We have subsequently provided and demonstrated that we have adequate capacity and commitment to comply with SEA and SH prevention and response obligations.] </w:t>
      </w:r>
    </w:p>
    <w:p w14:paraId="66E8B858">
      <w:pPr>
        <w:pStyle w:val="176"/>
        <w:numPr>
          <w:ilvl w:val="1"/>
          <w:numId w:val="43"/>
        </w:numPr>
        <w:tabs>
          <w:tab w:val="right" w:pos="9000"/>
        </w:tabs>
        <w:spacing w:before="120" w:after="120"/>
        <w:ind w:left="1260"/>
        <w:contextualSpacing w:val="0"/>
        <w:rPr>
          <w:color w:val="000000" w:themeColor="text1"/>
          <w14:textFill>
            <w14:solidFill>
              <w14:schemeClr w14:val="tx1"/>
            </w14:solidFill>
          </w14:textFill>
        </w:rPr>
      </w:pPr>
      <w:r>
        <w:rPr>
          <w:color w:val="000000" w:themeColor="text1"/>
          <w14:textFill>
            <w14:solidFill>
              <w14:schemeClr w14:val="tx1"/>
            </w14:solidFill>
          </w14:textFill>
        </w:rPr>
        <w:t xml:space="preserve">[had been </w:t>
      </w:r>
      <w:r>
        <w:t xml:space="preserve">subject to disqualification by the Bank for non-compliance with SEA/ SH obligations for a period of two years. </w:t>
      </w:r>
      <w:r>
        <w:rPr>
          <w:color w:val="000000" w:themeColor="text1"/>
          <w14:textFill>
            <w14:solidFill>
              <w14:schemeClr w14:val="tx1"/>
            </w14:solidFill>
          </w14:textFill>
        </w:rPr>
        <w:t>We have attached documents demonstrating that we have adequate capacity and commitment to comply with SEA and SH prevention and response obligations.]</w:t>
      </w:r>
    </w:p>
    <w:p w14:paraId="07C85C4F">
      <w:pPr>
        <w:pStyle w:val="176"/>
        <w:numPr>
          <w:ilvl w:val="0"/>
          <w:numId w:val="42"/>
        </w:numPr>
        <w:spacing w:after="200"/>
        <w:ind w:left="432" w:hanging="432"/>
        <w:contextualSpacing w:val="0"/>
        <w:jc w:val="left"/>
      </w:pPr>
      <w:r>
        <w:t xml:space="preserve">We offer to execute in conformity with the Bidding Documents the following Works: </w:t>
      </w:r>
      <w:r>
        <w:rPr>
          <w:rFonts w:ascii="Times New Roman" w:hAnsi="Times New Roman"/>
          <w:b/>
          <w:bCs/>
          <w:iCs/>
          <w:sz w:val="24"/>
          <w:highlight w:val="none"/>
        </w:rPr>
        <w:t xml:space="preserve">Construction of 1no. Faecal Sludge Treatment Plant in Wajir Town </w:t>
      </w:r>
      <w:r>
        <w:rPr>
          <w:b/>
          <w:i/>
          <w:u w:val="single"/>
        </w:rPr>
        <w:t>s</w:t>
      </w:r>
    </w:p>
    <w:p w14:paraId="2C89F833">
      <w:pPr>
        <w:pStyle w:val="176"/>
        <w:numPr>
          <w:ilvl w:val="0"/>
          <w:numId w:val="42"/>
        </w:numPr>
        <w:spacing w:after="200"/>
        <w:ind w:left="432" w:hanging="432"/>
        <w:contextualSpacing w:val="0"/>
        <w:jc w:val="left"/>
      </w:pPr>
      <w:r>
        <w:t xml:space="preserve">The total price of our Bid, excluding any discounts offered in item (f) below is: </w:t>
      </w:r>
    </w:p>
    <w:p w14:paraId="44038A87">
      <w:pPr>
        <w:spacing w:after="200"/>
        <w:ind w:left="432"/>
      </w:pPr>
      <w:r>
        <w:t xml:space="preserve">In case of only one lot, total price of the Bid </w:t>
      </w:r>
      <w:r>
        <w:rPr>
          <w:b/>
          <w:i/>
          <w:u w:val="single"/>
        </w:rPr>
        <w:t>[insert the total price of the bid in words and figures, indicating the various amounts and the respective currencies]</w:t>
      </w:r>
      <w:r>
        <w:rPr>
          <w:b/>
          <w:u w:val="single"/>
        </w:rPr>
        <w:t>;</w:t>
      </w:r>
    </w:p>
    <w:p w14:paraId="56E63A41">
      <w:pPr>
        <w:spacing w:after="200"/>
        <w:ind w:left="432"/>
        <w:rPr>
          <w:u w:val="single"/>
        </w:rPr>
      </w:pPr>
      <w:r>
        <w:rPr>
          <w:u w:val="single"/>
        </w:rPr>
        <w:t xml:space="preserve">In case of multiple lots, total price of each </w:t>
      </w:r>
      <w:r>
        <w:rPr>
          <w:i/>
          <w:u w:val="single"/>
        </w:rPr>
        <w:t xml:space="preserve">lot </w:t>
      </w:r>
      <w:r>
        <w:rPr>
          <w:b/>
          <w:i/>
          <w:u w:val="single"/>
        </w:rPr>
        <w:t>[insert the total price of each lot in words and figures, indicating the various amounts and the respective currencies]</w:t>
      </w:r>
      <w:r>
        <w:rPr>
          <w:b/>
          <w:u w:val="single"/>
        </w:rPr>
        <w:t>;</w:t>
      </w:r>
    </w:p>
    <w:p w14:paraId="5955A7F4">
      <w:pPr>
        <w:spacing w:after="200"/>
        <w:ind w:left="432"/>
      </w:pPr>
      <w:r>
        <w:rPr>
          <w:u w:val="single"/>
        </w:rPr>
        <w:t>In case of multiple lots, total price of all lots (sum of all lots)</w:t>
      </w:r>
      <w:r>
        <w:rPr>
          <w:i/>
          <w:u w:val="single"/>
        </w:rPr>
        <w:t xml:space="preserve"> </w:t>
      </w:r>
      <w:r>
        <w:rPr>
          <w:b/>
          <w:i/>
          <w:u w:val="single"/>
        </w:rPr>
        <w:t>[insert the total price of all lots in words and figures, indicating the various amounts and the respective currencies]</w:t>
      </w:r>
      <w:r>
        <w:t>;</w:t>
      </w:r>
    </w:p>
    <w:p w14:paraId="46191B66">
      <w:pPr>
        <w:pStyle w:val="176"/>
        <w:numPr>
          <w:ilvl w:val="0"/>
          <w:numId w:val="42"/>
        </w:numPr>
        <w:spacing w:after="200"/>
        <w:ind w:left="432" w:hanging="432"/>
        <w:contextualSpacing w:val="0"/>
        <w:jc w:val="left"/>
      </w:pPr>
      <w:r>
        <w:t xml:space="preserve">The discounts offered and the methodology for their application are: </w:t>
      </w:r>
    </w:p>
    <w:p w14:paraId="4C3CF723">
      <w:pPr>
        <w:spacing w:after="200"/>
        <w:ind w:left="864" w:hanging="432"/>
        <w:rPr>
          <w:u w:val="single"/>
        </w:rPr>
      </w:pPr>
      <w:r>
        <w:t>(i) The</w:t>
      </w:r>
      <w:r>
        <w:rPr>
          <w:u w:val="single"/>
        </w:rPr>
        <w:t xml:space="preserve"> discounts offered are: </w:t>
      </w:r>
      <w:r>
        <w:rPr>
          <w:b/>
          <w:i/>
          <w:u w:val="single"/>
        </w:rPr>
        <w:t>[Specify in detail each discount offered.</w:t>
      </w:r>
      <w:r>
        <w:rPr>
          <w:i/>
          <w:u w:val="single"/>
        </w:rPr>
        <w:t>]</w:t>
      </w:r>
    </w:p>
    <w:p w14:paraId="59E1E6CF">
      <w:pPr>
        <w:spacing w:after="200"/>
        <w:ind w:left="864" w:hanging="432"/>
        <w:rPr>
          <w:u w:val="single"/>
        </w:rPr>
      </w:pPr>
      <w:r>
        <w:t>(ii) The</w:t>
      </w:r>
      <w:r>
        <w:rPr>
          <w:u w:val="single"/>
        </w:rPr>
        <w:t xml:space="preserve"> exact method of calculations to determine the net price after application of discounts is shown below</w:t>
      </w:r>
      <w:r>
        <w:rPr>
          <w:i/>
          <w:u w:val="single"/>
        </w:rPr>
        <w:t>:</w:t>
      </w:r>
      <w:r>
        <w:rPr>
          <w:b/>
          <w:i/>
        </w:rPr>
        <w:t xml:space="preserve"> </w:t>
      </w:r>
      <w:r>
        <w:rPr>
          <w:i/>
          <w:u w:val="single"/>
        </w:rPr>
        <w:t>[</w:t>
      </w:r>
      <w:r>
        <w:rPr>
          <w:b/>
          <w:i/>
          <w:u w:val="single"/>
        </w:rPr>
        <w:t>Specify in detail the method that shall be used to apply the discounts</w:t>
      </w:r>
      <w:r>
        <w:rPr>
          <w:i/>
          <w:u w:val="single"/>
        </w:rPr>
        <w:t>];</w:t>
      </w:r>
    </w:p>
    <w:p w14:paraId="4A607F05">
      <w:pPr>
        <w:pStyle w:val="176"/>
        <w:numPr>
          <w:ilvl w:val="0"/>
          <w:numId w:val="42"/>
        </w:numPr>
        <w:spacing w:after="200"/>
        <w:ind w:left="432" w:hanging="432"/>
        <w:contextualSpacing w:val="0"/>
        <w:jc w:val="left"/>
      </w:pPr>
      <w:r>
        <w:t xml:space="preserve">Our bid shall be valid </w:t>
      </w:r>
      <w:bookmarkStart w:id="398" w:name="_Hlk24711265"/>
      <w:r>
        <w:t xml:space="preserve">until </w:t>
      </w:r>
      <w:r>
        <w:rPr>
          <w:i/>
        </w:rPr>
        <w:t>[insert day, month and year in accordance with ITB 18.1]</w:t>
      </w:r>
      <w:bookmarkEnd w:id="398"/>
      <w:r>
        <w:t>, and it shall remain binding upon us and may be accepted at any time on or before this date;</w:t>
      </w:r>
    </w:p>
    <w:p w14:paraId="72F5CB43">
      <w:pPr>
        <w:pStyle w:val="176"/>
        <w:numPr>
          <w:ilvl w:val="0"/>
          <w:numId w:val="42"/>
        </w:numPr>
        <w:spacing w:after="200"/>
        <w:ind w:left="432" w:hanging="432"/>
        <w:contextualSpacing w:val="0"/>
        <w:jc w:val="left"/>
      </w:pPr>
      <w:r>
        <w:t xml:space="preserve">If our bid is accepted, we commit to obtain a performance security </w:t>
      </w:r>
      <w:r>
        <w:rPr>
          <w:color w:val="000000"/>
        </w:rPr>
        <w:t>[</w:t>
      </w:r>
      <w:r>
        <w:rPr>
          <w:i/>
        </w:rPr>
        <w:t>and an Environmental, and Social (ES) Performance Security,</w:t>
      </w:r>
      <w:r>
        <w:t xml:space="preserve"> </w:t>
      </w:r>
      <w:r>
        <w:rPr>
          <w:b/>
          <w:i/>
        </w:rPr>
        <w:t>Delete if not applicable</w:t>
      </w:r>
      <w:r>
        <w:t>] in accordance with the Bidding Documents;</w:t>
      </w:r>
    </w:p>
    <w:p w14:paraId="5A83D17C">
      <w:pPr>
        <w:pStyle w:val="176"/>
        <w:numPr>
          <w:ilvl w:val="0"/>
          <w:numId w:val="42"/>
        </w:numPr>
        <w:spacing w:after="200"/>
        <w:ind w:left="432" w:hanging="432"/>
        <w:contextualSpacing w:val="0"/>
        <w:jc w:val="left"/>
      </w:pPr>
      <w:r>
        <w:t>We</w:t>
      </w:r>
      <w:r>
        <w:rPr>
          <w:i/>
        </w:rPr>
        <w:t xml:space="preserve"> </w:t>
      </w:r>
      <w:r>
        <w:t>are not participating, as a Bidder or as a subcontractor, in more than one bid in this bidding process in accordance with ITB 4.2(e), other than alternative bids submitted in accordance with ITB 13;</w:t>
      </w:r>
    </w:p>
    <w:p w14:paraId="0E085D8A">
      <w:pPr>
        <w:pStyle w:val="176"/>
        <w:numPr>
          <w:ilvl w:val="0"/>
          <w:numId w:val="42"/>
        </w:numPr>
        <w:spacing w:after="200"/>
        <w:ind w:left="432" w:hanging="432"/>
        <w:contextualSpacing w:val="0"/>
        <w:jc w:val="left"/>
      </w:pPr>
      <w:r>
        <w:t>We, along with any of our subcontractors, suppliers, consultants, manufacturers, or service providers for any part of the contract, are not subject to, and not controlled by any entity or individual that is subject to, a temporary suspension or a debarment imposed by a member of the World Bank Group or a debarment imposed by the World Bank Group in accordance with the Agreement for Mutual Enforcement of Debarment Decisions between the World Bank and other development banks. Further, we are not ineligible under the Employer’s country laws or official regulations or pursuant to a decision of the United Nations Security Council;</w:t>
      </w:r>
    </w:p>
    <w:p w14:paraId="71F9224A">
      <w:pPr>
        <w:pStyle w:val="176"/>
        <w:numPr>
          <w:ilvl w:val="0"/>
          <w:numId w:val="42"/>
        </w:numPr>
        <w:spacing w:after="200"/>
        <w:ind w:left="432" w:hanging="432"/>
        <w:contextualSpacing w:val="0"/>
        <w:jc w:val="left"/>
      </w:pPr>
      <w:r>
        <w:t>We are not a government owned entity/ We are a government owned entity but meet the requirements of ITB 4.5;</w:t>
      </w:r>
      <w:r>
        <w:rPr>
          <w:vertAlign w:val="superscript"/>
        </w:rPr>
        <w:footnoteReference w:id="16"/>
      </w:r>
    </w:p>
    <w:p w14:paraId="7DA562B2">
      <w:pPr>
        <w:pStyle w:val="176"/>
        <w:numPr>
          <w:ilvl w:val="0"/>
          <w:numId w:val="42"/>
        </w:numPr>
        <w:spacing w:after="200"/>
        <w:ind w:left="432" w:hanging="432"/>
        <w:contextualSpacing w:val="0"/>
        <w:jc w:val="left"/>
      </w:pPr>
      <w:r>
        <w:t xml:space="preserve">We have paid, or will pay the following commissions, gratuities, or fees with respect to the bidding process or execution of the Contract: </w:t>
      </w:r>
      <w:r>
        <w:rPr>
          <w:b/>
          <w:i/>
        </w:rPr>
        <w:t>[insert complete name of each Recipient, its full address, the reason for which each commission or gratuity was paid and the amount and currency of each such commission or gratuity]</w:t>
      </w:r>
    </w:p>
    <w:p w14:paraId="4CC84392"/>
    <w:tbl>
      <w:tblPr>
        <w:tblStyle w:val="12"/>
        <w:tblW w:w="0" w:type="auto"/>
        <w:tblInd w:w="5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0"/>
        <w:gridCol w:w="2520"/>
        <w:gridCol w:w="2070"/>
        <w:gridCol w:w="1548"/>
      </w:tblGrid>
      <w:tr w14:paraId="24C1F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0" w:type="dxa"/>
            <w:tcBorders>
              <w:top w:val="nil"/>
              <w:left w:val="nil"/>
              <w:bottom w:val="nil"/>
              <w:right w:val="nil"/>
            </w:tcBorders>
          </w:tcPr>
          <w:p w14:paraId="39D50A16">
            <w:r>
              <w:t>Name of Recipient</w:t>
            </w:r>
          </w:p>
        </w:tc>
        <w:tc>
          <w:tcPr>
            <w:tcW w:w="2520" w:type="dxa"/>
            <w:tcBorders>
              <w:top w:val="nil"/>
              <w:left w:val="nil"/>
              <w:bottom w:val="nil"/>
              <w:right w:val="nil"/>
            </w:tcBorders>
          </w:tcPr>
          <w:p w14:paraId="3CF0C3DC">
            <w:r>
              <w:t>Address</w:t>
            </w:r>
          </w:p>
        </w:tc>
        <w:tc>
          <w:tcPr>
            <w:tcW w:w="2070" w:type="dxa"/>
            <w:tcBorders>
              <w:top w:val="nil"/>
              <w:left w:val="nil"/>
              <w:bottom w:val="nil"/>
              <w:right w:val="nil"/>
            </w:tcBorders>
          </w:tcPr>
          <w:p w14:paraId="7B96AEE7">
            <w:r>
              <w:t>Reason</w:t>
            </w:r>
          </w:p>
        </w:tc>
        <w:tc>
          <w:tcPr>
            <w:tcW w:w="1548" w:type="dxa"/>
            <w:tcBorders>
              <w:top w:val="nil"/>
              <w:left w:val="nil"/>
              <w:bottom w:val="nil"/>
              <w:right w:val="nil"/>
            </w:tcBorders>
          </w:tcPr>
          <w:p w14:paraId="5EC0C7E8">
            <w:r>
              <w:t>Amount</w:t>
            </w:r>
          </w:p>
        </w:tc>
      </w:tr>
      <w:tr w14:paraId="22E59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0" w:type="dxa"/>
            <w:tcBorders>
              <w:top w:val="nil"/>
              <w:left w:val="nil"/>
              <w:bottom w:val="nil"/>
              <w:right w:val="nil"/>
            </w:tcBorders>
          </w:tcPr>
          <w:p w14:paraId="3F219009">
            <w:pPr>
              <w:rPr>
                <w:u w:val="single"/>
              </w:rPr>
            </w:pPr>
            <w:r>
              <w:rPr>
                <w:u w:val="single"/>
              </w:rPr>
              <w:tab/>
            </w:r>
          </w:p>
        </w:tc>
        <w:tc>
          <w:tcPr>
            <w:tcW w:w="2520" w:type="dxa"/>
            <w:tcBorders>
              <w:top w:val="nil"/>
              <w:left w:val="nil"/>
              <w:bottom w:val="nil"/>
              <w:right w:val="nil"/>
            </w:tcBorders>
          </w:tcPr>
          <w:p w14:paraId="059F8729">
            <w:pPr>
              <w:rPr>
                <w:u w:val="single"/>
              </w:rPr>
            </w:pPr>
            <w:r>
              <w:rPr>
                <w:u w:val="single"/>
              </w:rPr>
              <w:tab/>
            </w:r>
          </w:p>
        </w:tc>
        <w:tc>
          <w:tcPr>
            <w:tcW w:w="2070" w:type="dxa"/>
            <w:tcBorders>
              <w:top w:val="nil"/>
              <w:left w:val="nil"/>
              <w:bottom w:val="nil"/>
              <w:right w:val="nil"/>
            </w:tcBorders>
          </w:tcPr>
          <w:p w14:paraId="5410D3DC">
            <w:pPr>
              <w:rPr>
                <w:u w:val="single"/>
              </w:rPr>
            </w:pPr>
            <w:r>
              <w:rPr>
                <w:u w:val="single"/>
              </w:rPr>
              <w:tab/>
            </w:r>
          </w:p>
        </w:tc>
        <w:tc>
          <w:tcPr>
            <w:tcW w:w="1548" w:type="dxa"/>
            <w:tcBorders>
              <w:top w:val="nil"/>
              <w:left w:val="nil"/>
              <w:bottom w:val="nil"/>
              <w:right w:val="nil"/>
            </w:tcBorders>
          </w:tcPr>
          <w:p w14:paraId="249C7FF5">
            <w:pPr>
              <w:rPr>
                <w:u w:val="single"/>
              </w:rPr>
            </w:pPr>
            <w:r>
              <w:rPr>
                <w:u w:val="single"/>
              </w:rPr>
              <w:tab/>
            </w:r>
          </w:p>
        </w:tc>
      </w:tr>
      <w:tr w14:paraId="2A505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0" w:type="dxa"/>
            <w:tcBorders>
              <w:top w:val="nil"/>
              <w:left w:val="nil"/>
              <w:bottom w:val="nil"/>
              <w:right w:val="nil"/>
            </w:tcBorders>
          </w:tcPr>
          <w:p w14:paraId="5CBC0A7B">
            <w:pPr>
              <w:rPr>
                <w:u w:val="single"/>
              </w:rPr>
            </w:pPr>
            <w:r>
              <w:rPr>
                <w:u w:val="single"/>
              </w:rPr>
              <w:tab/>
            </w:r>
          </w:p>
        </w:tc>
        <w:tc>
          <w:tcPr>
            <w:tcW w:w="2520" w:type="dxa"/>
            <w:tcBorders>
              <w:top w:val="nil"/>
              <w:left w:val="nil"/>
              <w:bottom w:val="nil"/>
              <w:right w:val="nil"/>
            </w:tcBorders>
          </w:tcPr>
          <w:p w14:paraId="34EB02E0">
            <w:pPr>
              <w:rPr>
                <w:u w:val="single"/>
              </w:rPr>
            </w:pPr>
            <w:r>
              <w:rPr>
                <w:u w:val="single"/>
              </w:rPr>
              <w:tab/>
            </w:r>
          </w:p>
        </w:tc>
        <w:tc>
          <w:tcPr>
            <w:tcW w:w="2070" w:type="dxa"/>
            <w:tcBorders>
              <w:top w:val="nil"/>
              <w:left w:val="nil"/>
              <w:bottom w:val="nil"/>
              <w:right w:val="nil"/>
            </w:tcBorders>
          </w:tcPr>
          <w:p w14:paraId="36DA1E52">
            <w:pPr>
              <w:rPr>
                <w:u w:val="single"/>
              </w:rPr>
            </w:pPr>
            <w:r>
              <w:rPr>
                <w:u w:val="single"/>
              </w:rPr>
              <w:tab/>
            </w:r>
          </w:p>
        </w:tc>
        <w:tc>
          <w:tcPr>
            <w:tcW w:w="1548" w:type="dxa"/>
            <w:tcBorders>
              <w:top w:val="nil"/>
              <w:left w:val="nil"/>
              <w:bottom w:val="nil"/>
              <w:right w:val="nil"/>
            </w:tcBorders>
          </w:tcPr>
          <w:p w14:paraId="68CA0C8C">
            <w:pPr>
              <w:rPr>
                <w:u w:val="single"/>
              </w:rPr>
            </w:pPr>
            <w:r>
              <w:rPr>
                <w:u w:val="single"/>
              </w:rPr>
              <w:tab/>
            </w:r>
          </w:p>
        </w:tc>
      </w:tr>
      <w:tr w14:paraId="1C2F0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0" w:type="dxa"/>
            <w:tcBorders>
              <w:top w:val="nil"/>
              <w:left w:val="nil"/>
              <w:bottom w:val="nil"/>
              <w:right w:val="nil"/>
            </w:tcBorders>
          </w:tcPr>
          <w:p w14:paraId="666B1B05">
            <w:pPr>
              <w:rPr>
                <w:u w:val="single"/>
              </w:rPr>
            </w:pPr>
            <w:r>
              <w:rPr>
                <w:u w:val="single"/>
              </w:rPr>
              <w:tab/>
            </w:r>
          </w:p>
        </w:tc>
        <w:tc>
          <w:tcPr>
            <w:tcW w:w="2520" w:type="dxa"/>
            <w:tcBorders>
              <w:top w:val="nil"/>
              <w:left w:val="nil"/>
              <w:bottom w:val="nil"/>
              <w:right w:val="nil"/>
            </w:tcBorders>
          </w:tcPr>
          <w:p w14:paraId="35F86BA7">
            <w:pPr>
              <w:rPr>
                <w:u w:val="single"/>
              </w:rPr>
            </w:pPr>
            <w:r>
              <w:rPr>
                <w:u w:val="single"/>
              </w:rPr>
              <w:tab/>
            </w:r>
          </w:p>
        </w:tc>
        <w:tc>
          <w:tcPr>
            <w:tcW w:w="2070" w:type="dxa"/>
            <w:tcBorders>
              <w:top w:val="nil"/>
              <w:left w:val="nil"/>
              <w:bottom w:val="nil"/>
              <w:right w:val="nil"/>
            </w:tcBorders>
          </w:tcPr>
          <w:p w14:paraId="1646C188">
            <w:pPr>
              <w:rPr>
                <w:u w:val="single"/>
              </w:rPr>
            </w:pPr>
            <w:r>
              <w:rPr>
                <w:u w:val="single"/>
              </w:rPr>
              <w:tab/>
            </w:r>
          </w:p>
        </w:tc>
        <w:tc>
          <w:tcPr>
            <w:tcW w:w="1548" w:type="dxa"/>
            <w:tcBorders>
              <w:top w:val="nil"/>
              <w:left w:val="nil"/>
              <w:bottom w:val="nil"/>
              <w:right w:val="nil"/>
            </w:tcBorders>
          </w:tcPr>
          <w:p w14:paraId="337B4C68">
            <w:pPr>
              <w:rPr>
                <w:u w:val="single"/>
              </w:rPr>
            </w:pPr>
            <w:r>
              <w:rPr>
                <w:u w:val="single"/>
              </w:rPr>
              <w:tab/>
            </w:r>
          </w:p>
        </w:tc>
      </w:tr>
      <w:tr w14:paraId="007E3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0" w:type="dxa"/>
            <w:tcBorders>
              <w:top w:val="nil"/>
              <w:left w:val="nil"/>
              <w:bottom w:val="nil"/>
              <w:right w:val="nil"/>
            </w:tcBorders>
          </w:tcPr>
          <w:p w14:paraId="545EFE9D">
            <w:pPr>
              <w:rPr>
                <w:u w:val="single"/>
              </w:rPr>
            </w:pPr>
            <w:r>
              <w:rPr>
                <w:u w:val="single"/>
              </w:rPr>
              <w:tab/>
            </w:r>
          </w:p>
        </w:tc>
        <w:tc>
          <w:tcPr>
            <w:tcW w:w="2520" w:type="dxa"/>
            <w:tcBorders>
              <w:top w:val="nil"/>
              <w:left w:val="nil"/>
              <w:bottom w:val="nil"/>
              <w:right w:val="nil"/>
            </w:tcBorders>
          </w:tcPr>
          <w:p w14:paraId="5B5AACCB">
            <w:pPr>
              <w:rPr>
                <w:u w:val="single"/>
              </w:rPr>
            </w:pPr>
            <w:r>
              <w:rPr>
                <w:u w:val="single"/>
              </w:rPr>
              <w:tab/>
            </w:r>
          </w:p>
        </w:tc>
        <w:tc>
          <w:tcPr>
            <w:tcW w:w="2070" w:type="dxa"/>
            <w:tcBorders>
              <w:top w:val="nil"/>
              <w:left w:val="nil"/>
              <w:bottom w:val="nil"/>
              <w:right w:val="nil"/>
            </w:tcBorders>
          </w:tcPr>
          <w:p w14:paraId="40A3C6D5">
            <w:pPr>
              <w:rPr>
                <w:u w:val="single"/>
              </w:rPr>
            </w:pPr>
            <w:r>
              <w:rPr>
                <w:u w:val="single"/>
              </w:rPr>
              <w:tab/>
            </w:r>
          </w:p>
        </w:tc>
        <w:tc>
          <w:tcPr>
            <w:tcW w:w="1548" w:type="dxa"/>
            <w:tcBorders>
              <w:top w:val="nil"/>
              <w:left w:val="nil"/>
              <w:bottom w:val="nil"/>
              <w:right w:val="nil"/>
            </w:tcBorders>
          </w:tcPr>
          <w:p w14:paraId="660FA01C">
            <w:pPr>
              <w:rPr>
                <w:u w:val="single"/>
              </w:rPr>
            </w:pPr>
            <w:r>
              <w:rPr>
                <w:u w:val="single"/>
              </w:rPr>
              <w:tab/>
            </w:r>
          </w:p>
        </w:tc>
      </w:tr>
    </w:tbl>
    <w:p w14:paraId="061D21BA"/>
    <w:p w14:paraId="26A397FE">
      <w:r>
        <w:tab/>
      </w:r>
      <w:r>
        <w:t>(If none has been paid or is to be paid, indicate “none.”)</w:t>
      </w:r>
    </w:p>
    <w:p w14:paraId="6D0AABD1"/>
    <w:p w14:paraId="4D6E68D9">
      <w:pPr>
        <w:pStyle w:val="176"/>
        <w:numPr>
          <w:ilvl w:val="0"/>
          <w:numId w:val="42"/>
        </w:numPr>
        <w:spacing w:after="200"/>
        <w:ind w:left="432" w:hanging="432"/>
        <w:contextualSpacing w:val="0"/>
        <w:jc w:val="left"/>
      </w:pPr>
      <w:r>
        <w:t xml:space="preserve">We understand that this bid, together with your written acceptance thereof included in your notification of award, shall constitute a binding contract between us, until a formal contract is prepared and executed; </w:t>
      </w:r>
    </w:p>
    <w:p w14:paraId="1FB92F11">
      <w:pPr>
        <w:pStyle w:val="176"/>
        <w:numPr>
          <w:ilvl w:val="0"/>
          <w:numId w:val="42"/>
        </w:numPr>
        <w:spacing w:after="200"/>
        <w:ind w:left="432" w:hanging="432"/>
        <w:contextualSpacing w:val="0"/>
        <w:jc w:val="left"/>
      </w:pPr>
      <w:r>
        <w:t>We understand that you are not bound to accept the lowest evaluated bid or any other bid that you may receive.</w:t>
      </w:r>
    </w:p>
    <w:p w14:paraId="1E4F57AD">
      <w:pPr>
        <w:pStyle w:val="176"/>
        <w:numPr>
          <w:ilvl w:val="0"/>
          <w:numId w:val="42"/>
        </w:numPr>
        <w:spacing w:after="200"/>
        <w:ind w:left="432" w:hanging="432"/>
        <w:contextualSpacing w:val="0"/>
        <w:jc w:val="left"/>
      </w:pPr>
      <w:r>
        <w:t>We hereby certify that we have taken steps to ensure that no person acting for us or on our behalf will engage in any type of fraud and corruption</w:t>
      </w:r>
    </w:p>
    <w:p w14:paraId="64E339AC"/>
    <w:p w14:paraId="7C2873AA">
      <w:r>
        <w:t>Name of the Bidder</w:t>
      </w:r>
      <w:r>
        <w:rPr>
          <w:b/>
          <w:bCs/>
          <w:iCs/>
        </w:rPr>
        <w:t>*</w:t>
      </w:r>
      <w:r>
        <w:rPr>
          <w:u w:val="single"/>
        </w:rPr>
        <w:tab/>
      </w:r>
      <w:r>
        <w:rPr>
          <w:b/>
          <w:i/>
          <w:u w:val="single"/>
        </w:rPr>
        <w:t>[insert name of the Bidder]</w:t>
      </w:r>
    </w:p>
    <w:p w14:paraId="36EA4E73"/>
    <w:p w14:paraId="55D057D6">
      <w:pPr>
        <w:rPr>
          <w:i/>
          <w:u w:val="single"/>
        </w:rPr>
      </w:pPr>
      <w:r>
        <w:t>Name of the person duly authorized to sign the Bid on behalf of the Bidder</w:t>
      </w:r>
      <w:r>
        <w:rPr>
          <w:b/>
          <w:bCs/>
          <w:i/>
          <w:iCs/>
        </w:rPr>
        <w:t xml:space="preserve">** </w:t>
      </w:r>
      <w:r>
        <w:rPr>
          <w:b/>
          <w:bCs/>
          <w:i/>
          <w:iCs/>
          <w:u w:val="single"/>
        </w:rPr>
        <w:t>[insert complete name of person duly authorized to sign the Bid]</w:t>
      </w:r>
    </w:p>
    <w:p w14:paraId="34C68037"/>
    <w:p w14:paraId="3E317ECB">
      <w:r>
        <w:t xml:space="preserve">Title of the person signing the Bid </w:t>
      </w:r>
      <w:r>
        <w:rPr>
          <w:b/>
          <w:i/>
          <w:u w:val="single"/>
        </w:rPr>
        <w:t>[insert complete title of the person signing the Bid]</w:t>
      </w:r>
    </w:p>
    <w:p w14:paraId="0BDA1029"/>
    <w:p w14:paraId="47AAA346">
      <w:pPr>
        <w:rPr>
          <w:i/>
          <w:u w:val="single"/>
        </w:rPr>
      </w:pPr>
      <w:r>
        <w:t>Signature of the person named above</w:t>
      </w:r>
      <w:r>
        <w:rPr>
          <w:u w:val="single"/>
        </w:rPr>
        <w:tab/>
      </w:r>
      <w:r>
        <w:rPr>
          <w:i/>
          <w:u w:val="single"/>
        </w:rPr>
        <w:t xml:space="preserve"> [</w:t>
      </w:r>
      <w:r>
        <w:rPr>
          <w:b/>
          <w:i/>
          <w:u w:val="single"/>
        </w:rPr>
        <w:t>insert signature of person whose name and capacity are shown above</w:t>
      </w:r>
      <w:r>
        <w:rPr>
          <w:i/>
          <w:u w:val="single"/>
        </w:rPr>
        <w:t>]</w:t>
      </w:r>
    </w:p>
    <w:p w14:paraId="78469EF9"/>
    <w:p w14:paraId="484DC1E6"/>
    <w:p w14:paraId="6A146FBD">
      <w:pPr>
        <w:rPr>
          <w:b/>
          <w:i/>
        </w:rPr>
      </w:pPr>
      <w:r>
        <w:t xml:space="preserve">Date signed  </w:t>
      </w:r>
      <w:r>
        <w:rPr>
          <w:b/>
          <w:i/>
        </w:rPr>
        <w:t>[insert date of signing]</w:t>
      </w:r>
      <w:r>
        <w:rPr>
          <w:b/>
        </w:rPr>
        <w:t xml:space="preserve"> </w:t>
      </w:r>
      <w:r>
        <w:t xml:space="preserve">day of </w:t>
      </w:r>
      <w:r>
        <w:rPr>
          <w:b/>
          <w:i/>
        </w:rPr>
        <w:t>[insert month]</w:t>
      </w:r>
      <w:r>
        <w:t xml:space="preserve">, </w:t>
      </w:r>
      <w:r>
        <w:rPr>
          <w:b/>
          <w:i/>
        </w:rPr>
        <w:t>[insert year]</w:t>
      </w:r>
    </w:p>
    <w:p w14:paraId="0029AD99"/>
    <w:p w14:paraId="2D0FA809">
      <w:r>
        <w:rPr>
          <w:b/>
          <w:bCs/>
          <w:iCs/>
        </w:rPr>
        <w:t>*</w:t>
      </w:r>
      <w:r>
        <w:t>: In the case of the Bid submitted by joint venture specify the name of the Joint Venture as Bidder</w:t>
      </w:r>
    </w:p>
    <w:p w14:paraId="4CAE3D35"/>
    <w:p w14:paraId="536EEF39">
      <w:r>
        <w:t>**: Person signing the Bid shall have the power of attorney given by the Bidder to be attached with the Bid.</w:t>
      </w:r>
    </w:p>
    <w:p w14:paraId="61DC36CC">
      <w:pPr>
        <w:pStyle w:val="152"/>
      </w:pPr>
      <w:r>
        <w:br w:type="page"/>
      </w:r>
      <w:r>
        <w:t xml:space="preserve"> </w:t>
      </w:r>
    </w:p>
    <w:p w14:paraId="582F08D3">
      <w:pPr>
        <w:pStyle w:val="152"/>
      </w:pPr>
      <w:bookmarkStart w:id="399" w:name="_Toc178519588"/>
      <w:bookmarkStart w:id="400" w:name="_Toc108950333"/>
      <w:bookmarkStart w:id="401" w:name="_Toc138144061"/>
      <w:r>
        <w:t xml:space="preserve">Schedules of Bill of Quantities </w:t>
      </w:r>
      <w:bookmarkEnd w:id="399"/>
    </w:p>
    <w:p w14:paraId="54720A45">
      <w:pPr>
        <w:spacing w:after="200"/>
        <w:rPr>
          <w:b/>
          <w:iCs/>
        </w:rPr>
      </w:pPr>
      <w:r>
        <w:rPr>
          <w:b/>
          <w:iCs/>
        </w:rPr>
        <w:t>PREAMBLE AND NOTES TO BILLS OF QUANTITIES</w:t>
      </w:r>
    </w:p>
    <w:p w14:paraId="79F6A3AD">
      <w:pPr>
        <w:spacing w:after="200"/>
        <w:rPr>
          <w:bCs/>
          <w:iCs/>
        </w:rPr>
      </w:pPr>
      <w:r>
        <w:rPr>
          <w:bCs/>
          <w:iCs/>
        </w:rPr>
        <w:t>These Bills of Quantities form part of the Contract Documents and are to be read in conjunction with the Conditions of Contract, Standard and Special Specifications and Drawings. The Particular Specifications overrides any Clauses / General Specifications given in the Preamble.</w:t>
      </w:r>
    </w:p>
    <w:p w14:paraId="05F20E06">
      <w:pPr>
        <w:spacing w:after="200"/>
        <w:rPr>
          <w:b/>
          <w:iCs/>
        </w:rPr>
      </w:pPr>
      <w:r>
        <w:rPr>
          <w:b/>
          <w:iCs/>
        </w:rPr>
        <w:t>A. GENERAL</w:t>
      </w:r>
    </w:p>
    <w:p w14:paraId="0D96DC6B">
      <w:pPr>
        <w:pStyle w:val="176"/>
        <w:numPr>
          <w:ilvl w:val="2"/>
          <w:numId w:val="43"/>
        </w:numPr>
        <w:spacing w:after="200"/>
        <w:rPr>
          <w:bCs/>
          <w:iCs/>
        </w:rPr>
      </w:pPr>
      <w:r>
        <w:rPr>
          <w:bCs/>
          <w:iCs/>
        </w:rPr>
        <w:t>The following notes and clauses are given for the guidance of the Contractor in the preparation of his tender.</w:t>
      </w:r>
    </w:p>
    <w:p w14:paraId="1B2044CF">
      <w:pPr>
        <w:pStyle w:val="176"/>
        <w:numPr>
          <w:ilvl w:val="2"/>
          <w:numId w:val="43"/>
        </w:numPr>
        <w:spacing w:after="200"/>
        <w:rPr>
          <w:bCs/>
          <w:iCs/>
        </w:rPr>
      </w:pPr>
      <w:r>
        <w:rPr>
          <w:bCs/>
          <w:iCs/>
        </w:rPr>
        <w:t>The Contractor must allow in his rates any sum he may consider necessary in respect of these clauses.</w:t>
      </w:r>
    </w:p>
    <w:p w14:paraId="0315B304">
      <w:pPr>
        <w:pStyle w:val="176"/>
        <w:numPr>
          <w:ilvl w:val="2"/>
          <w:numId w:val="43"/>
        </w:numPr>
        <w:spacing w:after="200"/>
        <w:rPr>
          <w:bCs/>
          <w:iCs/>
        </w:rPr>
      </w:pPr>
      <w:r>
        <w:rPr>
          <w:bCs/>
          <w:iCs/>
        </w:rPr>
        <w:t>The contractor shall be deemed to have considered that the rate for the items in the bills of Quantities are sufficient to perform the services and obligations described and required</w:t>
      </w:r>
    </w:p>
    <w:p w14:paraId="72814E3B">
      <w:pPr>
        <w:spacing w:after="200"/>
        <w:rPr>
          <w:b/>
          <w:iCs/>
        </w:rPr>
      </w:pPr>
      <w:r>
        <w:rPr>
          <w:b/>
          <w:iCs/>
        </w:rPr>
        <w:t>B. DEFINITION OF TERMS</w:t>
      </w:r>
    </w:p>
    <w:p w14:paraId="6396AB13">
      <w:pPr>
        <w:pStyle w:val="176"/>
        <w:numPr>
          <w:ilvl w:val="0"/>
          <w:numId w:val="44"/>
        </w:numPr>
        <w:spacing w:after="200"/>
        <w:rPr>
          <w:bCs/>
          <w:iCs/>
        </w:rPr>
      </w:pPr>
      <w:r>
        <w:rPr>
          <w:bCs/>
          <w:iCs/>
        </w:rPr>
        <w:t>Wherever the word "Employer" shall occur in the Bills of Quantities, it shall mean M/s Wajir Water &amp; Sewerage Company (WAJWASCO).</w:t>
      </w:r>
    </w:p>
    <w:p w14:paraId="14E4C143">
      <w:pPr>
        <w:pStyle w:val="176"/>
        <w:numPr>
          <w:ilvl w:val="0"/>
          <w:numId w:val="44"/>
        </w:numPr>
        <w:spacing w:after="200"/>
        <w:rPr>
          <w:bCs/>
          <w:iCs/>
        </w:rPr>
      </w:pPr>
      <w:r>
        <w:rPr>
          <w:bCs/>
          <w:iCs/>
        </w:rPr>
        <w:t>The term “Engineer” shall mean M/s East African Engineering Consultants Ltd of P.O. Box 72398-00200, Nairobi, located at Lenana Court, New Wing No.3, Lenana rd, Kilimani., Nairobi County, Kenya.</w:t>
      </w:r>
    </w:p>
    <w:p w14:paraId="50E14132">
      <w:pPr>
        <w:pStyle w:val="176"/>
        <w:numPr>
          <w:ilvl w:val="0"/>
          <w:numId w:val="44"/>
        </w:numPr>
        <w:spacing w:after="200"/>
        <w:rPr>
          <w:bCs/>
          <w:iCs/>
        </w:rPr>
      </w:pPr>
      <w:r>
        <w:rPr>
          <w:bCs/>
          <w:iCs/>
        </w:rPr>
        <w:t>Wherever the word "Quantity Surveyor" shall occur, in the Bills of Quantities it shall mean M/s East African Engineering Consultants Ltd.</w:t>
      </w:r>
    </w:p>
    <w:p w14:paraId="4675AE4D">
      <w:pPr>
        <w:pStyle w:val="176"/>
        <w:numPr>
          <w:ilvl w:val="0"/>
          <w:numId w:val="44"/>
        </w:numPr>
        <w:spacing w:after="200"/>
        <w:rPr>
          <w:bCs/>
          <w:iCs/>
        </w:rPr>
      </w:pPr>
      <w:r>
        <w:rPr>
          <w:bCs/>
          <w:iCs/>
        </w:rPr>
        <w:t>The term “Civil/Structural Engineer” shall mean M/s East African Engineering Consultants Ltd.</w:t>
      </w:r>
    </w:p>
    <w:p w14:paraId="1F737CCD">
      <w:pPr>
        <w:pStyle w:val="176"/>
        <w:numPr>
          <w:ilvl w:val="0"/>
          <w:numId w:val="44"/>
        </w:numPr>
        <w:spacing w:after="200"/>
        <w:rPr>
          <w:bCs/>
          <w:iCs/>
        </w:rPr>
      </w:pPr>
      <w:r>
        <w:rPr>
          <w:bCs/>
          <w:iCs/>
        </w:rPr>
        <w:t>The term “Contractor” shall mean the person or persons, firm or Company whose tender has been accepted by the employer and includes the Contractor’s legal personal representatives, successors and permitted assigns.</w:t>
      </w:r>
    </w:p>
    <w:p w14:paraId="71F70A23">
      <w:pPr>
        <w:pStyle w:val="176"/>
        <w:numPr>
          <w:ilvl w:val="0"/>
          <w:numId w:val="44"/>
        </w:numPr>
        <w:spacing w:after="200"/>
        <w:rPr>
          <w:bCs/>
          <w:iCs/>
        </w:rPr>
      </w:pPr>
      <w:r>
        <w:rPr>
          <w:bCs/>
          <w:iCs/>
        </w:rPr>
        <w:t>Approved or Approval Means approved or approval in writing by the Project Manager unless otherwise specified.</w:t>
      </w:r>
    </w:p>
    <w:p w14:paraId="7ACA36E9">
      <w:pPr>
        <w:pStyle w:val="176"/>
        <w:numPr>
          <w:ilvl w:val="0"/>
          <w:numId w:val="44"/>
        </w:numPr>
        <w:spacing w:after="200"/>
        <w:rPr>
          <w:bCs/>
          <w:iCs/>
        </w:rPr>
      </w:pPr>
      <w:r>
        <w:rPr>
          <w:bCs/>
          <w:iCs/>
        </w:rPr>
        <w:t>Project Manager’s Instructions</w:t>
      </w:r>
    </w:p>
    <w:p w14:paraId="33A6F4A4">
      <w:pPr>
        <w:pStyle w:val="176"/>
        <w:numPr>
          <w:ilvl w:val="0"/>
          <w:numId w:val="44"/>
        </w:numPr>
        <w:spacing w:after="200"/>
        <w:rPr>
          <w:bCs/>
          <w:iCs/>
        </w:rPr>
      </w:pPr>
      <w:r>
        <w:rPr>
          <w:bCs/>
          <w:iCs/>
        </w:rPr>
        <w:t>Project Manager’s Instructions: Means drawings, detail instructions, directions explanations, approval or orders issued in writing by the Project Manager or Project Manager’s representative.</w:t>
      </w:r>
    </w:p>
    <w:p w14:paraId="24F472A4">
      <w:pPr>
        <w:pStyle w:val="176"/>
        <w:numPr>
          <w:ilvl w:val="0"/>
          <w:numId w:val="44"/>
        </w:numPr>
        <w:spacing w:after="200"/>
        <w:rPr>
          <w:bCs/>
          <w:iCs/>
        </w:rPr>
      </w:pPr>
      <w:r>
        <w:rPr>
          <w:bCs/>
          <w:iCs/>
        </w:rPr>
        <w:t>“Works” The term 'the works' wherever used hereinafter and in all contract documents shall mean all or any portion of the works, materials and articles wherever the same are being manufactured or prepared which are to be used in the execution of this contract and whether the same be on site or not. It shall also be deemed to include of all sub-contractors and of all variations.</w:t>
      </w:r>
    </w:p>
    <w:p w14:paraId="7C97E776">
      <w:pPr>
        <w:pStyle w:val="176"/>
        <w:numPr>
          <w:ilvl w:val="0"/>
          <w:numId w:val="44"/>
        </w:numPr>
        <w:spacing w:after="200"/>
        <w:rPr>
          <w:bCs/>
          <w:iCs/>
        </w:rPr>
      </w:pPr>
      <w:r>
        <w:rPr>
          <w:bCs/>
          <w:iCs/>
        </w:rPr>
        <w:t>“Ditto” “Ditto” shall mean the whole of the preceding description except as qualified in the section in which it occurs. Where it is in brackets, it shall mean the whole of the preceding description which is contained within the appropriate brackets.</w:t>
      </w:r>
    </w:p>
    <w:p w14:paraId="5B571A29">
      <w:pPr>
        <w:pStyle w:val="176"/>
        <w:numPr>
          <w:ilvl w:val="0"/>
          <w:numId w:val="44"/>
        </w:numPr>
        <w:spacing w:after="200"/>
        <w:rPr>
          <w:bCs/>
          <w:iCs/>
        </w:rPr>
      </w:pPr>
      <w:r>
        <w:rPr>
          <w:bCs/>
          <w:iCs/>
        </w:rPr>
        <w:t>Direct or Directions Means directed or directions by the Project Manager.</w:t>
      </w:r>
    </w:p>
    <w:p w14:paraId="6D6F3788">
      <w:pPr>
        <w:pStyle w:val="176"/>
        <w:numPr>
          <w:ilvl w:val="0"/>
          <w:numId w:val="44"/>
        </w:numPr>
        <w:spacing w:after="200"/>
        <w:rPr>
          <w:bCs/>
          <w:iCs/>
        </w:rPr>
      </w:pPr>
      <w:r>
        <w:rPr>
          <w:bCs/>
          <w:iCs/>
        </w:rPr>
        <w:t>Contract Drawings The term “the contract Drawings” wherever used hereinafter and in all contract documents shall be deemed to imply the drawings referred to in this document.</w:t>
      </w:r>
    </w:p>
    <w:p w14:paraId="142D1482">
      <w:pPr>
        <w:pStyle w:val="176"/>
        <w:numPr>
          <w:ilvl w:val="0"/>
          <w:numId w:val="44"/>
        </w:numPr>
        <w:spacing w:after="200"/>
        <w:rPr>
          <w:bCs/>
          <w:iCs/>
        </w:rPr>
      </w:pPr>
      <w:r>
        <w:rPr>
          <w:bCs/>
          <w:iCs/>
        </w:rPr>
        <w:t>Provisional: Means that the quantity, description or value of work so described may be varied or executed in whole or in part or omitted entirely from the contract as directed and shall be measured and valued in accordance with the contract.</w:t>
      </w:r>
    </w:p>
    <w:p w14:paraId="5462426D">
      <w:pPr>
        <w:pStyle w:val="176"/>
        <w:numPr>
          <w:ilvl w:val="0"/>
          <w:numId w:val="44"/>
        </w:numPr>
        <w:spacing w:after="200"/>
        <w:rPr>
          <w:bCs/>
          <w:iCs/>
        </w:rPr>
      </w:pPr>
      <w:r>
        <w:rPr>
          <w:bCs/>
          <w:iCs/>
        </w:rPr>
        <w:t>Site: The term “the site” shall mean the lands and other places on, under, in or through which the works are to be executed or carried out and any other lands or places provided by the employer for the purpose of this contract.</w:t>
      </w:r>
    </w:p>
    <w:p w14:paraId="589B386C">
      <w:pPr>
        <w:spacing w:after="200"/>
        <w:rPr>
          <w:b/>
          <w:iCs/>
        </w:rPr>
      </w:pPr>
      <w:r>
        <w:rPr>
          <w:b/>
          <w:iCs/>
        </w:rPr>
        <w:t>Definition of Abbreviation and Terms</w:t>
      </w:r>
    </w:p>
    <w:p w14:paraId="28DE6A22">
      <w:pPr>
        <w:spacing w:after="200"/>
        <w:rPr>
          <w:bCs/>
          <w:iCs/>
        </w:rPr>
      </w:pPr>
      <w:r>
        <w:rPr>
          <w:bCs/>
          <w:iCs/>
        </w:rPr>
        <w:t>The following abbreviations are used throughout these Bills of Quantities to denote the unit of measurement, etc., and the contractor should take due of the under mentioned: -</w:t>
      </w:r>
    </w:p>
    <w:p w14:paraId="7C105A59">
      <w:pPr>
        <w:pStyle w:val="176"/>
        <w:numPr>
          <w:ilvl w:val="1"/>
          <w:numId w:val="45"/>
        </w:numPr>
        <w:spacing w:after="200"/>
        <w:rPr>
          <w:bCs/>
          <w:iCs/>
        </w:rPr>
      </w:pPr>
      <w:r>
        <w:rPr>
          <w:bCs/>
          <w:iCs/>
        </w:rPr>
        <w:t>cm / m</w:t>
      </w:r>
      <w:r>
        <w:rPr>
          <w:bCs/>
          <w:iCs/>
          <w:vertAlign w:val="superscript"/>
        </w:rPr>
        <w:t>3</w:t>
      </w:r>
      <w:r>
        <w:rPr>
          <w:bCs/>
          <w:iCs/>
        </w:rPr>
        <w:t xml:space="preserve"> - to denote Cubic Metres</w:t>
      </w:r>
    </w:p>
    <w:p w14:paraId="6DA80176">
      <w:pPr>
        <w:pStyle w:val="176"/>
        <w:numPr>
          <w:ilvl w:val="1"/>
          <w:numId w:val="45"/>
        </w:numPr>
        <w:spacing w:after="200"/>
        <w:rPr>
          <w:bCs/>
          <w:iCs/>
        </w:rPr>
      </w:pPr>
      <w:r>
        <w:rPr>
          <w:bCs/>
          <w:iCs/>
        </w:rPr>
        <w:t>sm / m</w:t>
      </w:r>
      <w:r>
        <w:rPr>
          <w:bCs/>
          <w:iCs/>
          <w:vertAlign w:val="superscript"/>
        </w:rPr>
        <w:t>2</w:t>
      </w:r>
      <w:r>
        <w:rPr>
          <w:bCs/>
          <w:iCs/>
        </w:rPr>
        <w:t xml:space="preserve"> - to denote Square Metres</w:t>
      </w:r>
    </w:p>
    <w:p w14:paraId="6ABC4C51">
      <w:pPr>
        <w:pStyle w:val="176"/>
        <w:numPr>
          <w:ilvl w:val="1"/>
          <w:numId w:val="45"/>
        </w:numPr>
        <w:spacing w:after="200"/>
        <w:rPr>
          <w:bCs/>
          <w:iCs/>
        </w:rPr>
      </w:pPr>
      <w:r>
        <w:rPr>
          <w:bCs/>
          <w:iCs/>
        </w:rPr>
        <w:t>lm - to denote Liner Metres</w:t>
      </w:r>
    </w:p>
    <w:p w14:paraId="70862802">
      <w:pPr>
        <w:pStyle w:val="176"/>
        <w:numPr>
          <w:ilvl w:val="1"/>
          <w:numId w:val="45"/>
        </w:numPr>
        <w:spacing w:after="200"/>
        <w:rPr>
          <w:bCs/>
          <w:iCs/>
        </w:rPr>
      </w:pPr>
      <w:r>
        <w:rPr>
          <w:bCs/>
          <w:iCs/>
        </w:rPr>
        <w:t>mm - to denote Millimetre</w:t>
      </w:r>
    </w:p>
    <w:p w14:paraId="24A37092">
      <w:pPr>
        <w:pStyle w:val="176"/>
        <w:numPr>
          <w:ilvl w:val="1"/>
          <w:numId w:val="45"/>
        </w:numPr>
        <w:spacing w:after="200"/>
        <w:rPr>
          <w:bCs/>
          <w:iCs/>
        </w:rPr>
      </w:pPr>
      <w:r>
        <w:rPr>
          <w:bCs/>
          <w:iCs/>
        </w:rPr>
        <w:t>nr/no - to denote Enumerated item</w:t>
      </w:r>
    </w:p>
    <w:p w14:paraId="105FCDD7">
      <w:pPr>
        <w:pStyle w:val="176"/>
        <w:numPr>
          <w:ilvl w:val="1"/>
          <w:numId w:val="45"/>
        </w:numPr>
        <w:spacing w:after="200"/>
        <w:rPr>
          <w:bCs/>
          <w:iCs/>
          <w:lang w:val="da-DK"/>
        </w:rPr>
      </w:pPr>
      <w:r>
        <w:rPr>
          <w:bCs/>
          <w:iCs/>
          <w:lang w:val="da-DK"/>
        </w:rPr>
        <w:t>mn - to denote Meganewton</w:t>
      </w:r>
    </w:p>
    <w:p w14:paraId="41174B16">
      <w:pPr>
        <w:pStyle w:val="176"/>
        <w:numPr>
          <w:ilvl w:val="1"/>
          <w:numId w:val="45"/>
        </w:numPr>
        <w:spacing w:after="200"/>
        <w:rPr>
          <w:bCs/>
          <w:iCs/>
        </w:rPr>
      </w:pPr>
      <w:r>
        <w:rPr>
          <w:bCs/>
          <w:iCs/>
          <w:lang w:val="da-DK"/>
        </w:rPr>
        <w:t>kg - to denote Kilogramme</w:t>
      </w:r>
    </w:p>
    <w:p w14:paraId="4C0A6CC6">
      <w:pPr>
        <w:pStyle w:val="176"/>
        <w:numPr>
          <w:ilvl w:val="1"/>
          <w:numId w:val="45"/>
        </w:numPr>
        <w:spacing w:after="200"/>
        <w:rPr>
          <w:bCs/>
          <w:iCs/>
        </w:rPr>
      </w:pPr>
      <w:r>
        <w:rPr>
          <w:bCs/>
          <w:iCs/>
        </w:rPr>
        <w:t>prs - to denoted Pairs</w:t>
      </w:r>
    </w:p>
    <w:p w14:paraId="3D9BB255">
      <w:pPr>
        <w:pStyle w:val="176"/>
        <w:numPr>
          <w:ilvl w:val="1"/>
          <w:numId w:val="45"/>
        </w:numPr>
        <w:spacing w:after="200"/>
        <w:rPr>
          <w:bCs/>
          <w:iCs/>
        </w:rPr>
      </w:pPr>
      <w:r>
        <w:rPr>
          <w:bCs/>
          <w:iCs/>
        </w:rPr>
        <w:t>Ls/sum/item - to denote pricing on lumpsum basis</w:t>
      </w:r>
    </w:p>
    <w:p w14:paraId="2A933379">
      <w:pPr>
        <w:pStyle w:val="176"/>
        <w:numPr>
          <w:ilvl w:val="1"/>
          <w:numId w:val="45"/>
        </w:numPr>
        <w:spacing w:after="200"/>
        <w:rPr>
          <w:bCs/>
          <w:iCs/>
        </w:rPr>
      </w:pPr>
      <w:r>
        <w:rPr>
          <w:bCs/>
          <w:iCs/>
        </w:rPr>
        <w:t>SMM - to denote Standard Method of Measurement of Building for East Africa.</w:t>
      </w:r>
    </w:p>
    <w:p w14:paraId="0575E904">
      <w:pPr>
        <w:pStyle w:val="176"/>
        <w:numPr>
          <w:ilvl w:val="1"/>
          <w:numId w:val="45"/>
        </w:numPr>
        <w:spacing w:after="200"/>
        <w:rPr>
          <w:bCs/>
          <w:iCs/>
        </w:rPr>
      </w:pPr>
      <w:r>
        <w:rPr>
          <w:bCs/>
          <w:iCs/>
        </w:rPr>
        <w:t>CESMM - to denote Civil Engineering Standard Method of Measurement.</w:t>
      </w:r>
    </w:p>
    <w:p w14:paraId="4BF16B5B">
      <w:pPr>
        <w:pStyle w:val="176"/>
        <w:numPr>
          <w:ilvl w:val="1"/>
          <w:numId w:val="45"/>
        </w:numPr>
        <w:spacing w:after="200"/>
        <w:rPr>
          <w:bCs/>
          <w:iCs/>
        </w:rPr>
      </w:pPr>
      <w:r>
        <w:rPr>
          <w:bCs/>
          <w:iCs/>
        </w:rPr>
        <w:t>"MS" Shall mean measured separately</w:t>
      </w:r>
    </w:p>
    <w:p w14:paraId="343C510D">
      <w:pPr>
        <w:pStyle w:val="176"/>
        <w:numPr>
          <w:ilvl w:val="1"/>
          <w:numId w:val="45"/>
        </w:numPr>
        <w:spacing w:after="200"/>
        <w:rPr>
          <w:bCs/>
          <w:iCs/>
        </w:rPr>
      </w:pPr>
      <w:r>
        <w:rPr>
          <w:bCs/>
          <w:iCs/>
        </w:rPr>
        <w:t>VAT' Shall mean Value Added Tax'.</w:t>
      </w:r>
    </w:p>
    <w:p w14:paraId="41AE35F3">
      <w:pPr>
        <w:spacing w:after="200"/>
        <w:rPr>
          <w:bCs/>
          <w:iCs/>
        </w:rPr>
      </w:pPr>
      <w:r>
        <w:rPr>
          <w:bCs/>
          <w:iCs/>
        </w:rPr>
        <w:t>The following terms, wherever they occur, shall be interrupted as hereunder: -</w:t>
      </w:r>
    </w:p>
    <w:p w14:paraId="0C88E43A">
      <w:pPr>
        <w:pStyle w:val="176"/>
        <w:numPr>
          <w:ilvl w:val="0"/>
          <w:numId w:val="46"/>
        </w:numPr>
        <w:spacing w:after="200"/>
        <w:rPr>
          <w:bCs/>
          <w:iCs/>
        </w:rPr>
      </w:pPr>
      <w:r>
        <w:rPr>
          <w:bCs/>
          <w:iCs/>
        </w:rPr>
        <w:t>The term "approved" "directed" or "selected" shall mean the approval, direction or selection of the Project Manager.</w:t>
      </w:r>
    </w:p>
    <w:p w14:paraId="393D138F">
      <w:pPr>
        <w:pStyle w:val="176"/>
        <w:numPr>
          <w:ilvl w:val="0"/>
          <w:numId w:val="46"/>
        </w:numPr>
        <w:spacing w:after="200"/>
        <w:rPr>
          <w:bCs/>
          <w:iCs/>
        </w:rPr>
      </w:pPr>
      <w:r>
        <w:rPr>
          <w:bCs/>
          <w:iCs/>
        </w:rPr>
        <w:t>The term "removal" shall be held to mean all requisite cutting away, breaking up, sawing or unbolting or cutting by flames as may be required and for handling or basketing the old materials to convenient position on site</w:t>
      </w:r>
    </w:p>
    <w:p w14:paraId="677719CB">
      <w:pPr>
        <w:pStyle w:val="176"/>
        <w:numPr>
          <w:ilvl w:val="0"/>
          <w:numId w:val="46"/>
        </w:numPr>
        <w:spacing w:after="200"/>
        <w:rPr>
          <w:bCs/>
          <w:iCs/>
        </w:rPr>
      </w:pPr>
      <w:r>
        <w:rPr>
          <w:bCs/>
          <w:iCs/>
        </w:rPr>
        <w:t>The tern "clear away" shall be held to mean removal from the site to a tip provided by the contractor including all necessary wheeling, handling and cartage.</w:t>
      </w:r>
    </w:p>
    <w:p w14:paraId="1440BAC3">
      <w:pPr>
        <w:pStyle w:val="176"/>
        <w:numPr>
          <w:ilvl w:val="0"/>
          <w:numId w:val="46"/>
        </w:numPr>
        <w:spacing w:after="200"/>
        <w:rPr>
          <w:bCs/>
          <w:iCs/>
        </w:rPr>
      </w:pPr>
      <w:r>
        <w:rPr>
          <w:bCs/>
          <w:iCs/>
        </w:rPr>
        <w:t>The term "fixing only' shall be held to mean and including ordering, unloading, unpacking, checking, storing, distributing, assembling, hoisting and fixing complete, and return of empty cases carriage paid to supplier and all costs and charges of work involved in obtaining replacement of goods damaged in transit, and also for replacement by the contractor of goods or materials damaged or rendered unserviceable subsequent to delivery.</w:t>
      </w:r>
    </w:p>
    <w:p w14:paraId="3CC41E72">
      <w:pPr>
        <w:pStyle w:val="176"/>
        <w:numPr>
          <w:ilvl w:val="0"/>
          <w:numId w:val="46"/>
        </w:numPr>
        <w:spacing w:after="200"/>
        <w:rPr>
          <w:bCs/>
          <w:iCs/>
        </w:rPr>
      </w:pPr>
      <w:r>
        <w:rPr>
          <w:bCs/>
          <w:iCs/>
        </w:rPr>
        <w:t>The site for the proposed works is situated in Wajir Town - Wajir County.</w:t>
      </w:r>
    </w:p>
    <w:p w14:paraId="0EDFCDE2">
      <w:pPr>
        <w:spacing w:after="200"/>
        <w:rPr>
          <w:b/>
          <w:iCs/>
        </w:rPr>
      </w:pPr>
      <w:r>
        <w:rPr>
          <w:b/>
          <w:iCs/>
        </w:rPr>
        <w:t>VISIT THE SITE</w:t>
      </w:r>
    </w:p>
    <w:p w14:paraId="52C5F0C5">
      <w:pPr>
        <w:spacing w:after="200"/>
        <w:rPr>
          <w:bCs/>
          <w:iCs/>
        </w:rPr>
      </w:pPr>
      <w:r>
        <w:rPr>
          <w:bCs/>
          <w:iCs/>
        </w:rPr>
        <w:t>Before tendering, the Contractor should visit the site and satisfy himself as to local conditions,</w:t>
      </w:r>
      <w:r>
        <w:rPr>
          <w:b/>
          <w:iCs/>
        </w:rPr>
        <w:t xml:space="preserve"> </w:t>
      </w:r>
      <w:r>
        <w:rPr>
          <w:bCs/>
          <w:iCs/>
        </w:rPr>
        <w:t>water, lighting services, the accessibility of the site, the full extent and character of operations, the nature of the ground, the supply of and conditions affecting labour services and materials necessary for the execution of the Contract works generally and shall make all necessary allowances and provisions for his tender as no claim for want of knowledge in this respect will be allowed. If unable to locate the site, he should apply to the Project Manager or directions to enable him to do so.</w:t>
      </w:r>
    </w:p>
    <w:p w14:paraId="0EB29062">
      <w:pPr>
        <w:spacing w:after="200"/>
        <w:rPr>
          <w:b/>
          <w:iCs/>
        </w:rPr>
      </w:pPr>
      <w:r>
        <w:rPr>
          <w:b/>
          <w:iCs/>
        </w:rPr>
        <w:t>FORM OF CONTRACT</w:t>
      </w:r>
    </w:p>
    <w:p w14:paraId="2EFEEA25">
      <w:pPr>
        <w:spacing w:after="200"/>
        <w:rPr>
          <w:bCs/>
          <w:iCs/>
        </w:rPr>
      </w:pPr>
      <w:r>
        <w:rPr>
          <w:bCs/>
          <w:iCs/>
        </w:rPr>
        <w:t>The contractor will be required to enter into a contract which will be the current Form of Agreement and Conditions of Building Contract published by the joint Building Council, Kenya published by the joint building Council, Kenya (April 1999 Edition) excepting in so far as varied. (To be agreed and discussed with contractor).</w:t>
      </w:r>
    </w:p>
    <w:p w14:paraId="046951DB">
      <w:pPr>
        <w:spacing w:after="200"/>
        <w:rPr>
          <w:b/>
          <w:iCs/>
        </w:rPr>
      </w:pPr>
      <w:r>
        <w:rPr>
          <w:b/>
          <w:iCs/>
        </w:rPr>
        <w:t>C. GENERAL MATTERS</w:t>
      </w:r>
    </w:p>
    <w:p w14:paraId="5775EBD0">
      <w:pPr>
        <w:spacing w:after="200"/>
        <w:rPr>
          <w:b/>
          <w:iCs/>
        </w:rPr>
      </w:pPr>
      <w:r>
        <w:rPr>
          <w:b/>
          <w:iCs/>
        </w:rPr>
        <w:t>1. EQUIPMENT</w:t>
      </w:r>
    </w:p>
    <w:p w14:paraId="083EFCF3">
      <w:pPr>
        <w:spacing w:after="200"/>
        <w:rPr>
          <w:bCs/>
          <w:iCs/>
        </w:rPr>
      </w:pPr>
      <w:r>
        <w:rPr>
          <w:bCs/>
          <w:iCs/>
        </w:rPr>
        <w:t>The Contractor shall make available on site as and when required by the Project Manager a modern and accurate level together with levelling staff, Ranging rods and one 30 metre metallic measuring tape.</w:t>
      </w:r>
    </w:p>
    <w:p w14:paraId="737AB36B">
      <w:pPr>
        <w:spacing w:after="200"/>
        <w:rPr>
          <w:b/>
          <w:iCs/>
        </w:rPr>
      </w:pPr>
      <w:r>
        <w:rPr>
          <w:b/>
          <w:iCs/>
        </w:rPr>
        <w:t>2. VALUE ADDED TAX (VAT)</w:t>
      </w:r>
    </w:p>
    <w:p w14:paraId="122F0F3A">
      <w:pPr>
        <w:spacing w:after="200"/>
        <w:rPr>
          <w:bCs/>
          <w:iCs/>
        </w:rPr>
      </w:pPr>
      <w:r>
        <w:rPr>
          <w:bCs/>
          <w:iCs/>
        </w:rPr>
        <w:t>The tenderer is advised that in accordance with Government public notice No.35 &amp; 36 dated 11</w:t>
      </w:r>
      <w:r>
        <w:rPr>
          <w:bCs/>
          <w:iCs/>
          <w:vertAlign w:val="superscript"/>
        </w:rPr>
        <w:t>th</w:t>
      </w:r>
      <w:r>
        <w:rPr>
          <w:bCs/>
          <w:iCs/>
        </w:rPr>
        <w:t xml:space="preserve"> September 2003 operational from 1st October 2003, withholding VAT will be levied against the contract sum by the Employer and remitted to the Commissioner of VAT through all interim certificates. It should however be noted that this is not additional tax but a new mode of payment for VAT, any excess payment will be refundable once the Contractor has submitted his monthly returns to the Commissioner of VAT who will do the refunds when he is satisfied that the VAT regulations have been compiled with.</w:t>
      </w:r>
    </w:p>
    <w:p w14:paraId="3267EAE1">
      <w:pPr>
        <w:spacing w:after="200"/>
        <w:rPr>
          <w:b/>
          <w:iCs/>
        </w:rPr>
      </w:pPr>
      <w:r>
        <w:rPr>
          <w:b/>
          <w:iCs/>
        </w:rPr>
        <w:t>3. WITHHOLDING INCOME TAX</w:t>
      </w:r>
    </w:p>
    <w:p w14:paraId="0DC15CA4">
      <w:pPr>
        <w:spacing w:after="200"/>
        <w:rPr>
          <w:bCs/>
          <w:iCs/>
        </w:rPr>
      </w:pPr>
      <w:r>
        <w:rPr>
          <w:bCs/>
          <w:iCs/>
        </w:rPr>
        <w:t>The tender is advised that in accordance with Government regulations withholding Tax will be levied against the total contract sum by the Employer and remitted to the Commissioner of Income Tax; through all interim and final certificates. It should however be noted that this is not an additional Tax; but it is an advance payment of Income Tax which will be refundable once the Contractor has submitted his annual returns to the Commissioner of Income Tax; who will do the refunds when he is satisfied that all the income tax regulations have been compiled with.</w:t>
      </w:r>
    </w:p>
    <w:p w14:paraId="4E0BBFF1">
      <w:pPr>
        <w:spacing w:after="200"/>
        <w:rPr>
          <w:b/>
          <w:iCs/>
        </w:rPr>
      </w:pPr>
      <w:r>
        <w:rPr>
          <w:b/>
          <w:iCs/>
        </w:rPr>
        <w:t>4. SUFFICIENCY OF TENDER</w:t>
      </w:r>
    </w:p>
    <w:p w14:paraId="39BCD298">
      <w:pPr>
        <w:spacing w:after="200"/>
        <w:rPr>
          <w:bCs/>
          <w:iCs/>
        </w:rPr>
      </w:pPr>
      <w:r>
        <w:rPr>
          <w:bCs/>
          <w:iCs/>
        </w:rPr>
        <w:t>The contractor shall be deemed to have satisfied himself before tendering as to the correctness and sufficiency of his tender for the works and of the rates and prices stated in the priced Bills of Quantities which rates and prices shall cover all his obligations under the contract and all matters and things necessary for the proper execution, completion and maintenance of the works.</w:t>
      </w:r>
    </w:p>
    <w:p w14:paraId="1BE7F4F3">
      <w:pPr>
        <w:spacing w:after="200"/>
        <w:rPr>
          <w:b/>
          <w:iCs/>
        </w:rPr>
      </w:pPr>
      <w:r>
        <w:rPr>
          <w:b/>
          <w:iCs/>
        </w:rPr>
        <w:t>5. INSURANCE</w:t>
      </w:r>
    </w:p>
    <w:p w14:paraId="2D289CC3">
      <w:pPr>
        <w:spacing w:after="200"/>
        <w:rPr>
          <w:bCs/>
          <w:iCs/>
        </w:rPr>
      </w:pPr>
      <w:r>
        <w:rPr>
          <w:bCs/>
          <w:iCs/>
        </w:rPr>
        <w:t>The contractor shall insure as required. No payment on account for the work executed will be made to the Contractor until he has satisfied the Project Manager either by production of an Insurance Policy or an insurance certificate that the provisions of the Insurance Clauses have been complied with in all respect and payment for premiums made as necessary.</w:t>
      </w:r>
    </w:p>
    <w:p w14:paraId="4A620A15">
      <w:pPr>
        <w:spacing w:after="200"/>
        <w:rPr>
          <w:b/>
          <w:iCs/>
        </w:rPr>
      </w:pPr>
      <w:r>
        <w:rPr>
          <w:b/>
          <w:iCs/>
        </w:rPr>
        <w:t>6. BOND OR SECURITY DEPOSIT</w:t>
      </w:r>
    </w:p>
    <w:p w14:paraId="5E62452E">
      <w:pPr>
        <w:spacing w:after="200"/>
        <w:rPr>
          <w:bCs/>
          <w:iCs/>
        </w:rPr>
      </w:pPr>
      <w:r>
        <w:rPr>
          <w:bCs/>
          <w:iCs/>
        </w:rPr>
        <w:t>The Contractor will be required to furnish a Bond from approved and well reputed Bank in a sum equal to 10% of the Contract sum, using the standard form of Bond provided. Alternatively, the Project Manager may at his discretion, accept a security deposit in cash in lieu of the Bond. The deposit is to be of the same amount as the Bond. No payment on account for the work executed will be made to the Contractor until he has submitted the performance Bond to the Project Manager duly signed, sealed and stamped from an approved Bank.</w:t>
      </w:r>
    </w:p>
    <w:p w14:paraId="7B04DD55">
      <w:pPr>
        <w:spacing w:after="200"/>
        <w:rPr>
          <w:b/>
          <w:iCs/>
        </w:rPr>
      </w:pPr>
      <w:r>
        <w:rPr>
          <w:b/>
          <w:iCs/>
        </w:rPr>
        <w:t>7. SITE OFFICE</w:t>
      </w:r>
    </w:p>
    <w:p w14:paraId="46F90765">
      <w:pPr>
        <w:spacing w:after="200"/>
        <w:rPr>
          <w:bCs/>
          <w:iCs/>
        </w:rPr>
      </w:pPr>
      <w:r>
        <w:rPr>
          <w:bCs/>
          <w:iCs/>
        </w:rPr>
        <w:t>The office shall be competed and ready for use within (4) four weeks from the date of site possession subjected to liquated damages of Kshs 30,000.00 per day from non- completion. The site office shall be equipped with sufficient furniture and equipment to permit the Project Manager to hold site meetings in it, and for the Clerk of Works and any other site staff to operate efficiently. Site office shall not be used for storage of materials. The Contractor shall make connections to existing drain and water mains all to the satisfaction of the Project Manager and Local Authority. The Contractor shall pay for all charges for connections, and water bills during construction and maintenance period. The Contractor shall also allow for providing the services of a cleaner for keeping both office and the closet in a clean and sanitary condition from commencement to the completion of the works.</w:t>
      </w:r>
    </w:p>
    <w:p w14:paraId="5A9D8522">
      <w:pPr>
        <w:spacing w:after="200"/>
        <w:rPr>
          <w:b/>
          <w:iCs/>
        </w:rPr>
      </w:pPr>
      <w:r>
        <w:rPr>
          <w:b/>
          <w:iCs/>
        </w:rPr>
        <w:t>8. TRAINING LEVY</w:t>
      </w:r>
    </w:p>
    <w:p w14:paraId="593AD96C">
      <w:pPr>
        <w:spacing w:after="200"/>
        <w:rPr>
          <w:bCs/>
          <w:iCs/>
        </w:rPr>
      </w:pPr>
      <w:r>
        <w:rPr>
          <w:bCs/>
          <w:iCs/>
        </w:rPr>
        <w:t>The Contractor's attention is drawn to Legal Notice No.237 of October, 1971 which requires payment by the Contractor of a Training Levy on all Contracts of more than Shs.50, 000.00 in value and his tender must include for all costs arising or resulting therefrom. Immediately after Contractor is given possession of site, the contractor shall be required to produce receipts as proof that he has compiled with this legal notice. Reimbursement shall be upon fulfilment of this requirement. In the event of the Contractor defaulting by not remitting the monies to the Directorate of Industrial Training, Ministry of Labour and Human resources development the client shall reserve the right to deduct an equivalent amount from monies to become due in payment certificates and remit the said amount to the relevant authority without reference to the Contractor.</w:t>
      </w:r>
    </w:p>
    <w:p w14:paraId="41B3D7DB">
      <w:pPr>
        <w:spacing w:after="200"/>
        <w:rPr>
          <w:b/>
          <w:iCs/>
        </w:rPr>
      </w:pPr>
      <w:r>
        <w:rPr>
          <w:b/>
          <w:iCs/>
        </w:rPr>
        <w:t>9. STANDARDS LEVY AND STANDARD ACTS</w:t>
      </w:r>
    </w:p>
    <w:p w14:paraId="001A6925">
      <w:pPr>
        <w:spacing w:after="200"/>
        <w:rPr>
          <w:bCs/>
          <w:iCs/>
        </w:rPr>
      </w:pPr>
      <w:r>
        <w:rPr>
          <w:bCs/>
          <w:iCs/>
        </w:rPr>
        <w:t>The Contractor's attention is drawn to Legal Notice No.267 of 1990 which requires payment by Contractors of an annual standard Levy and his tender must include for all costs arising of resulting therefrom.</w:t>
      </w:r>
    </w:p>
    <w:p w14:paraId="10406D96">
      <w:pPr>
        <w:spacing w:after="200"/>
        <w:rPr>
          <w:b/>
          <w:iCs/>
        </w:rPr>
      </w:pPr>
      <w:r>
        <w:rPr>
          <w:b/>
          <w:iCs/>
        </w:rPr>
        <w:t>10. WHITE ANTS AND TERMITES</w:t>
      </w:r>
    </w:p>
    <w:p w14:paraId="5DF3413F">
      <w:pPr>
        <w:spacing w:after="200"/>
        <w:rPr>
          <w:bCs/>
          <w:iCs/>
        </w:rPr>
      </w:pPr>
      <w:r>
        <w:rPr>
          <w:bCs/>
          <w:iCs/>
        </w:rPr>
        <w:t>Allow for destroying any white ants and termites' nests found in the vicinity of the buildings, destroying Queen Ants, depositing cyanide lumps in holes and tunnes and filling with hard-core and Murram well rammed and scaled.</w:t>
      </w:r>
    </w:p>
    <w:p w14:paraId="7AF2AC42">
      <w:pPr>
        <w:spacing w:after="200"/>
        <w:rPr>
          <w:b/>
          <w:bCs/>
          <w:iCs/>
        </w:rPr>
      </w:pPr>
      <w:r>
        <w:rPr>
          <w:b/>
          <w:bCs/>
          <w:iCs/>
        </w:rPr>
        <w:t>11. WORK TO BE OPENED UP AT THE REQUEST OF THE PROJECT MANAGER</w:t>
      </w:r>
    </w:p>
    <w:p w14:paraId="4AC75145">
      <w:pPr>
        <w:spacing w:after="200"/>
        <w:rPr>
          <w:bCs/>
          <w:iCs/>
        </w:rPr>
      </w:pPr>
      <w:r>
        <w:rPr>
          <w:bCs/>
          <w:iCs/>
        </w:rPr>
        <w:t>The Contractor shall, at the request of the Project Manager within such time as the Project Manager shall name, open for inspection any work covered up, and should the Contractor refuse or neglect to comply with such request, the Project Manager may employ workmen other than those employed by the Contractor to open up the same. If the sad work has been covered up in contravention of the Project Manager's instructions, or if, on being opened up, it be found not in accordance with the drawings of Bills of Quantities or the instructions of the Project Manager, the expenses of opening and covering it up again whether done by the Contractor or by the Project Manager, shall be borne by and be recoverable from the Contractor or may be deducted from any monies due to the Contractor. If the work has not been covered up in contravention of such instructions and be found in accordance with the said drawings and Bills of Quantities, then the expenses aforesaid shall be and requiring immediate attention, the Project Manager shall within a reasonable time after the work has been opened, make or cause to be made the inspection thereof, and the expiration of such time, if such inspection shall not have been made the Contractor may cover up the same and shall not be required to open it up again for inspection except at the expense of the Employer.</w:t>
      </w:r>
    </w:p>
    <w:p w14:paraId="5B85901E">
      <w:pPr>
        <w:spacing w:after="200"/>
        <w:rPr>
          <w:b/>
          <w:bCs/>
          <w:iCs/>
        </w:rPr>
      </w:pPr>
      <w:r>
        <w:rPr>
          <w:b/>
          <w:bCs/>
          <w:iCs/>
        </w:rPr>
        <w:t>12. FIGURED DIMENSIONS</w:t>
      </w:r>
    </w:p>
    <w:p w14:paraId="2DF6B6C0">
      <w:pPr>
        <w:spacing w:after="200"/>
        <w:rPr>
          <w:bCs/>
          <w:iCs/>
        </w:rPr>
      </w:pPr>
      <w:r>
        <w:rPr>
          <w:bCs/>
          <w:iCs/>
        </w:rPr>
        <w:t>Figured dimensions are to be followed in preference to dimensions scaled from the drawings but whenever possible dimensions are to be taken on the site or from the buildings. Before any work is commenced by Sub-contractor or specialist firms, dimensions must be checked on the site and/or buildings and agreed with Main Contractor, irrespective of the comparable dimensions shown on the drawings. The Contractor shall be responsible for the accuracy of such dimensions.</w:t>
      </w:r>
    </w:p>
    <w:p w14:paraId="6CCDB425">
      <w:pPr>
        <w:spacing w:after="200"/>
        <w:rPr>
          <w:b/>
          <w:bCs/>
          <w:iCs/>
        </w:rPr>
      </w:pPr>
      <w:r>
        <w:rPr>
          <w:b/>
          <w:bCs/>
          <w:iCs/>
        </w:rPr>
        <w:t>13. WORKS PROGRAMME</w:t>
      </w:r>
    </w:p>
    <w:p w14:paraId="2A84EBD3">
      <w:pPr>
        <w:spacing w:after="200"/>
        <w:rPr>
          <w:bCs/>
          <w:iCs/>
        </w:rPr>
      </w:pPr>
      <w:r>
        <w:rPr>
          <w:bCs/>
          <w:iCs/>
        </w:rPr>
        <w:t>The Contractor shall, upon possession of site draw up a works programme, setting out the order in which the works are to be carried out with the appropriate date thereof. The works programme is to be agreed with the Project Manager within a maximum of four (4) weeks from the date of possession of site and no deviation from the order set out in the programme will be permitted without the written consent of the Project Manager. The Main Contractor permitted without the written consent of the Project Manager. The Main Contractor will be responsible for arranging the above programme with all sub-contractors including nominated sub-contractors and nominated suppliers. Payment shall not be certified and made to the Contractor unless the progress schedule is approved and agreed upon within the stipulated time indicated above.</w:t>
      </w:r>
    </w:p>
    <w:p w14:paraId="4857C535">
      <w:pPr>
        <w:spacing w:after="200"/>
        <w:rPr>
          <w:b/>
          <w:bCs/>
          <w:iCs/>
        </w:rPr>
      </w:pPr>
      <w:r>
        <w:rPr>
          <w:b/>
          <w:bCs/>
          <w:iCs/>
        </w:rPr>
        <w:t>14. ACCESS TO SITE AND TEMPORARY ROADS</w:t>
      </w:r>
    </w:p>
    <w:p w14:paraId="1B048B7F">
      <w:pPr>
        <w:spacing w:after="200"/>
        <w:rPr>
          <w:bCs/>
          <w:iCs/>
        </w:rPr>
      </w:pPr>
      <w:r>
        <w:rPr>
          <w:bCs/>
          <w:iCs/>
        </w:rPr>
        <w:t>Means of access to the site shall be agreed with the Project Manager prior to the commencement of the works and the Contractor must allow for building any temporary access roads, culverts, bridges, roadside rain-water drains for the transport of materials, plant and workmen including the provision of any other means of gaining access to the site. Upon completion of the works the Contractor shall remove such temporary access roads, temporary culverts, etc. and make good and reinstate all works and services disturbed to the satisfaction of the Project Manager and the Local Authority.</w:t>
      </w:r>
    </w:p>
    <w:p w14:paraId="27D8F897">
      <w:pPr>
        <w:spacing w:after="200"/>
        <w:rPr>
          <w:b/>
          <w:bCs/>
          <w:iCs/>
        </w:rPr>
      </w:pPr>
      <w:r>
        <w:rPr>
          <w:b/>
          <w:bCs/>
          <w:iCs/>
        </w:rPr>
        <w:t>15. SURVEY BEACONS</w:t>
      </w:r>
    </w:p>
    <w:p w14:paraId="49C573D3">
      <w:pPr>
        <w:spacing w:after="200"/>
        <w:rPr>
          <w:bCs/>
          <w:iCs/>
        </w:rPr>
      </w:pPr>
      <w:r>
        <w:rPr>
          <w:bCs/>
          <w:iCs/>
        </w:rPr>
        <w:t>The Contractor will be required to protect from damage all the survey beacons found or to be installed on the site. Any survey beacon disturbed by the main Contractor or his Sub-Contractor whilst carrying out the contract works shall be re-established in the correct positions by a licensed Land Surveyor without delay to the satisfaction of the Project Manager and the Director of Surveys and the Responsibility and expense of the reinstatement shall be borne by the Contractor. Survey beacons shall be inspected and their presence confirmed and certified by the Project Manager on completion of the contract works. Final payment certificates shall not be released to the Contractor until a certificate to this effect is furnished to the Quantity Surveyor. Should the Contractor not reinstate (re-establish) the beacons within eight (8) weeks from the date of Project Manager’s instructions and which date shall be taken to be the date of practical completion, the employer shall engage and pay a licensed surveyor to establish the disturbed beacons and the amounts payable for the Surveying services shall be deducted from any sum of money due or to become due to the contractor, the said monies shall be a debt payable by the Contractor to the Employer.</w:t>
      </w:r>
    </w:p>
    <w:p w14:paraId="36F93D9E">
      <w:pPr>
        <w:spacing w:after="200"/>
        <w:rPr>
          <w:b/>
          <w:bCs/>
          <w:iCs/>
        </w:rPr>
      </w:pPr>
      <w:r>
        <w:rPr>
          <w:b/>
          <w:bCs/>
          <w:iCs/>
        </w:rPr>
        <w:t>16. PREVENTION OF NUISANCE</w:t>
      </w:r>
    </w:p>
    <w:p w14:paraId="12BDB9AE">
      <w:pPr>
        <w:spacing w:after="200"/>
        <w:rPr>
          <w:bCs/>
          <w:iCs/>
        </w:rPr>
      </w:pPr>
      <w:r>
        <w:rPr>
          <w:bCs/>
          <w:iCs/>
        </w:rPr>
        <w:t>The works and such sections of the site necessary shall be under the entire care and control of the Contractor during the whole period of the contract and to ensure that the Contractor has representatives or agents and workmen (Employees) shall take all possible precautions to prevent any nuisance, inconveniences or injury to the holders or occupiers of the existing neighboring or surrounding properties and to the public generally and shall at all times keep all the paths and roads affected by the works in a safety of all traffic, pedestrians and public in general.</w:t>
      </w:r>
    </w:p>
    <w:p w14:paraId="1389158A">
      <w:pPr>
        <w:spacing w:after="200"/>
        <w:rPr>
          <w:b/>
          <w:bCs/>
          <w:iCs/>
        </w:rPr>
      </w:pPr>
      <w:r>
        <w:rPr>
          <w:b/>
          <w:bCs/>
          <w:iCs/>
        </w:rPr>
        <w:t>17. TRANSPORT TO AND FROM THE SITE</w:t>
      </w:r>
    </w:p>
    <w:p w14:paraId="0D0C13FF">
      <w:pPr>
        <w:spacing w:after="200"/>
        <w:rPr>
          <w:bCs/>
          <w:iCs/>
        </w:rPr>
      </w:pPr>
      <w:r>
        <w:rPr>
          <w:bCs/>
          <w:iCs/>
        </w:rPr>
        <w:t>The contractor shall include in his tender prices for the transport of materials, workmen, etc. to and from the site of the proposed works, at such hours and by such routes as per regulations that shall be issued by the police and the Local Authority.</w:t>
      </w:r>
    </w:p>
    <w:p w14:paraId="2367CE58">
      <w:pPr>
        <w:spacing w:after="200"/>
        <w:rPr>
          <w:b/>
          <w:bCs/>
          <w:iCs/>
        </w:rPr>
      </w:pPr>
      <w:r>
        <w:rPr>
          <w:b/>
          <w:bCs/>
          <w:iCs/>
        </w:rPr>
        <w:t>18. EXISTING PROPERTY</w:t>
      </w:r>
    </w:p>
    <w:p w14:paraId="6063BBFE">
      <w:pPr>
        <w:spacing w:after="200"/>
        <w:rPr>
          <w:bCs/>
          <w:iCs/>
        </w:rPr>
      </w:pPr>
      <w:r>
        <w:rPr>
          <w:bCs/>
          <w:iCs/>
        </w:rPr>
        <w:t>The Contractor shall take every precaution to avoid damage to the existing property including roads, cables, drains, boundary wall and other services and he will be held responsible for all damages arising from the execution of this contract to the aforementioned and he shall make good any damage when directed at his own expense to the satisfaction of the Project Manager and the Local Authority.</w:t>
      </w:r>
    </w:p>
    <w:p w14:paraId="6D2FD7B0">
      <w:pPr>
        <w:spacing w:after="200"/>
        <w:rPr>
          <w:b/>
          <w:bCs/>
          <w:iCs/>
        </w:rPr>
      </w:pPr>
      <w:r>
        <w:rPr>
          <w:b/>
          <w:bCs/>
          <w:iCs/>
        </w:rPr>
        <w:t>19. WATER AND ELECTRICITY SUPPLY FOR THE SITE AND THE WORKS</w:t>
      </w:r>
    </w:p>
    <w:p w14:paraId="65F74DD1">
      <w:pPr>
        <w:spacing w:after="200"/>
        <w:rPr>
          <w:bCs/>
          <w:iCs/>
        </w:rPr>
      </w:pPr>
      <w:r>
        <w:rPr>
          <w:bCs/>
          <w:iCs/>
        </w:rPr>
        <w:t>The Contractor shall provide at his own cost and risk all necessary water, electric light and power required for use in the works. The Contractor must make his own arrangements for connections to the nearest suitable water and electricity main and for metering the same. He must also provide temporary storage tanks and meter as required at his own cost and clear away when no longer required and make good on completion to the entire satisfaction of the Project Manager. The Contractor shall pay all charges in connection therewith. No guarantee is given that sufficient water will be available from the main and the Contractor, must make his own arrangements for augmenting this supply at his own cost if necessary.</w:t>
      </w:r>
    </w:p>
    <w:p w14:paraId="14FEDF46">
      <w:pPr>
        <w:spacing w:after="200"/>
        <w:rPr>
          <w:b/>
          <w:bCs/>
          <w:iCs/>
        </w:rPr>
      </w:pPr>
      <w:r>
        <w:rPr>
          <w:b/>
          <w:bCs/>
          <w:iCs/>
        </w:rPr>
        <w:t>20. AREA TO BE OCCUPIED BY THE CONTRACTOR</w:t>
      </w:r>
    </w:p>
    <w:p w14:paraId="10C84A76">
      <w:pPr>
        <w:spacing w:after="200"/>
        <w:rPr>
          <w:bCs/>
          <w:iCs/>
        </w:rPr>
      </w:pPr>
      <w:r>
        <w:rPr>
          <w:bCs/>
          <w:iCs/>
        </w:rPr>
        <w:t>The area to be occupied by the Contractor for use as storage or erection of workshops etc. shall be defined on the site by the Project Manager and the Contractor must confine his activities to the areas so marked and must ensure his own and Sub-contractor's workmen do not trespass on the adjoining properly or cause inconvenience to its occupiers.</w:t>
      </w:r>
    </w:p>
    <w:p w14:paraId="6EDD5606">
      <w:pPr>
        <w:spacing w:after="200"/>
        <w:rPr>
          <w:b/>
          <w:bCs/>
          <w:iCs/>
        </w:rPr>
      </w:pPr>
      <w:r>
        <w:rPr>
          <w:b/>
          <w:bCs/>
          <w:iCs/>
        </w:rPr>
        <w:t>21. SANITATION OF THE WORKS FOR WORKERS</w:t>
      </w:r>
    </w:p>
    <w:p w14:paraId="3C3A171F">
      <w:pPr>
        <w:spacing w:after="200"/>
        <w:rPr>
          <w:bCs/>
          <w:iCs/>
        </w:rPr>
      </w:pPr>
      <w:r>
        <w:rPr>
          <w:bCs/>
          <w:iCs/>
        </w:rPr>
        <w:t>The sanitation of the works shall be arranged and maintained by the Contractor to the satisfaction of the Government and/or Local Authorities and the Project Manager. The site of the sanitation facilities shall be agreed with the Architect and the works shall not be commenced before the sanitary accommodation has been approved by the Project Manager and the Authorities. The Contractor will be required to pay all conservancy charges and employ adequate sweepers on the site to ensure clean maintenance and daily disinfecting of the sanitation facilities upon completion of the works. The sanitation facilities and any temporary drain shall be removed and all works and surfaces disturbed made good and whole area disinfected and left clean and free from pollution all to the satisfaction of Project Manager and local authorities</w:t>
      </w:r>
    </w:p>
    <w:p w14:paraId="1B95CC51">
      <w:pPr>
        <w:spacing w:after="200"/>
        <w:rPr>
          <w:b/>
          <w:bCs/>
          <w:iCs/>
        </w:rPr>
      </w:pPr>
      <w:r>
        <w:rPr>
          <w:b/>
          <w:bCs/>
          <w:iCs/>
        </w:rPr>
        <w:t>22. SETTING OUT</w:t>
      </w:r>
    </w:p>
    <w:p w14:paraId="5CCC00E9">
      <w:pPr>
        <w:spacing w:after="200"/>
        <w:rPr>
          <w:bCs/>
          <w:iCs/>
        </w:rPr>
      </w:pPr>
      <w:r>
        <w:rPr>
          <w:bCs/>
          <w:iCs/>
        </w:rPr>
        <w:t>The Contractor shall set out the works in accordance with the dimensions and levels shown on the drawings and shall be responsible for the correctness of all dimensions and levels so set out by him and will be required to amend all errors arising from inaccurate setting out or discrepancy in the dimensions or levels marked on the drawings, such errors or discrepancies must be reported by the Contractor to the Project Manager for his immediate attention. No work shall be commenced by the Contractor until he has received written instructions from the Project Manager to adjust such discrepancies which may have been proved. Upon receipt of such instructions the contract shall thereupon be responsible for the accurate setting out of the work giving effect to the adjustments necessary to comply with such instructions, and no claim for extra expense or relief may be made thereafter.</w:t>
      </w:r>
    </w:p>
    <w:p w14:paraId="194BE169">
      <w:pPr>
        <w:spacing w:after="200"/>
        <w:rPr>
          <w:b/>
          <w:bCs/>
          <w:iCs/>
        </w:rPr>
      </w:pPr>
      <w:r>
        <w:rPr>
          <w:b/>
          <w:bCs/>
          <w:iCs/>
        </w:rPr>
        <w:t>23. MATERIALS AND WORKMANSHIP</w:t>
      </w:r>
    </w:p>
    <w:p w14:paraId="0F1328CD">
      <w:pPr>
        <w:spacing w:after="200"/>
        <w:rPr>
          <w:bCs/>
          <w:iCs/>
        </w:rPr>
      </w:pPr>
      <w:r>
        <w:rPr>
          <w:bCs/>
          <w:iCs/>
        </w:rPr>
        <w:t>All materials and workmanship used in the execution of the works shall be of the quality and description herein described unless otherwise stated. Samples of all materials proposed to be permanently incorporated in the works must be submitted to the Project Manager for his approval before the bulk of the materials are delivered to the site. The contractor shall be responsible for ordering all materials as early as necessary to ensure that such materials are on the site as and when required for the works.</w:t>
      </w:r>
    </w:p>
    <w:p w14:paraId="6D110807">
      <w:pPr>
        <w:spacing w:after="200"/>
        <w:rPr>
          <w:b/>
          <w:bCs/>
          <w:iCs/>
        </w:rPr>
      </w:pPr>
      <w:r>
        <w:rPr>
          <w:b/>
          <w:bCs/>
          <w:iCs/>
        </w:rPr>
        <w:t>24. STORAGE OF MATERIALS</w:t>
      </w:r>
    </w:p>
    <w:p w14:paraId="6465351C">
      <w:pPr>
        <w:spacing w:after="200"/>
        <w:rPr>
          <w:bCs/>
          <w:iCs/>
        </w:rPr>
      </w:pPr>
      <w:r>
        <w:rPr>
          <w:bCs/>
          <w:iCs/>
        </w:rPr>
        <w:t>The Contractor shall provide at his own cost where directed on the site weather proof lock-up sheds for the safe storage and custody of materials for the works including sub-contractor’s materials and for the use of workmen engaged thereon and shall remove such sheds and make good damaged or disturbed surfaces upon completion to the satisfaction of the Project Manager. No material shall be stored or stocked on suspended slabs without the prior approval of the Project Manager. Materials stored off-the-site shall not be paid for unless the Project Manager has given a written approval for the storage away from the site.</w:t>
      </w:r>
    </w:p>
    <w:p w14:paraId="1960BB18">
      <w:pPr>
        <w:spacing w:after="200"/>
        <w:rPr>
          <w:b/>
          <w:bCs/>
          <w:iCs/>
        </w:rPr>
      </w:pPr>
      <w:r>
        <w:rPr>
          <w:b/>
          <w:bCs/>
          <w:iCs/>
        </w:rPr>
        <w:t>25. TESTING</w:t>
      </w:r>
    </w:p>
    <w:p w14:paraId="2EF63F18">
      <w:pPr>
        <w:spacing w:after="200"/>
        <w:rPr>
          <w:bCs/>
          <w:iCs/>
        </w:rPr>
      </w:pPr>
      <w:r>
        <w:rPr>
          <w:bCs/>
          <w:iCs/>
        </w:rPr>
        <w:t>The Contractor shall arrange at the request of the Project Manager for testing of materials and portions of work at his own expense. It the tests fail, the affected materials or work shall be removed and replaced at the Contractor’s costs. The tests will be performed in an approved manner and by an approved testing authority.</w:t>
      </w:r>
    </w:p>
    <w:p w14:paraId="37DF381D">
      <w:pPr>
        <w:spacing w:after="200"/>
        <w:rPr>
          <w:b/>
          <w:bCs/>
          <w:iCs/>
        </w:rPr>
      </w:pPr>
      <w:r>
        <w:rPr>
          <w:b/>
          <w:bCs/>
          <w:iCs/>
        </w:rPr>
        <w:t>26. LABOUR CAMPS</w:t>
      </w:r>
    </w:p>
    <w:p w14:paraId="09787373">
      <w:pPr>
        <w:spacing w:after="200"/>
        <w:rPr>
          <w:bCs/>
          <w:iCs/>
        </w:rPr>
      </w:pPr>
      <w:r>
        <w:rPr>
          <w:bCs/>
          <w:iCs/>
        </w:rPr>
        <w:t>The Contractor will generally be permitted to house labour on the site and the Contractor must make all necessary arrangement for transportation of labour to and from the site where necessary. This will be with the express permission of the Project Manager.</w:t>
      </w:r>
    </w:p>
    <w:p w14:paraId="6CF1BE1E">
      <w:pPr>
        <w:spacing w:after="200"/>
        <w:rPr>
          <w:b/>
          <w:bCs/>
          <w:iCs/>
        </w:rPr>
      </w:pPr>
      <w:r>
        <w:rPr>
          <w:b/>
          <w:bCs/>
          <w:iCs/>
        </w:rPr>
        <w:t>27. SAFETY HEALTH AND ENVIROMENTAL OFFICER</w:t>
      </w:r>
    </w:p>
    <w:p w14:paraId="11177FB6">
      <w:pPr>
        <w:spacing w:after="200"/>
        <w:rPr>
          <w:bCs/>
          <w:iCs/>
        </w:rPr>
      </w:pPr>
      <w:r>
        <w:rPr>
          <w:bCs/>
          <w:iCs/>
        </w:rPr>
        <w:t>The Contract shall provide a qualified safety officer to interpret Safety Standards including general occupational Health and Safety Standards, HIV/AIDS and Gender Management.</w:t>
      </w:r>
    </w:p>
    <w:p w14:paraId="4D8B1181">
      <w:pPr>
        <w:spacing w:after="200"/>
        <w:rPr>
          <w:b/>
          <w:bCs/>
          <w:iCs/>
        </w:rPr>
      </w:pPr>
      <w:r>
        <w:rPr>
          <w:b/>
          <w:bCs/>
          <w:iCs/>
        </w:rPr>
        <w:t>28. LABOUR</w:t>
      </w:r>
    </w:p>
    <w:p w14:paraId="6B2B5807">
      <w:pPr>
        <w:spacing w:after="200"/>
        <w:rPr>
          <w:bCs/>
          <w:iCs/>
        </w:rPr>
      </w:pPr>
      <w:r>
        <w:rPr>
          <w:bCs/>
          <w:iCs/>
        </w:rPr>
        <w:t>Unless the Project Manager otherwise agrees, the Contractor is to recruit locally all his unskilled labour and as much as possible of his skilled labour.</w:t>
      </w:r>
    </w:p>
    <w:p w14:paraId="78DD0065">
      <w:pPr>
        <w:spacing w:after="200"/>
        <w:rPr>
          <w:b/>
          <w:bCs/>
          <w:iCs/>
        </w:rPr>
      </w:pPr>
      <w:r>
        <w:rPr>
          <w:b/>
          <w:bCs/>
          <w:iCs/>
        </w:rPr>
        <w:t>29. NOTICES</w:t>
      </w:r>
    </w:p>
    <w:p w14:paraId="51652CA2">
      <w:pPr>
        <w:spacing w:after="200"/>
        <w:rPr>
          <w:bCs/>
          <w:iCs/>
        </w:rPr>
      </w:pPr>
      <w:r>
        <w:rPr>
          <w:bCs/>
          <w:iCs/>
        </w:rPr>
        <w:t>For notices to be served under the conditions of contract: - The Contractor shall notify the Project Manager an address where notice may be served upon him or in the event of his failing to do so. Notices shall be deemed served upon the Contractor if sent by Registered post to his usual place of business or left at his office on the site.</w:t>
      </w:r>
    </w:p>
    <w:p w14:paraId="316E2C21">
      <w:pPr>
        <w:spacing w:after="200"/>
        <w:rPr>
          <w:b/>
          <w:bCs/>
          <w:iCs/>
        </w:rPr>
      </w:pPr>
      <w:r>
        <w:rPr>
          <w:b/>
          <w:bCs/>
          <w:iCs/>
        </w:rPr>
        <w:t>30. SECURITY OF WORKS</w:t>
      </w:r>
    </w:p>
    <w:p w14:paraId="6A9FA954">
      <w:pPr>
        <w:spacing w:after="200"/>
        <w:rPr>
          <w:bCs/>
          <w:iCs/>
        </w:rPr>
      </w:pPr>
      <w:r>
        <w:rPr>
          <w:bCs/>
          <w:iCs/>
        </w:rPr>
        <w:t>The Contractor shall be entirely responsible for the security of the works, stores materials, personnel, etc., both his own and Sub-contractors and shall provide all necessary watching, lighting and other precautions as necessary to ensure the security and the protection of the public.</w:t>
      </w:r>
    </w:p>
    <w:p w14:paraId="0A2FF654">
      <w:pPr>
        <w:spacing w:after="200"/>
        <w:rPr>
          <w:b/>
          <w:bCs/>
          <w:iCs/>
        </w:rPr>
      </w:pPr>
      <w:r>
        <w:rPr>
          <w:b/>
          <w:bCs/>
          <w:iCs/>
        </w:rPr>
        <w:t>31. TEMPORARY DISPOSAL OF RAINWATER</w:t>
      </w:r>
    </w:p>
    <w:p w14:paraId="6D099CD3">
      <w:pPr>
        <w:spacing w:after="200"/>
        <w:rPr>
          <w:bCs/>
          <w:iCs/>
        </w:rPr>
      </w:pPr>
      <w:r>
        <w:rPr>
          <w:bCs/>
          <w:iCs/>
        </w:rPr>
        <w:t>The Contractor shall provide and maintain all necessary temporary gutters, downpipes, chutes, earth or other drains, etc. for conveying rainwater from the building and site works. Embankment and sides of excavations shall be shaped to such slopes that soil erosion does not take place. The Contractor shall allow for temporary drainage, pumping and piping for keeping the buildings, services and entire site free from accumulation of and flooding with water and soil. The Contractor shall reinstate the existing ground to the satisfaction of the Project Manager on practical completion of the works.</w:t>
      </w:r>
    </w:p>
    <w:p w14:paraId="24D24038">
      <w:pPr>
        <w:spacing w:after="200"/>
        <w:rPr>
          <w:bCs/>
          <w:iCs/>
        </w:rPr>
      </w:pPr>
      <w:r>
        <w:rPr>
          <w:b/>
          <w:bCs/>
          <w:iCs/>
        </w:rPr>
        <w:t>32. FAIR WAGES AND GOVERNMENT ACT ETC</w:t>
      </w:r>
      <w:r>
        <w:rPr>
          <w:bCs/>
          <w:iCs/>
        </w:rPr>
        <w:t>.</w:t>
      </w:r>
    </w:p>
    <w:p w14:paraId="1D1CAEB7">
      <w:pPr>
        <w:spacing w:after="200"/>
        <w:rPr>
          <w:bCs/>
          <w:iCs/>
        </w:rPr>
      </w:pPr>
      <w:r>
        <w:rPr>
          <w:bCs/>
          <w:iCs/>
        </w:rPr>
        <w:t>The Contractor shall comply with the regulations of wages (Building and Construction Industry) order and shall be responsible for compliance by Sub-Contractor employed in the execution of the Contract. If required he shall notify the Project Manager of the names and address of all such Sub-contractors. Should a claim be made to the Employer alleging the contractor’s default in payment of fair wages to any workman employed on contract and if proof thereof satisfactory to</w:t>
      </w:r>
    </w:p>
    <w:p w14:paraId="710FD3EC">
      <w:pPr>
        <w:spacing w:after="200"/>
        <w:rPr>
          <w:bCs/>
          <w:iCs/>
        </w:rPr>
      </w:pPr>
      <w:r>
        <w:rPr>
          <w:bCs/>
          <w:iCs/>
        </w:rPr>
        <w:t>the Project Manager is furnished by the Labour Department, the Project Manager may, failing payment by the Contractor, pay the claim out of any monies due or which may become due to the Contractor under this contract.</w:t>
      </w:r>
    </w:p>
    <w:p w14:paraId="0741E83E">
      <w:pPr>
        <w:spacing w:after="200"/>
        <w:rPr>
          <w:bCs/>
          <w:iCs/>
        </w:rPr>
      </w:pPr>
      <w:r>
        <w:rPr>
          <w:bCs/>
          <w:iCs/>
        </w:rPr>
        <w:t>The working hours shall be those generally worked by good employers in the Contractor shall furnish the Project Manager if called upon to do so such particulars of the rates of wages, hours and conditions of labour referred to above as the Project Manager shall direct. The Contractor shall also be required to comply with all other Government Acts, regulations and orders in connection with employment of labour.</w:t>
      </w:r>
    </w:p>
    <w:p w14:paraId="06774E65">
      <w:pPr>
        <w:spacing w:after="200"/>
        <w:rPr>
          <w:b/>
          <w:bCs/>
          <w:iCs/>
        </w:rPr>
      </w:pPr>
      <w:r>
        <w:rPr>
          <w:b/>
          <w:bCs/>
          <w:iCs/>
        </w:rPr>
        <w:t>33. WORKING HOURS</w:t>
      </w:r>
    </w:p>
    <w:p w14:paraId="2A073130">
      <w:pPr>
        <w:spacing w:after="200"/>
        <w:rPr>
          <w:bCs/>
          <w:iCs/>
        </w:rPr>
      </w:pPr>
      <w:r>
        <w:rPr>
          <w:bCs/>
          <w:iCs/>
        </w:rPr>
        <w:t>The working hours shall be as the general practice as related to Building and Civil Engineering Trades in Kenya. No work shall be carried out at night or on gazetted holidays unless the Project Manager shall direct. No work shall be covered up or shall any correcting be carried out without prior approval of the Project Manager.</w:t>
      </w:r>
    </w:p>
    <w:p w14:paraId="70F6D6A0">
      <w:pPr>
        <w:spacing w:after="200"/>
        <w:rPr>
          <w:b/>
          <w:bCs/>
          <w:iCs/>
        </w:rPr>
      </w:pPr>
      <w:r>
        <w:rPr>
          <w:b/>
          <w:bCs/>
          <w:iCs/>
        </w:rPr>
        <w:t>34. REMOVAL OF RUBBISH</w:t>
      </w:r>
    </w:p>
    <w:p w14:paraId="4894B04F">
      <w:pPr>
        <w:spacing w:after="200"/>
        <w:rPr>
          <w:bCs/>
          <w:iCs/>
        </w:rPr>
      </w:pPr>
      <w:r>
        <w:rPr>
          <w:bCs/>
          <w:iCs/>
        </w:rPr>
        <w:t>The Contractor is to remove all rubbish from the site from time to time and as instructed by the Project Manager and leave the site clean and tidy on completion. Heaped soils, materials etc. Shall on completion of works be spread and levelled properly to the satisfaction of the Project Manager.</w:t>
      </w:r>
    </w:p>
    <w:p w14:paraId="0B3CAE07">
      <w:pPr>
        <w:spacing w:after="200"/>
        <w:rPr>
          <w:b/>
          <w:bCs/>
          <w:iCs/>
        </w:rPr>
      </w:pPr>
      <w:r>
        <w:rPr>
          <w:b/>
          <w:bCs/>
          <w:iCs/>
        </w:rPr>
        <w:t>35. PLANT, TOOL AND VEHICLES</w:t>
      </w:r>
    </w:p>
    <w:p w14:paraId="31ED0887">
      <w:pPr>
        <w:spacing w:after="200"/>
        <w:rPr>
          <w:bCs/>
          <w:iCs/>
        </w:rPr>
      </w:pPr>
      <w:r>
        <w:rPr>
          <w:bCs/>
          <w:iCs/>
        </w:rPr>
        <w:t>Allow for providing all scaffolding, plant, tools and vehicles required for the proper execution of the works except for such items specifically and only required for the use of nominated subcontractors as described herein. No timber used for scaffolding, formwork or temporary works of any kind shall be used afterwards in the permanent work.</w:t>
      </w:r>
    </w:p>
    <w:p w14:paraId="6D6CEF8B">
      <w:pPr>
        <w:spacing w:after="200"/>
        <w:rPr>
          <w:b/>
          <w:bCs/>
          <w:iCs/>
        </w:rPr>
      </w:pPr>
      <w:r>
        <w:rPr>
          <w:b/>
          <w:bCs/>
          <w:iCs/>
        </w:rPr>
        <w:t>36. CONTRACTOR'S SUPERINTENDENCE/SITE AGENT.</w:t>
      </w:r>
    </w:p>
    <w:p w14:paraId="072E92CC">
      <w:pPr>
        <w:spacing w:after="200"/>
        <w:rPr>
          <w:bCs/>
          <w:iCs/>
        </w:rPr>
      </w:pPr>
      <w:r>
        <w:rPr>
          <w:bCs/>
          <w:iCs/>
        </w:rPr>
        <w:t>The Contractor shall constantly keep on the works a literate English-speaking Agent or Representative, competent and experienced in the kind of work involved who shall give his whole experience in the kind of work involved and shall give his whole time to the superintendence of the works. Such Agent or Representative shall receive on behalf of the Contractor all directions and instructions from the Project Manager and such directions and instructions shall be deemed to have been given to the Contractor in accordance with the conditions of contract.</w:t>
      </w:r>
    </w:p>
    <w:p w14:paraId="20C253C9">
      <w:pPr>
        <w:spacing w:after="200"/>
        <w:rPr>
          <w:b/>
          <w:bCs/>
          <w:iCs/>
        </w:rPr>
      </w:pPr>
      <w:r>
        <w:rPr>
          <w:b/>
          <w:bCs/>
          <w:iCs/>
        </w:rPr>
        <w:t>37. METHOD OF MEASUREMENT</w:t>
      </w:r>
    </w:p>
    <w:p w14:paraId="5A14F7EC">
      <w:pPr>
        <w:spacing w:after="200"/>
        <w:rPr>
          <w:bCs/>
          <w:iCs/>
        </w:rPr>
      </w:pPr>
      <w:r>
        <w:rPr>
          <w:bCs/>
          <w:iCs/>
        </w:rPr>
        <w:t>The whole of the works contained in these Bills of Quantities is measured on the basis of the Civil Engineering Standard Method of Measurement (CESMM Fourth Edition) and the current Standard methods of Measurement in Building works for East Africa (First Edition Metric). All work in this contract that is liable to adjustment has been measured as “provisional” in these Bills of Quantities, and no excavation, foundation work so described shall be filled in or covered up until all measurements needed for the adjustments of variations have been made by the Quantity Surveyor.</w:t>
      </w:r>
    </w:p>
    <w:p w14:paraId="434F47F0">
      <w:pPr>
        <w:spacing w:after="200"/>
        <w:rPr>
          <w:bCs/>
          <w:iCs/>
        </w:rPr>
      </w:pPr>
      <w:r>
        <w:rPr>
          <w:bCs/>
          <w:iCs/>
        </w:rPr>
        <w:t>The rates set down by the Contractor against each item in these Bills of Quantities shall, unless otherwise expressly provided to the contrary, or unless there is a separate item for extra labour, cutting or waste, shall be deemed to include for waste on materials, carriage and cartage, carrying in and return of empties, hoisting, setting, fitting and fixing in position making and all other labour and everything else necessary for the proper completion and all other labour and everything else necessary for the proper completion of each item of cutting shall include for consequent waste.</w:t>
      </w:r>
    </w:p>
    <w:p w14:paraId="53878F5D">
      <w:pPr>
        <w:spacing w:after="200"/>
        <w:rPr>
          <w:b/>
          <w:bCs/>
          <w:iCs/>
        </w:rPr>
      </w:pPr>
      <w:r>
        <w:rPr>
          <w:b/>
          <w:bCs/>
          <w:iCs/>
        </w:rPr>
        <w:t>38. PROVISIONAL SUMS</w:t>
      </w:r>
    </w:p>
    <w:p w14:paraId="1293D714">
      <w:pPr>
        <w:spacing w:after="200"/>
        <w:rPr>
          <w:bCs/>
          <w:iCs/>
        </w:rPr>
      </w:pPr>
      <w:r>
        <w:rPr>
          <w:bCs/>
          <w:iCs/>
        </w:rPr>
        <w:t>The term “Provisional Sum” wherever used in these Bills of Quantities shall have the meaning stated in Section A item A7 (1) of the standard method of measurement. Such sums are net and no addition shall be made to them for profit.</w:t>
      </w:r>
    </w:p>
    <w:p w14:paraId="4CAECA25">
      <w:pPr>
        <w:spacing w:after="200"/>
        <w:rPr>
          <w:b/>
          <w:bCs/>
          <w:iCs/>
        </w:rPr>
      </w:pPr>
      <w:r>
        <w:rPr>
          <w:b/>
          <w:bCs/>
          <w:iCs/>
        </w:rPr>
        <w:t>39. PRIME COST (OR P.C. SUMS)</w:t>
      </w:r>
    </w:p>
    <w:p w14:paraId="688DC9E7">
      <w:pPr>
        <w:spacing w:after="200"/>
        <w:rPr>
          <w:bCs/>
          <w:iCs/>
        </w:rPr>
      </w:pPr>
      <w:r>
        <w:rPr>
          <w:bCs/>
          <w:iCs/>
        </w:rPr>
        <w:t>The term “Prime Cost Sum” or “P.C. Sum” wherever used in these Bills of Quantities shall have the meaning stated in Section A item A7 (ii) of the standard Method of Measurement. Persons or firms nominated by the Project Manager to execute work or to provide and fix materials or goods are described herein as nominated Sub-Contractor. Persons of firms so nominated to supply goods or materials are described as Nominated suppliers.</w:t>
      </w:r>
    </w:p>
    <w:p w14:paraId="2287824E">
      <w:pPr>
        <w:spacing w:after="200"/>
        <w:rPr>
          <w:b/>
          <w:bCs/>
          <w:iCs/>
        </w:rPr>
      </w:pPr>
      <w:r>
        <w:rPr>
          <w:b/>
          <w:bCs/>
          <w:iCs/>
        </w:rPr>
        <w:t>40. ADJUSTMENT OF P.C. SUMS</w:t>
      </w:r>
    </w:p>
    <w:p w14:paraId="439EA694">
      <w:pPr>
        <w:spacing w:after="200"/>
        <w:rPr>
          <w:bCs/>
          <w:iCs/>
        </w:rPr>
      </w:pPr>
      <w:r>
        <w:rPr>
          <w:bCs/>
          <w:iCs/>
        </w:rPr>
        <w:t>In the Final account all P.C. sums shall be deducted and the amount properly expended upon the Project Manager order in respect or each of them added to the contract sum. The Contractor shall produce to the Project Manager such quotations, invoices or bills properly receipted, as may be necessary to show the actual details of the sums paid by the Contractor. Item of “Attendance” following P.C. sums shall be adjusted pro rata to the amount paid in the Final Account. Should the Contractor be permitted to tender and his tender be accepted for any work for which a P.C. sum is included in these Bills of Quantities, profit will be allowed at the same rate as it would be if works were executed by a Nominated Sub-contractor.</w:t>
      </w:r>
    </w:p>
    <w:p w14:paraId="3869571B">
      <w:pPr>
        <w:spacing w:after="200"/>
        <w:rPr>
          <w:b/>
          <w:bCs/>
          <w:iCs/>
        </w:rPr>
      </w:pPr>
      <w:r>
        <w:rPr>
          <w:b/>
          <w:bCs/>
          <w:iCs/>
        </w:rPr>
        <w:t>41. ADJUSTMENT OF PROVISIONAL SUMS.</w:t>
      </w:r>
    </w:p>
    <w:p w14:paraId="3C3F6A65">
      <w:pPr>
        <w:spacing w:after="200"/>
        <w:rPr>
          <w:bCs/>
          <w:iCs/>
        </w:rPr>
      </w:pPr>
      <w:r>
        <w:rPr>
          <w:bCs/>
          <w:iCs/>
        </w:rPr>
        <w:t>In the final account all Provisional Sums shall be deducted and the value of the work properly executed in respect of them upon the Project Manager order added, to the Contract Sum, such works shall be valued as described for variations in clause 30 read “thirty” of the conditions of contract, but should any part of the work be executed by a Nominated Contractor, the value of such work shall be treated as a P.C. sum and profit and attendance comparable to that contained in the priced Bills of Quantities for similar items added.</w:t>
      </w:r>
    </w:p>
    <w:p w14:paraId="67E17862">
      <w:pPr>
        <w:spacing w:after="200"/>
        <w:rPr>
          <w:b/>
          <w:bCs/>
          <w:iCs/>
        </w:rPr>
      </w:pPr>
      <w:r>
        <w:rPr>
          <w:b/>
          <w:bCs/>
          <w:iCs/>
        </w:rPr>
        <w:t>42. NOMINATED SUB-CONTRACTOR</w:t>
      </w:r>
    </w:p>
    <w:p w14:paraId="4FD443AF">
      <w:pPr>
        <w:spacing w:after="200"/>
        <w:rPr>
          <w:bCs/>
          <w:iCs/>
        </w:rPr>
      </w:pPr>
      <w:r>
        <w:rPr>
          <w:bCs/>
          <w:iCs/>
        </w:rPr>
        <w:t>When any work is ordered by the Project Manager to be executed by nominated sub-contractors, the Contractors shall enter into Sub-contracts shall thereafter be responsible for such Subcontractors in every respect. Unless otherwise described the Contractor is to provide for such Sub-Contractor any or all of the facilities described in these preliminaries. Work concerned in the P.C. sums under the description “Add for Attendance”. The Contractor will be required to obtain approval of the Project Manager in writing before employing any pf his own (I.e. nominated) Sub-contractor for any portion of the works.</w:t>
      </w:r>
    </w:p>
    <w:p w14:paraId="1D3562A0">
      <w:pPr>
        <w:spacing w:after="200"/>
        <w:rPr>
          <w:bCs/>
          <w:iCs/>
        </w:rPr>
      </w:pPr>
      <w:r>
        <w:rPr>
          <w:bCs/>
          <w:iCs/>
        </w:rPr>
        <w:t xml:space="preserve"> </w:t>
      </w:r>
    </w:p>
    <w:p w14:paraId="6734A22A">
      <w:pPr>
        <w:spacing w:after="200"/>
        <w:rPr>
          <w:bCs/>
          <w:iCs/>
        </w:rPr>
      </w:pPr>
      <w:r>
        <w:rPr>
          <w:b/>
          <w:bCs/>
          <w:iCs/>
        </w:rPr>
        <w:t>43. ATTENDANCE TO NOMINATED SUB-CONTRACTOR</w:t>
      </w:r>
    </w:p>
    <w:p w14:paraId="27A81D79">
      <w:pPr>
        <w:spacing w:after="200"/>
        <w:rPr>
          <w:bCs/>
          <w:iCs/>
        </w:rPr>
      </w:pPr>
      <w:r>
        <w:rPr>
          <w:bCs/>
          <w:iCs/>
        </w:rPr>
        <w:t>Under the terms and conditions of the Main Contract, the main contractor shall accept responsibility for providing the following services for Nominated sub-contractors:</w:t>
      </w:r>
    </w:p>
    <w:p w14:paraId="777F72A9">
      <w:pPr>
        <w:spacing w:after="200"/>
        <w:rPr>
          <w:b/>
          <w:bCs/>
          <w:iCs/>
        </w:rPr>
      </w:pPr>
      <w:r>
        <w:rPr>
          <w:b/>
          <w:bCs/>
          <w:iCs/>
        </w:rPr>
        <w:t>a. General Attendance</w:t>
      </w:r>
    </w:p>
    <w:p w14:paraId="6F5EB713">
      <w:pPr>
        <w:spacing w:after="200"/>
        <w:rPr>
          <w:bCs/>
          <w:iCs/>
        </w:rPr>
      </w:pPr>
      <w:r>
        <w:rPr>
          <w:bCs/>
          <w:iCs/>
        </w:rPr>
        <w:t>The following services are described as ''allow for general attendance'':</w:t>
      </w:r>
    </w:p>
    <w:p w14:paraId="1FA25382">
      <w:pPr>
        <w:spacing w:after="200"/>
        <w:rPr>
          <w:bCs/>
          <w:iCs/>
        </w:rPr>
      </w:pPr>
      <w:r>
        <w:rPr>
          <w:bCs/>
          <w:iCs/>
        </w:rPr>
        <w:t>(a) Use, for the purpose of the subcontract works of any scaffolding belonging to or provided by the contractor while it remains so erected upon the site, provided that no warranty or other liability on the part of the contractor or of his other sub-contractors shall be created or implied in regard to the fitness, condition or suitability of the said scaffolding.</w:t>
      </w:r>
    </w:p>
    <w:p w14:paraId="316A6297">
      <w:pPr>
        <w:spacing w:after="200"/>
        <w:rPr>
          <w:bCs/>
          <w:iCs/>
        </w:rPr>
      </w:pPr>
      <w:r>
        <w:rPr>
          <w:bCs/>
          <w:iCs/>
        </w:rPr>
        <w:t>(b) Provision of water, lighting, watching and attendance for the purpose of the subcontract works.</w:t>
      </w:r>
    </w:p>
    <w:p w14:paraId="595515D1">
      <w:pPr>
        <w:spacing w:after="200"/>
        <w:rPr>
          <w:bCs/>
          <w:iCs/>
        </w:rPr>
      </w:pPr>
      <w:r>
        <w:rPr>
          <w:bCs/>
          <w:iCs/>
        </w:rPr>
        <w:t>(c) Use of sanitary accommodation, mess rooms and welfare facilities.</w:t>
      </w:r>
    </w:p>
    <w:p w14:paraId="3032E066">
      <w:pPr>
        <w:spacing w:after="200"/>
        <w:rPr>
          <w:bCs/>
          <w:iCs/>
        </w:rPr>
      </w:pPr>
      <w:r>
        <w:rPr>
          <w:bCs/>
          <w:iCs/>
        </w:rPr>
        <w:t>(d) Provision of space for erection of offices or stores or space for storage of plant and materials</w:t>
      </w:r>
    </w:p>
    <w:p w14:paraId="2AD76AFE">
      <w:pPr>
        <w:spacing w:after="200"/>
        <w:rPr>
          <w:bCs/>
          <w:iCs/>
        </w:rPr>
      </w:pPr>
      <w:r>
        <w:rPr>
          <w:bCs/>
          <w:iCs/>
        </w:rPr>
        <w:t>(e) Clearing away rubbish produced by them.</w:t>
      </w:r>
    </w:p>
    <w:p w14:paraId="2530661F">
      <w:pPr>
        <w:spacing w:after="200"/>
        <w:rPr>
          <w:b/>
          <w:bCs/>
          <w:iCs/>
        </w:rPr>
      </w:pPr>
      <w:r>
        <w:rPr>
          <w:b/>
          <w:bCs/>
          <w:iCs/>
        </w:rPr>
        <w:t>b. SPECIAL ATTENDANCE</w:t>
      </w:r>
    </w:p>
    <w:p w14:paraId="4CCA708D">
      <w:pPr>
        <w:spacing w:after="200"/>
        <w:rPr>
          <w:bCs/>
          <w:iCs/>
        </w:rPr>
      </w:pPr>
      <w:r>
        <w:rPr>
          <w:bCs/>
          <w:iCs/>
        </w:rPr>
        <w:t>(a) 'Taking delivery' shall mean the provision of unskilled labour necessary to attend upon the sub-contractors workmen for the purpose of unloading plant and materials when received upon the site and placing in position within the sub-contractor's storage space or store. (b) 'Hoisting' shall mean the provision of unskilled labour and the use of any contractor's standing plant for the purpose of assisting the sub-contractor's workmen in hoisting the subcontractor's plant and materials to the various levels but not placing to its final position. (c) 'Providing Power' shall mean the provision of power during the course of the works and during the period of maintenance.</w:t>
      </w:r>
    </w:p>
    <w:p w14:paraId="0D4CC165">
      <w:pPr>
        <w:spacing w:after="200"/>
        <w:rPr>
          <w:b/>
          <w:bCs/>
          <w:iCs/>
        </w:rPr>
      </w:pPr>
      <w:r>
        <w:rPr>
          <w:b/>
          <w:bCs/>
          <w:iCs/>
        </w:rPr>
        <w:t>44. ALTERATIONS TO BILLS, PRICING E.T.C</w:t>
      </w:r>
    </w:p>
    <w:p w14:paraId="54A3EFF2">
      <w:pPr>
        <w:spacing w:after="200"/>
        <w:rPr>
          <w:bCs/>
          <w:iCs/>
        </w:rPr>
      </w:pPr>
      <w:r>
        <w:rPr>
          <w:bCs/>
          <w:iCs/>
        </w:rPr>
        <w:t>Any unauthorized alterations or qualifications made to the text of the Bills of Quantities may cause the Tender to be disqualified and will in any case be ignored. The Contractor shall be deemed to have made allowance in his prices The Contractor shall be deemed to have made allowance in his prices generally to cover any items against which no price has been inserted in the priced Bills of Quantities.</w:t>
      </w:r>
    </w:p>
    <w:p w14:paraId="3038EFDB">
      <w:pPr>
        <w:spacing w:after="200"/>
        <w:rPr>
          <w:b/>
          <w:bCs/>
          <w:iCs/>
        </w:rPr>
      </w:pPr>
      <w:r>
        <w:rPr>
          <w:b/>
          <w:bCs/>
          <w:iCs/>
        </w:rPr>
        <w:t>45. BLASTING OPERATIONS</w:t>
      </w:r>
    </w:p>
    <w:p w14:paraId="13566F57">
      <w:pPr>
        <w:spacing w:after="200"/>
        <w:rPr>
          <w:bCs/>
          <w:iCs/>
        </w:rPr>
      </w:pPr>
      <w:r>
        <w:rPr>
          <w:bCs/>
          <w:iCs/>
        </w:rPr>
        <w:t>Blasting will only be allowed with the express permission of the Project Manager in writing. All blasting operations shall be carried out at the Contractor’s sole cost and risk in accordance with any Government regulation in force in force for the time being, and any special regulation laid down by the Project Manager governing the use and storage of explosives.</w:t>
      </w:r>
    </w:p>
    <w:p w14:paraId="75FA1AB8">
      <w:pPr>
        <w:spacing w:after="200"/>
        <w:rPr>
          <w:b/>
          <w:bCs/>
          <w:iCs/>
        </w:rPr>
      </w:pPr>
      <w:r>
        <w:rPr>
          <w:b/>
          <w:bCs/>
          <w:iCs/>
        </w:rPr>
        <w:t>46. HOISTING</w:t>
      </w:r>
    </w:p>
    <w:p w14:paraId="1EE771D3">
      <w:pPr>
        <w:spacing w:after="200"/>
        <w:rPr>
          <w:bCs/>
          <w:iCs/>
        </w:rPr>
      </w:pPr>
      <w:r>
        <w:rPr>
          <w:bCs/>
          <w:iCs/>
        </w:rPr>
        <w:t>Throughout these Bills of Quantities generally no mention is made of heights for hoisting. All prices must include for hoisting and fixing at any level of the works. Where a particular level is specified, the Contractor shall price accordingly.</w:t>
      </w:r>
    </w:p>
    <w:p w14:paraId="0960933F">
      <w:pPr>
        <w:spacing w:after="200"/>
        <w:rPr>
          <w:b/>
          <w:bCs/>
          <w:iCs/>
        </w:rPr>
      </w:pPr>
      <w:r>
        <w:rPr>
          <w:b/>
          <w:bCs/>
          <w:iCs/>
        </w:rPr>
        <w:t>47. MATERIALS ARISING FROM EXCAVATIONS</w:t>
      </w:r>
    </w:p>
    <w:p w14:paraId="58FD854B">
      <w:pPr>
        <w:spacing w:after="200"/>
        <w:rPr>
          <w:bCs/>
          <w:iCs/>
        </w:rPr>
      </w:pPr>
      <w:r>
        <w:rPr>
          <w:bCs/>
          <w:iCs/>
        </w:rPr>
        <w:t>Materials of any kind obtained from the excavation shall be the property of the Employer. Unless the Project Manager directs otherwise such materials shall be dealt with as provided in the Contract. Such materials shall only be used in the works in substitution of the materials which the contractor would otherwise have had to supply with the written permission of the Project Manager. Should such permission be given, the Contractor shall make due allowance for the value of the materials so used at a price to be agreed.</w:t>
      </w:r>
    </w:p>
    <w:p w14:paraId="10EF6AF0">
      <w:pPr>
        <w:spacing w:after="200"/>
        <w:rPr>
          <w:b/>
          <w:bCs/>
          <w:iCs/>
        </w:rPr>
      </w:pPr>
      <w:r>
        <w:rPr>
          <w:b/>
          <w:bCs/>
          <w:iCs/>
        </w:rPr>
        <w:t>48. CLEANING UP</w:t>
      </w:r>
    </w:p>
    <w:p w14:paraId="4BE620C0">
      <w:pPr>
        <w:spacing w:after="200"/>
        <w:rPr>
          <w:bCs/>
          <w:iCs/>
        </w:rPr>
      </w:pPr>
      <w:r>
        <w:rPr>
          <w:bCs/>
          <w:iCs/>
        </w:rPr>
        <w:t>On completion and as necessary during the course of the works the Contractor sanitary fittings, clean out all gulley and drain and leave the buildings and the entire site in a clean and habitable condition to the satisfaction of the Project Manager.</w:t>
      </w:r>
    </w:p>
    <w:p w14:paraId="56833BFE">
      <w:pPr>
        <w:spacing w:after="200"/>
        <w:rPr>
          <w:b/>
          <w:bCs/>
          <w:iCs/>
        </w:rPr>
      </w:pPr>
      <w:r>
        <w:rPr>
          <w:b/>
          <w:bCs/>
          <w:iCs/>
        </w:rPr>
        <w:t>49. HOARDING</w:t>
      </w:r>
    </w:p>
    <w:p w14:paraId="03A15BBD">
      <w:pPr>
        <w:spacing w:after="200"/>
        <w:rPr>
          <w:bCs/>
          <w:iCs/>
        </w:rPr>
      </w:pPr>
      <w:r>
        <w:rPr>
          <w:bCs/>
          <w:iCs/>
        </w:rPr>
        <w:t>The Contractor shall allow for providing and clearing away on completion such hoarding or fencing and access gates as may be necessary for the protection of the works and the public, all to the Project Manager approval and local authority requirements. The Contractor will be responsible for paying any fees or taxes in respect of hoarding. The hoarding and gates shall be painted as directed by the Project Manager. The Contractor shall allow for maintaining the hoarding and gates throughout the contract and clearing away and making good disturbed surfaces upon completion. All the material arising will remain the property of the Contractor and he should allow for credit against this accordingly.</w:t>
      </w:r>
    </w:p>
    <w:p w14:paraId="60491AAE">
      <w:pPr>
        <w:spacing w:after="200"/>
        <w:rPr>
          <w:b/>
          <w:bCs/>
          <w:iCs/>
        </w:rPr>
      </w:pPr>
      <w:r>
        <w:rPr>
          <w:b/>
          <w:bCs/>
          <w:iCs/>
        </w:rPr>
        <w:t>50. INCREASE OR DECREASE IN COST</w:t>
      </w:r>
    </w:p>
    <w:p w14:paraId="6F9167D0">
      <w:pPr>
        <w:spacing w:after="200"/>
        <w:rPr>
          <w:bCs/>
          <w:iCs/>
        </w:rPr>
      </w:pPr>
      <w:r>
        <w:rPr>
          <w:bCs/>
          <w:iCs/>
        </w:rPr>
        <w:t>Adjustment to the contract price in respect of rise or fall of cost of materials and labour and other matters affecting the cost of execution of the works shall be calculated in accordance with the guideline issues by the Joint Building Council of Kenya (JBC Lists).</w:t>
      </w:r>
    </w:p>
    <w:p w14:paraId="38489844">
      <w:pPr>
        <w:spacing w:after="200"/>
        <w:rPr>
          <w:b/>
          <w:bCs/>
          <w:iCs/>
        </w:rPr>
      </w:pPr>
      <w:r>
        <w:rPr>
          <w:b/>
          <w:bCs/>
          <w:iCs/>
        </w:rPr>
        <w:t>51. LOCAL AUTHORITY BY-LAWS AND CHARGES</w:t>
      </w:r>
    </w:p>
    <w:p w14:paraId="79B59299">
      <w:pPr>
        <w:spacing w:after="200"/>
        <w:rPr>
          <w:bCs/>
          <w:iCs/>
        </w:rPr>
      </w:pPr>
      <w:r>
        <w:rPr>
          <w:bCs/>
          <w:iCs/>
        </w:rPr>
        <w:t>The Contractor shall comply with all local Authorities by-laws and pay for all charges in connection therewith. The Contractor should therefore allow in his tender for such expenses.</w:t>
      </w:r>
    </w:p>
    <w:p w14:paraId="06C111AA">
      <w:r>
        <w:rPr>
          <w:b/>
          <w:i/>
          <w:color w:val="FF0000"/>
        </w:rPr>
        <w:t xml:space="preserve"> </w:t>
      </w:r>
    </w:p>
    <w:p w14:paraId="37CF6673">
      <w:pPr>
        <w:pStyle w:val="57"/>
        <w:tabs>
          <w:tab w:val="clear" w:pos="9000"/>
          <w:tab w:val="clear" w:pos="9360"/>
        </w:tabs>
      </w:pPr>
    </w:p>
    <w:p w14:paraId="2A9A0C64">
      <w:r>
        <w:br w:type="page"/>
      </w:r>
    </w:p>
    <w:p w14:paraId="79F65202">
      <w:pPr>
        <w:rPr>
          <w:rFonts w:hint="default"/>
          <w:lang w:val="en-US"/>
        </w:rPr>
      </w:pPr>
      <w:r>
        <w:t xml:space="preserve"> </w:t>
      </w:r>
      <w:r>
        <w:rPr>
          <w:rFonts w:hint="default"/>
          <w:lang w:val="en-US"/>
        </w:rPr>
        <w:t xml:space="preserve"> </w:t>
      </w:r>
    </w:p>
    <w:p w14:paraId="52514AE7">
      <w:pPr>
        <w:jc w:val="center"/>
        <w:rPr>
          <w:rFonts w:hint="default"/>
          <w:b/>
          <w:bCs w:val="0"/>
          <w:sz w:val="24"/>
          <w:szCs w:val="24"/>
          <w:lang w:val="en-US"/>
        </w:rPr>
      </w:pPr>
      <w:r>
        <w:rPr>
          <w:b/>
          <w:sz w:val="28"/>
          <w:szCs w:val="28"/>
        </w:rPr>
        <w:t>(</w:t>
      </w:r>
      <w:r>
        <w:rPr>
          <w:b/>
          <w:bCs w:val="0"/>
          <w:sz w:val="28"/>
          <w:szCs w:val="28"/>
        </w:rPr>
        <w:t>BILL OF QUANTITIE</w:t>
      </w:r>
      <w:bookmarkEnd w:id="400"/>
      <w:bookmarkEnd w:id="401"/>
      <w:r>
        <w:rPr>
          <w:rFonts w:hint="default"/>
          <w:b/>
          <w:bCs w:val="0"/>
          <w:sz w:val="28"/>
          <w:szCs w:val="28"/>
          <w:lang w:val="en-US"/>
        </w:rPr>
        <w:t>(</w:t>
      </w:r>
      <w:r>
        <w:rPr>
          <w:b/>
          <w:bCs w:val="0"/>
          <w:sz w:val="24"/>
          <w:szCs w:val="24"/>
          <w:lang w:val="en-GB"/>
        </w:rPr>
        <w:t xml:space="preserve"> B</w:t>
      </w:r>
      <w:r>
        <w:rPr>
          <w:rFonts w:hint="default"/>
          <w:b/>
          <w:bCs w:val="0"/>
          <w:sz w:val="24"/>
          <w:szCs w:val="24"/>
          <w:lang w:val="en-US"/>
        </w:rPr>
        <w:t>.</w:t>
      </w:r>
      <w:r>
        <w:rPr>
          <w:b/>
          <w:bCs w:val="0"/>
          <w:sz w:val="24"/>
          <w:szCs w:val="24"/>
          <w:lang w:val="en-GB"/>
        </w:rPr>
        <w:t>O</w:t>
      </w:r>
      <w:r>
        <w:rPr>
          <w:rFonts w:hint="default"/>
          <w:b/>
          <w:bCs w:val="0"/>
          <w:sz w:val="24"/>
          <w:szCs w:val="24"/>
          <w:lang w:val="en-US"/>
        </w:rPr>
        <w:t>.</w:t>
      </w:r>
      <w:r>
        <w:rPr>
          <w:b/>
          <w:bCs w:val="0"/>
          <w:sz w:val="24"/>
          <w:szCs w:val="24"/>
          <w:lang w:val="en-GB"/>
        </w:rPr>
        <w:t>Q</w:t>
      </w:r>
      <w:r>
        <w:rPr>
          <w:rFonts w:hint="default"/>
          <w:b/>
          <w:bCs w:val="0"/>
          <w:sz w:val="24"/>
          <w:szCs w:val="24"/>
          <w:lang w:val="en-US"/>
        </w:rPr>
        <w:t xml:space="preserve">) </w:t>
      </w:r>
      <w:r>
        <w:rPr>
          <w:b/>
          <w:bCs w:val="0"/>
          <w:sz w:val="24"/>
          <w:szCs w:val="24"/>
          <w:lang w:val="en-GB"/>
        </w:rPr>
        <w:t>IS VOLUME II OF THE BIDDING DOCUMENTS</w:t>
      </w:r>
      <w:r>
        <w:rPr>
          <w:rFonts w:hint="default"/>
          <w:b/>
          <w:bCs w:val="0"/>
          <w:sz w:val="24"/>
          <w:szCs w:val="24"/>
          <w:lang w:val="en-US"/>
        </w:rPr>
        <w:t>)</w:t>
      </w:r>
    </w:p>
    <w:p w14:paraId="7839CB5B">
      <w:pPr>
        <w:pStyle w:val="156"/>
      </w:pPr>
    </w:p>
    <w:p w14:paraId="25CF5331">
      <w:bookmarkStart w:id="402" w:name="_Toc108950335"/>
      <w:r>
        <w:rPr>
          <w:b/>
          <w:sz w:val="28"/>
          <w:szCs w:val="28"/>
        </w:rPr>
        <w:br w:type="page"/>
      </w:r>
      <w:bookmarkEnd w:id="402"/>
    </w:p>
    <w:tbl>
      <w:tblPr>
        <w:tblStyle w:val="12"/>
        <w:tblW w:w="0" w:type="auto"/>
        <w:tblInd w:w="0" w:type="dxa"/>
        <w:tblLayout w:type="fixed"/>
        <w:tblCellMar>
          <w:top w:w="0" w:type="dxa"/>
          <w:left w:w="108" w:type="dxa"/>
          <w:bottom w:w="0" w:type="dxa"/>
          <w:right w:w="108" w:type="dxa"/>
        </w:tblCellMar>
      </w:tblPr>
      <w:tblGrid>
        <w:gridCol w:w="9198"/>
      </w:tblGrid>
      <w:tr w14:paraId="1B8037E5">
        <w:tblPrEx>
          <w:tblCellMar>
            <w:top w:w="0" w:type="dxa"/>
            <w:left w:w="108" w:type="dxa"/>
            <w:bottom w:w="0" w:type="dxa"/>
            <w:right w:w="108" w:type="dxa"/>
          </w:tblCellMar>
        </w:tblPrEx>
        <w:trPr>
          <w:trHeight w:val="900" w:hRule="atLeast"/>
        </w:trPr>
        <w:tc>
          <w:tcPr>
            <w:tcW w:w="9198" w:type="dxa"/>
            <w:vAlign w:val="center"/>
          </w:tcPr>
          <w:p w14:paraId="1DB74935">
            <w:pPr>
              <w:pStyle w:val="152"/>
            </w:pPr>
            <w:r>
              <w:br w:type="page"/>
            </w:r>
            <w:bookmarkStart w:id="403" w:name="_Toc41971550"/>
            <w:bookmarkStart w:id="404" w:name="_Toc125871319"/>
            <w:bookmarkStart w:id="405" w:name="_Toc178519589"/>
            <w:bookmarkStart w:id="406" w:name="_Toc139856167"/>
            <w:r>
              <w:rPr>
                <w:iCs/>
              </w:rPr>
              <w:t>Form</w:t>
            </w:r>
            <w:r>
              <w:t xml:space="preserve"> of Bid Security</w:t>
            </w:r>
            <w:bookmarkEnd w:id="403"/>
            <w:bookmarkEnd w:id="404"/>
            <w:r>
              <w:t xml:space="preserve"> (Bank Guarantee)</w:t>
            </w:r>
            <w:bookmarkEnd w:id="405"/>
            <w:bookmarkEnd w:id="406"/>
          </w:p>
        </w:tc>
      </w:tr>
    </w:tbl>
    <w:p w14:paraId="20ED042A">
      <w:pPr>
        <w:pStyle w:val="50"/>
        <w:rPr>
          <w:rFonts w:ascii="Times New Roman" w:hAnsi="Times New Roman"/>
          <w:i/>
          <w:sz w:val="24"/>
        </w:rPr>
      </w:pPr>
      <w:r>
        <w:rPr>
          <w:rFonts w:ascii="Times New Roman" w:hAnsi="Times New Roman"/>
          <w:i/>
          <w:sz w:val="24"/>
        </w:rPr>
        <w:t xml:space="preserve"> [Guarantor letterhead or SWIFT identifier code] </w:t>
      </w:r>
    </w:p>
    <w:p w14:paraId="3FC58D09">
      <w:pPr>
        <w:pStyle w:val="50"/>
        <w:rPr>
          <w:i/>
          <w:sz w:val="24"/>
        </w:rPr>
      </w:pPr>
      <w:r>
        <w:rPr>
          <w:rFonts w:ascii="Times New Roman" w:hAnsi="Times New Roman"/>
          <w:b/>
          <w:sz w:val="24"/>
        </w:rPr>
        <w:t xml:space="preserve">Beneficiary:  </w:t>
      </w:r>
    </w:p>
    <w:p w14:paraId="18C05A94">
      <w:pPr>
        <w:pStyle w:val="50"/>
        <w:rPr>
          <w:sz w:val="24"/>
        </w:rPr>
      </w:pPr>
      <w:r>
        <w:rPr>
          <w:rFonts w:ascii="Times New Roman" w:hAnsi="Times New Roman"/>
          <w:i/>
          <w:sz w:val="24"/>
        </w:rPr>
        <w:t xml:space="preserve">[Insert name and address of the </w:t>
      </w:r>
      <w:r>
        <w:rPr>
          <w:rFonts w:ascii="Times New Roman" w:hAnsi="Times New Roman"/>
          <w:sz w:val="24"/>
        </w:rPr>
        <w:t>Employer</w:t>
      </w:r>
      <w:r>
        <w:rPr>
          <w:rFonts w:ascii="Times New Roman" w:hAnsi="Times New Roman"/>
          <w:i/>
          <w:sz w:val="24"/>
        </w:rPr>
        <w:t>]</w:t>
      </w:r>
      <w:r>
        <w:rPr>
          <w:rFonts w:ascii="Times New Roman" w:hAnsi="Times New Roman"/>
          <w:sz w:val="24"/>
        </w:rPr>
        <w:t xml:space="preserve">  </w:t>
      </w:r>
    </w:p>
    <w:p w14:paraId="265F9E1C">
      <w:pPr>
        <w:pStyle w:val="50"/>
        <w:rPr>
          <w:b/>
          <w:sz w:val="24"/>
        </w:rPr>
      </w:pPr>
      <w:r>
        <w:rPr>
          <w:rFonts w:ascii="Times New Roman" w:hAnsi="Times New Roman"/>
          <w:b/>
          <w:sz w:val="24"/>
        </w:rPr>
        <w:t xml:space="preserve">Invitation for Bids No: </w:t>
      </w:r>
      <w:r>
        <w:rPr>
          <w:rFonts w:ascii="Times New Roman" w:hAnsi="Times New Roman" w:eastAsia="Times New Roman" w:cs="Times New Roman"/>
          <w:color w:val="auto"/>
          <w:sz w:val="28"/>
          <w:szCs w:val="28"/>
          <w:highlight w:val="none"/>
          <w:u w:val="none"/>
          <w:lang w:val="en-GB"/>
        </w:rPr>
        <w:t xml:space="preserve"> </w:t>
      </w:r>
      <w:r>
        <w:rPr>
          <w:rFonts w:ascii="Times New Roman" w:hAnsi="Times New Roman" w:eastAsia="Open Sans" w:cs="Times New Roman"/>
          <w:b/>
          <w:bCs/>
          <w:i w:val="0"/>
          <w:iCs w:val="0"/>
          <w:caps w:val="0"/>
          <w:color w:val="auto"/>
          <w:spacing w:val="0"/>
          <w:sz w:val="28"/>
          <w:szCs w:val="28"/>
          <w:highlight w:val="none"/>
          <w:u w:val="none"/>
          <w:shd w:val="clear" w:fill="E8EBF0"/>
        </w:rPr>
        <w:t>KE-WAJWASCO-456993-CW-RFB</w:t>
      </w:r>
    </w:p>
    <w:p w14:paraId="3D415072">
      <w:pPr>
        <w:pStyle w:val="50"/>
        <w:rPr>
          <w:rFonts w:ascii="Times New Roman" w:hAnsi="Times New Roman"/>
          <w:sz w:val="24"/>
        </w:rPr>
      </w:pPr>
      <w:r>
        <w:rPr>
          <w:rFonts w:ascii="Times New Roman" w:hAnsi="Times New Roman"/>
          <w:b/>
          <w:sz w:val="24"/>
        </w:rPr>
        <w:t>Date:</w:t>
      </w:r>
      <w:r>
        <w:rPr>
          <w:rFonts w:ascii="Times New Roman" w:hAnsi="Times New Roman"/>
          <w:sz w:val="24"/>
        </w:rPr>
        <w:t xml:space="preserve"> </w:t>
      </w:r>
      <w:r>
        <w:rPr>
          <w:rFonts w:ascii="Times New Roman" w:hAnsi="Times New Roman"/>
          <w:i/>
          <w:sz w:val="24"/>
        </w:rPr>
        <w:t>[Insert date of issue]</w:t>
      </w:r>
      <w:r>
        <w:rPr>
          <w:rFonts w:ascii="Times New Roman" w:hAnsi="Times New Roman"/>
          <w:sz w:val="24"/>
        </w:rPr>
        <w:t xml:space="preserve"> </w:t>
      </w:r>
    </w:p>
    <w:p w14:paraId="0DB7E8B4">
      <w:pPr>
        <w:pStyle w:val="50"/>
        <w:rPr>
          <w:rFonts w:ascii="Times New Roman" w:hAnsi="Times New Roman"/>
          <w:sz w:val="24"/>
        </w:rPr>
      </w:pPr>
      <w:r>
        <w:rPr>
          <w:rFonts w:ascii="Times New Roman" w:hAnsi="Times New Roman"/>
          <w:b/>
          <w:sz w:val="24"/>
        </w:rPr>
        <w:t>BID GUARANTEE No.:</w:t>
      </w:r>
      <w:r>
        <w:rPr>
          <w:rFonts w:ascii="Times New Roman" w:hAnsi="Times New Roman"/>
          <w:sz w:val="24"/>
        </w:rPr>
        <w:t xml:space="preserve"> </w:t>
      </w:r>
      <w:r>
        <w:rPr>
          <w:rFonts w:ascii="Times New Roman" w:hAnsi="Times New Roman"/>
          <w:i/>
          <w:sz w:val="24"/>
        </w:rPr>
        <w:t>[Insert guarantee reference number]</w:t>
      </w:r>
      <w:r>
        <w:rPr>
          <w:rFonts w:ascii="Times New Roman" w:hAnsi="Times New Roman"/>
          <w:sz w:val="24"/>
        </w:rPr>
        <w:t xml:space="preserve"> </w:t>
      </w:r>
    </w:p>
    <w:p w14:paraId="6366F936">
      <w:pPr>
        <w:pStyle w:val="50"/>
        <w:rPr>
          <w:rFonts w:ascii="Times New Roman" w:hAnsi="Times New Roman"/>
          <w:sz w:val="24"/>
        </w:rPr>
      </w:pPr>
      <w:r>
        <w:rPr>
          <w:rFonts w:ascii="Times New Roman" w:hAnsi="Times New Roman"/>
          <w:b/>
          <w:sz w:val="24"/>
        </w:rPr>
        <w:t>Guarantor: [</w:t>
      </w:r>
      <w:r>
        <w:rPr>
          <w:rFonts w:ascii="Times New Roman" w:hAnsi="Times New Roman"/>
          <w:i/>
          <w:sz w:val="24"/>
        </w:rPr>
        <w:t>Insert name and address of place of issue, unless indicated in the letterhead]</w:t>
      </w:r>
    </w:p>
    <w:p w14:paraId="007372D3">
      <w:pPr>
        <w:pStyle w:val="50"/>
        <w:jc w:val="both"/>
        <w:rPr>
          <w:rFonts w:ascii="Times New Roman" w:hAnsi="Times New Roman"/>
          <w:sz w:val="24"/>
        </w:rPr>
      </w:pPr>
      <w:r>
        <w:rPr>
          <w:rFonts w:ascii="Times New Roman" w:hAnsi="Times New Roman"/>
          <w:sz w:val="24"/>
        </w:rPr>
        <w:t xml:space="preserve">We have been informed that </w:t>
      </w:r>
      <w:r>
        <w:rPr>
          <w:rFonts w:ascii="Times New Roman" w:hAnsi="Times New Roman"/>
          <w:i/>
          <w:sz w:val="24"/>
        </w:rPr>
        <w:t>[insert name of the Bidder, which in the case of a joint venture shall be the name of the joint venture (whether legally constituted or prospective) or the names of all members thereof]</w:t>
      </w:r>
      <w:r>
        <w:rPr>
          <w:rFonts w:ascii="Times New Roman" w:hAnsi="Times New Roman"/>
          <w:sz w:val="24"/>
        </w:rPr>
        <w:t xml:space="preserve"> (hereinafter called "the Applicant") has submitted or will submit to the Beneficiary its bid (hereinafter called "the Bid") for the execution of </w:t>
      </w:r>
      <w:r>
        <w:rPr>
          <w:rFonts w:ascii="Times New Roman" w:hAnsi="Times New Roman"/>
          <w:i/>
          <w:sz w:val="24"/>
        </w:rPr>
        <w:t>[insert description of contract]</w:t>
      </w:r>
      <w:r>
        <w:rPr>
          <w:rFonts w:ascii="Times New Roman" w:hAnsi="Times New Roman"/>
          <w:sz w:val="24"/>
        </w:rPr>
        <w:t xml:space="preserve"> under Invitation for Bids No.</w:t>
      </w:r>
      <w:r>
        <w:rPr>
          <w:rFonts w:ascii="Times New Roman" w:hAnsi="Times New Roman" w:eastAsia="Open Sans" w:cs="Times New Roman"/>
          <w:b/>
          <w:bCs/>
          <w:i w:val="0"/>
          <w:iCs w:val="0"/>
          <w:caps w:val="0"/>
          <w:color w:val="auto"/>
          <w:spacing w:val="0"/>
          <w:sz w:val="28"/>
          <w:szCs w:val="28"/>
          <w:highlight w:val="none"/>
          <w:u w:val="none"/>
          <w:shd w:val="clear" w:fill="E8EBF0"/>
        </w:rPr>
        <w:t>KE-WAJWASCO-456993-CW-RFB</w:t>
      </w:r>
      <w:r>
        <w:rPr>
          <w:rFonts w:ascii="Times New Roman" w:hAnsi="Times New Roman"/>
          <w:sz w:val="24"/>
        </w:rPr>
        <w:t xml:space="preserve">  (“the IFB”). </w:t>
      </w:r>
    </w:p>
    <w:p w14:paraId="6808B2D6">
      <w:pPr>
        <w:pStyle w:val="50"/>
        <w:jc w:val="both"/>
        <w:rPr>
          <w:rFonts w:ascii="Times New Roman" w:hAnsi="Times New Roman"/>
          <w:sz w:val="24"/>
        </w:rPr>
      </w:pPr>
      <w:r>
        <w:rPr>
          <w:rFonts w:ascii="Times New Roman" w:hAnsi="Times New Roman"/>
          <w:sz w:val="24"/>
        </w:rPr>
        <w:t>Furthermore, we understand that, according to the Beneficiary’s conditions, bids must be supported by a bid guarantee.</w:t>
      </w:r>
    </w:p>
    <w:p w14:paraId="30C19FB3">
      <w:pPr>
        <w:pStyle w:val="50"/>
        <w:jc w:val="both"/>
        <w:rPr>
          <w:rFonts w:ascii="Times New Roman" w:hAnsi="Times New Roman"/>
          <w:sz w:val="24"/>
        </w:rPr>
      </w:pPr>
      <w:r>
        <w:rPr>
          <w:rFonts w:ascii="Times New Roman" w:hAnsi="Times New Roman"/>
          <w:sz w:val="24"/>
        </w:rPr>
        <w:t xml:space="preserve">At the request of the Applicant, we, as Guarantor, hereby irrevocably undertake to pay the Beneficiary any sum or sums not exceeding in total an amount of </w:t>
      </w:r>
      <w:r>
        <w:rPr>
          <w:rFonts w:ascii="Times New Roman" w:hAnsi="Times New Roman"/>
          <w:i/>
          <w:sz w:val="24"/>
        </w:rPr>
        <w:t xml:space="preserve">[insert amount in letters] </w:t>
      </w:r>
      <w:r>
        <w:rPr>
          <w:rFonts w:ascii="Times New Roman" w:hAnsi="Times New Roman"/>
          <w:sz w:val="24"/>
        </w:rPr>
        <w:t>(</w:t>
      </w:r>
      <w:r>
        <w:rPr>
          <w:rFonts w:ascii="Times New Roman" w:hAnsi="Times New Roman"/>
          <w:i/>
          <w:sz w:val="24"/>
        </w:rPr>
        <w:t>insert amount in numbers</w:t>
      </w:r>
      <w:r>
        <w:rPr>
          <w:rFonts w:ascii="Times New Roman" w:hAnsi="Times New Roman"/>
          <w:sz w:val="24"/>
        </w:rPr>
        <w:t>) upon receipt by us of the Beneficiary’s complying supported by the Beneficiary’s statement, whether in the demand itself or a separate signed document accompanying or identifying the demand, stating either that the Applicant:</w:t>
      </w:r>
    </w:p>
    <w:p w14:paraId="0F1860CF">
      <w:pPr>
        <w:pStyle w:val="50"/>
        <w:tabs>
          <w:tab w:val="left" w:pos="540"/>
        </w:tabs>
        <w:ind w:left="540" w:right="720" w:hanging="540"/>
        <w:jc w:val="both"/>
        <w:rPr>
          <w:rFonts w:ascii="Times New Roman" w:hAnsi="Times New Roman"/>
          <w:sz w:val="24"/>
        </w:rPr>
      </w:pPr>
      <w:r>
        <w:rPr>
          <w:rFonts w:ascii="Times New Roman" w:hAnsi="Times New Roman"/>
          <w:sz w:val="24"/>
        </w:rPr>
        <w:t xml:space="preserve">(a) </w:t>
      </w:r>
      <w:r>
        <w:rPr>
          <w:rFonts w:ascii="Times New Roman" w:hAnsi="Times New Roman"/>
          <w:sz w:val="24"/>
        </w:rPr>
        <w:tab/>
      </w:r>
      <w:r>
        <w:rPr>
          <w:rFonts w:ascii="Times New Roman" w:hAnsi="Times New Roman"/>
          <w:sz w:val="24"/>
        </w:rPr>
        <w:t>has withdrawn its bid prior to the Bid validity expiry date specified by the Applicant in the Letter of Bid, or any extended date provided by the Applicant; or</w:t>
      </w:r>
    </w:p>
    <w:p w14:paraId="3546A351">
      <w:pPr>
        <w:pStyle w:val="50"/>
        <w:tabs>
          <w:tab w:val="left" w:pos="540"/>
        </w:tabs>
        <w:spacing w:before="0" w:after="0"/>
        <w:ind w:left="540" w:hanging="540"/>
        <w:jc w:val="both"/>
        <w:rPr>
          <w:rFonts w:ascii="Times New Roman" w:hAnsi="Times New Roman"/>
          <w:sz w:val="24"/>
        </w:rPr>
      </w:pPr>
      <w:r>
        <w:rPr>
          <w:rFonts w:ascii="Times New Roman" w:hAnsi="Times New Roman"/>
          <w:sz w:val="24"/>
        </w:rPr>
        <w:t xml:space="preserve">(b) </w:t>
      </w:r>
      <w:r>
        <w:rPr>
          <w:rFonts w:ascii="Times New Roman" w:hAnsi="Times New Roman"/>
          <w:sz w:val="24"/>
        </w:rPr>
        <w:tab/>
      </w:r>
      <w:r>
        <w:rPr>
          <w:rFonts w:ascii="Times New Roman" w:hAnsi="Times New Roman"/>
          <w:sz w:val="24"/>
        </w:rPr>
        <w:t>having been notified of the acceptance of its Bid by the Beneficiary prior to the expiry date of the Bid validity or any extension thereto provided by the Applicant, (i) fails to execute the Contract Agreement or (ii) fails to furnish the performance security, and, if required, the Environmental and Social (ES) Performance Security, in accordance with the Instructions to Bidders (“ITB”) of the Beneficiary’s bidding document.</w:t>
      </w:r>
    </w:p>
    <w:p w14:paraId="71F42427">
      <w:pPr>
        <w:pStyle w:val="50"/>
        <w:spacing w:before="0" w:after="0"/>
        <w:jc w:val="both"/>
        <w:rPr>
          <w:rFonts w:ascii="Times New Roman" w:hAnsi="Times New Roman"/>
          <w:sz w:val="24"/>
        </w:rPr>
      </w:pPr>
      <w:r>
        <w:rPr>
          <w:rFonts w:ascii="Times New Roman" w:hAnsi="Times New Roman"/>
          <w:sz w:val="24"/>
        </w:rPr>
        <w:t xml:space="preserve">This guarantee will expire: (a) if the Applicant is the successful Bidder, upon our receipt of copies of the contract agreement signed by the Applicant and the performance security </w:t>
      </w:r>
      <w:r>
        <w:rPr>
          <w:rFonts w:ascii="Times New Roman" w:hAnsi="Times New Roman" w:eastAsia="Times New Roman"/>
          <w:sz w:val="24"/>
        </w:rPr>
        <w:t xml:space="preserve">and, if required, the Environmental and Social (ES) Performance Security, </w:t>
      </w:r>
      <w:r>
        <w:rPr>
          <w:rFonts w:ascii="Times New Roman" w:hAnsi="Times New Roman"/>
          <w:sz w:val="24"/>
        </w:rPr>
        <w:t xml:space="preserve">issued to the Beneficiary upon the instruction of the Applicant; and (b) if the Applicant is not the successful Bidder, upon the earlier of (i) our receipt of a copy of the Beneficiary’s notification to the Applicant of the results of the bidding process; or (ii) twenty-eight days after the expiry date of the Bid validity. </w:t>
      </w:r>
    </w:p>
    <w:p w14:paraId="3E1BE22E">
      <w:pPr>
        <w:pStyle w:val="50"/>
        <w:spacing w:before="0" w:after="0"/>
        <w:jc w:val="both"/>
        <w:rPr>
          <w:rFonts w:ascii="Times New Roman" w:hAnsi="Times New Roman"/>
          <w:sz w:val="24"/>
        </w:rPr>
      </w:pPr>
      <w:r>
        <w:rPr>
          <w:rFonts w:ascii="Times New Roman" w:hAnsi="Times New Roman"/>
          <w:sz w:val="24"/>
        </w:rPr>
        <w:t>Consequently, any demand for payment under this guarantee must be received by us at the office indicated above on or before that date.</w:t>
      </w:r>
    </w:p>
    <w:p w14:paraId="4EC0DBD9">
      <w:pPr>
        <w:pStyle w:val="50"/>
        <w:spacing w:before="0" w:after="0"/>
        <w:rPr>
          <w:rFonts w:ascii="Times New Roman" w:hAnsi="Times New Roman"/>
          <w:sz w:val="24"/>
        </w:rPr>
      </w:pPr>
      <w:r>
        <w:rPr>
          <w:rFonts w:ascii="Times New Roman" w:hAnsi="Times New Roman"/>
          <w:sz w:val="24"/>
        </w:rPr>
        <w:t>This guarantee is subject to the Uniform Rules for Demand Guarantees (URDG) 2010 Revision, ICC Publication No. 758.</w:t>
      </w:r>
    </w:p>
    <w:p w14:paraId="57BEE534">
      <w:pPr>
        <w:pStyle w:val="50"/>
        <w:spacing w:before="0" w:after="0"/>
        <w:jc w:val="center"/>
        <w:rPr>
          <w:rFonts w:ascii="Times New Roman" w:hAnsi="Times New Roman"/>
        </w:rPr>
      </w:pPr>
    </w:p>
    <w:p w14:paraId="516BDFC5">
      <w:pPr>
        <w:pStyle w:val="50"/>
        <w:spacing w:before="0" w:after="0"/>
        <w:rPr>
          <w:rFonts w:ascii="Times New Roman" w:hAnsi="Times New Roman"/>
        </w:rPr>
      </w:pPr>
    </w:p>
    <w:p w14:paraId="32746747">
      <w:pPr>
        <w:pStyle w:val="50"/>
        <w:spacing w:before="0" w:after="0"/>
        <w:rPr>
          <w:rFonts w:ascii="Times New Roman" w:hAnsi="Times New Roman"/>
          <w:b/>
        </w:rPr>
      </w:pPr>
      <w:r>
        <w:rPr>
          <w:rFonts w:ascii="Times New Roman" w:hAnsi="Times New Roman"/>
          <w:b/>
        </w:rPr>
        <w:t>_____________________________</w:t>
      </w:r>
    </w:p>
    <w:p w14:paraId="36AAD90C">
      <w:pPr>
        <w:pStyle w:val="50"/>
        <w:spacing w:before="0" w:after="0"/>
        <w:rPr>
          <w:rFonts w:ascii="Times New Roman" w:hAnsi="Times New Roman"/>
          <w:i/>
        </w:rPr>
      </w:pPr>
      <w:r>
        <w:rPr>
          <w:rFonts w:ascii="Times New Roman" w:hAnsi="Times New Roman"/>
          <w:i/>
        </w:rPr>
        <w:t>[signature(s)]</w:t>
      </w:r>
    </w:p>
    <w:p w14:paraId="53557B6C">
      <w:pPr>
        <w:pStyle w:val="50"/>
        <w:spacing w:before="0" w:after="0"/>
        <w:rPr>
          <w:rFonts w:ascii="Times New Roman" w:hAnsi="Times New Roman"/>
          <w:i/>
        </w:rPr>
      </w:pPr>
    </w:p>
    <w:p w14:paraId="14C72C97">
      <w:pPr>
        <w:pStyle w:val="152"/>
        <w:rPr>
          <w:rStyle w:val="82"/>
          <w:spacing w:val="-2"/>
        </w:rPr>
      </w:pPr>
    </w:p>
    <w:p w14:paraId="10CAFFA1">
      <w:pPr>
        <w:pStyle w:val="152"/>
      </w:pPr>
      <w:r>
        <w:rPr>
          <w:rStyle w:val="82"/>
          <w:spacing w:val="-2"/>
        </w:rPr>
        <w:br w:type="page"/>
      </w:r>
      <w:bookmarkStart w:id="407" w:name="_Toc139856169"/>
      <w:bookmarkStart w:id="408" w:name="_Toc125871321"/>
      <w:r>
        <w:rPr>
          <w:iCs/>
        </w:rPr>
        <w:t xml:space="preserve"> </w:t>
      </w:r>
      <w:bookmarkEnd w:id="407"/>
      <w:bookmarkEnd w:id="408"/>
      <w:r>
        <w:t xml:space="preserve"> </w:t>
      </w:r>
      <w:bookmarkStart w:id="409" w:name="_Toc178519590"/>
      <w:r>
        <w:t>Technical Proposal</w:t>
      </w:r>
      <w:bookmarkEnd w:id="409"/>
    </w:p>
    <w:p w14:paraId="56BD7B89">
      <w:pPr>
        <w:pStyle w:val="156"/>
      </w:pPr>
      <w:bookmarkStart w:id="410" w:name="_Toc138144062"/>
      <w:bookmarkStart w:id="411" w:name="_Toc178519591"/>
      <w:r>
        <w:t>Technical Proposal Forms</w:t>
      </w:r>
      <w:bookmarkEnd w:id="410"/>
      <w:bookmarkEnd w:id="411"/>
    </w:p>
    <w:p w14:paraId="3E390B84">
      <w:pPr>
        <w:pStyle w:val="80"/>
        <w:ind w:left="187"/>
        <w:jc w:val="left"/>
        <w:rPr>
          <w:sz w:val="20"/>
          <w:lang w:val="en-US"/>
        </w:rPr>
      </w:pPr>
    </w:p>
    <w:p w14:paraId="2D7B8B24">
      <w:pPr>
        <w:numPr>
          <w:ilvl w:val="0"/>
          <w:numId w:val="47"/>
        </w:numPr>
        <w:tabs>
          <w:tab w:val="left" w:pos="5238"/>
          <w:tab w:val="left" w:pos="5474"/>
          <w:tab w:val="left" w:pos="9468"/>
        </w:tabs>
        <w:rPr>
          <w:b/>
          <w:bCs/>
          <w:i/>
          <w:iCs/>
          <w:color w:val="000000"/>
          <w:sz w:val="28"/>
        </w:rPr>
      </w:pPr>
      <w:r>
        <w:rPr>
          <w:b/>
          <w:bCs/>
          <w:iCs/>
          <w:color w:val="000000"/>
          <w:sz w:val="28"/>
        </w:rPr>
        <w:t xml:space="preserve">Key Personnel Schedule </w:t>
      </w:r>
    </w:p>
    <w:p w14:paraId="7795A2CA">
      <w:pPr>
        <w:numPr>
          <w:ilvl w:val="0"/>
          <w:numId w:val="47"/>
        </w:numPr>
        <w:tabs>
          <w:tab w:val="left" w:pos="5238"/>
          <w:tab w:val="left" w:pos="5474"/>
          <w:tab w:val="left" w:pos="9468"/>
        </w:tabs>
        <w:rPr>
          <w:b/>
          <w:bCs/>
          <w:i/>
          <w:iCs/>
          <w:color w:val="000000"/>
          <w:sz w:val="28"/>
        </w:rPr>
      </w:pPr>
    </w:p>
    <w:p w14:paraId="429320DC">
      <w:pPr>
        <w:numPr>
          <w:ilvl w:val="0"/>
          <w:numId w:val="47"/>
        </w:numPr>
        <w:tabs>
          <w:tab w:val="left" w:pos="5238"/>
          <w:tab w:val="left" w:pos="5474"/>
          <w:tab w:val="left" w:pos="9468"/>
        </w:tabs>
        <w:rPr>
          <w:b/>
          <w:bCs/>
          <w:color w:val="000000"/>
          <w:sz w:val="28"/>
        </w:rPr>
      </w:pPr>
      <w:r>
        <w:rPr>
          <w:b/>
          <w:bCs/>
          <w:color w:val="000000"/>
          <w:sz w:val="28"/>
        </w:rPr>
        <w:t>Equipment</w:t>
      </w:r>
    </w:p>
    <w:p w14:paraId="21606CF8">
      <w:pPr>
        <w:numPr>
          <w:ilvl w:val="0"/>
          <w:numId w:val="47"/>
        </w:numPr>
        <w:tabs>
          <w:tab w:val="left" w:pos="5238"/>
          <w:tab w:val="left" w:pos="5474"/>
          <w:tab w:val="left" w:pos="9468"/>
        </w:tabs>
        <w:rPr>
          <w:b/>
          <w:bCs/>
          <w:i/>
          <w:iCs/>
          <w:color w:val="000000"/>
          <w:sz w:val="28"/>
        </w:rPr>
      </w:pPr>
    </w:p>
    <w:p w14:paraId="0B411FCB">
      <w:pPr>
        <w:numPr>
          <w:ilvl w:val="0"/>
          <w:numId w:val="47"/>
        </w:numPr>
        <w:tabs>
          <w:tab w:val="left" w:pos="5238"/>
          <w:tab w:val="left" w:pos="5474"/>
          <w:tab w:val="left" w:pos="9468"/>
        </w:tabs>
        <w:rPr>
          <w:b/>
          <w:bCs/>
          <w:color w:val="000000"/>
          <w:sz w:val="28"/>
        </w:rPr>
      </w:pPr>
      <w:r>
        <w:rPr>
          <w:b/>
          <w:bCs/>
          <w:color w:val="000000"/>
          <w:sz w:val="28"/>
        </w:rPr>
        <w:t>Site Organization</w:t>
      </w:r>
    </w:p>
    <w:p w14:paraId="5C6D5CFA">
      <w:pPr>
        <w:tabs>
          <w:tab w:val="left" w:pos="5238"/>
          <w:tab w:val="left" w:pos="5474"/>
          <w:tab w:val="left" w:pos="9468"/>
        </w:tabs>
        <w:ind w:left="-90"/>
        <w:rPr>
          <w:b/>
          <w:bCs/>
          <w:color w:val="000000"/>
          <w:sz w:val="28"/>
        </w:rPr>
      </w:pPr>
    </w:p>
    <w:p w14:paraId="6A94BF6E">
      <w:pPr>
        <w:numPr>
          <w:ilvl w:val="0"/>
          <w:numId w:val="47"/>
        </w:numPr>
        <w:tabs>
          <w:tab w:val="left" w:pos="5238"/>
          <w:tab w:val="left" w:pos="5474"/>
          <w:tab w:val="left" w:pos="9468"/>
        </w:tabs>
        <w:rPr>
          <w:b/>
          <w:bCs/>
          <w:color w:val="000000"/>
          <w:sz w:val="28"/>
        </w:rPr>
      </w:pPr>
      <w:r>
        <w:rPr>
          <w:b/>
          <w:bCs/>
          <w:color w:val="000000"/>
          <w:sz w:val="28"/>
        </w:rPr>
        <w:t>Method Statement</w:t>
      </w:r>
    </w:p>
    <w:p w14:paraId="6780CC47">
      <w:pPr>
        <w:tabs>
          <w:tab w:val="left" w:pos="5238"/>
          <w:tab w:val="left" w:pos="5474"/>
          <w:tab w:val="left" w:pos="9468"/>
        </w:tabs>
        <w:rPr>
          <w:b/>
          <w:bCs/>
          <w:color w:val="000000"/>
          <w:sz w:val="28"/>
        </w:rPr>
      </w:pPr>
    </w:p>
    <w:p w14:paraId="5329C085">
      <w:pPr>
        <w:numPr>
          <w:ilvl w:val="0"/>
          <w:numId w:val="47"/>
        </w:numPr>
        <w:tabs>
          <w:tab w:val="left" w:pos="5238"/>
          <w:tab w:val="left" w:pos="5474"/>
          <w:tab w:val="left" w:pos="9468"/>
        </w:tabs>
        <w:rPr>
          <w:b/>
          <w:bCs/>
          <w:color w:val="000000"/>
          <w:sz w:val="28"/>
        </w:rPr>
      </w:pPr>
      <w:r>
        <w:rPr>
          <w:b/>
          <w:bCs/>
          <w:color w:val="000000"/>
          <w:sz w:val="28"/>
        </w:rPr>
        <w:t>Mobilization Schedule</w:t>
      </w:r>
    </w:p>
    <w:p w14:paraId="03CB8A68">
      <w:pPr>
        <w:tabs>
          <w:tab w:val="left" w:pos="5238"/>
          <w:tab w:val="left" w:pos="5474"/>
          <w:tab w:val="left" w:pos="9468"/>
        </w:tabs>
        <w:ind w:left="-90"/>
        <w:rPr>
          <w:b/>
          <w:bCs/>
          <w:color w:val="000000"/>
          <w:sz w:val="28"/>
        </w:rPr>
      </w:pPr>
    </w:p>
    <w:p w14:paraId="32897453">
      <w:pPr>
        <w:numPr>
          <w:ilvl w:val="0"/>
          <w:numId w:val="47"/>
        </w:numPr>
        <w:tabs>
          <w:tab w:val="left" w:pos="5238"/>
          <w:tab w:val="left" w:pos="5474"/>
          <w:tab w:val="left" w:pos="9468"/>
        </w:tabs>
        <w:rPr>
          <w:b/>
          <w:bCs/>
          <w:color w:val="000000"/>
          <w:sz w:val="28"/>
        </w:rPr>
      </w:pPr>
      <w:r>
        <w:rPr>
          <w:b/>
          <w:bCs/>
          <w:color w:val="000000"/>
          <w:sz w:val="28"/>
        </w:rPr>
        <w:t>Construction Schedule</w:t>
      </w:r>
    </w:p>
    <w:p w14:paraId="5E406500">
      <w:pPr>
        <w:pStyle w:val="176"/>
        <w:rPr>
          <w:b/>
          <w:bCs/>
          <w:color w:val="000000"/>
          <w:sz w:val="28"/>
        </w:rPr>
      </w:pPr>
    </w:p>
    <w:p w14:paraId="676F8A76">
      <w:pPr>
        <w:numPr>
          <w:ilvl w:val="0"/>
          <w:numId w:val="47"/>
        </w:numPr>
        <w:tabs>
          <w:tab w:val="left" w:pos="5238"/>
          <w:tab w:val="left" w:pos="5474"/>
          <w:tab w:val="left" w:pos="9468"/>
        </w:tabs>
        <w:rPr>
          <w:b/>
          <w:bCs/>
          <w:color w:val="000000"/>
          <w:sz w:val="28"/>
        </w:rPr>
      </w:pPr>
      <w:r>
        <w:rPr>
          <w:b/>
          <w:bCs/>
          <w:color w:val="000000"/>
          <w:sz w:val="28"/>
        </w:rPr>
        <w:t>ES Management Strategies and Implementation Plans</w:t>
      </w:r>
    </w:p>
    <w:p w14:paraId="3D1FCC6D">
      <w:pPr>
        <w:pStyle w:val="176"/>
        <w:rPr>
          <w:b/>
          <w:bCs/>
          <w:color w:val="000000"/>
          <w:sz w:val="28"/>
        </w:rPr>
      </w:pPr>
    </w:p>
    <w:p w14:paraId="07F2393C">
      <w:pPr>
        <w:numPr>
          <w:ilvl w:val="0"/>
          <w:numId w:val="47"/>
        </w:numPr>
        <w:tabs>
          <w:tab w:val="left" w:pos="5238"/>
          <w:tab w:val="left" w:pos="5474"/>
          <w:tab w:val="left" w:pos="9468"/>
        </w:tabs>
        <w:rPr>
          <w:b/>
          <w:bCs/>
          <w:color w:val="000000"/>
          <w:sz w:val="28"/>
        </w:rPr>
      </w:pPr>
      <w:r>
        <w:rPr>
          <w:b/>
          <w:bCs/>
          <w:color w:val="000000"/>
          <w:sz w:val="28"/>
        </w:rPr>
        <w:t>Code of Conduct (ES)</w:t>
      </w:r>
    </w:p>
    <w:p w14:paraId="728A58C8">
      <w:pPr>
        <w:tabs>
          <w:tab w:val="left" w:pos="5238"/>
          <w:tab w:val="left" w:pos="5474"/>
          <w:tab w:val="left" w:pos="9468"/>
        </w:tabs>
        <w:rPr>
          <w:b/>
          <w:bCs/>
          <w:color w:val="000000"/>
          <w:sz w:val="28"/>
        </w:rPr>
      </w:pPr>
    </w:p>
    <w:p w14:paraId="407CF461">
      <w:pPr>
        <w:numPr>
          <w:ilvl w:val="0"/>
          <w:numId w:val="47"/>
        </w:numPr>
        <w:tabs>
          <w:tab w:val="left" w:pos="5238"/>
          <w:tab w:val="left" w:pos="5474"/>
          <w:tab w:val="left" w:pos="9468"/>
        </w:tabs>
        <w:rPr>
          <w:b/>
          <w:bCs/>
          <w:i/>
          <w:iCs/>
          <w:color w:val="000000"/>
          <w:sz w:val="28"/>
        </w:rPr>
      </w:pPr>
      <w:r>
        <w:rPr>
          <w:b/>
          <w:bCs/>
          <w:color w:val="000000"/>
          <w:sz w:val="28"/>
        </w:rPr>
        <w:t>Others</w:t>
      </w:r>
    </w:p>
    <w:p w14:paraId="14B813AB">
      <w:pPr>
        <w:pStyle w:val="80"/>
        <w:ind w:left="187"/>
        <w:jc w:val="left"/>
        <w:rPr>
          <w:rFonts w:ascii="Times New Roman" w:hAnsi="Times New Roman"/>
          <w:sz w:val="20"/>
          <w:lang w:val="en-US"/>
        </w:rPr>
      </w:pPr>
    </w:p>
    <w:p w14:paraId="74D74635">
      <w:pPr>
        <w:pStyle w:val="156"/>
        <w:rPr>
          <w:sz w:val="20"/>
        </w:rPr>
      </w:pPr>
      <w:r>
        <w:br w:type="page"/>
      </w:r>
    </w:p>
    <w:p w14:paraId="01AD5D36">
      <w:pPr>
        <w:pStyle w:val="156"/>
      </w:pPr>
      <w:bookmarkStart w:id="412" w:name="_Toc178519592"/>
      <w:r>
        <w:t>Form PER -1</w:t>
      </w:r>
      <w:bookmarkEnd w:id="412"/>
    </w:p>
    <w:p w14:paraId="72DDA121">
      <w:pPr>
        <w:pStyle w:val="19"/>
        <w:tabs>
          <w:tab w:val="clear" w:pos="720"/>
        </w:tabs>
        <w:ind w:left="0" w:firstLine="0"/>
        <w:jc w:val="both"/>
        <w:rPr>
          <w:rFonts w:eastAsia="SimSun"/>
          <w:b/>
          <w:smallCaps/>
          <w:sz w:val="36"/>
        </w:rPr>
      </w:pPr>
    </w:p>
    <w:p w14:paraId="3B7B57E4">
      <w:pPr>
        <w:jc w:val="center"/>
        <w:rPr>
          <w:b/>
          <w:sz w:val="36"/>
          <w:szCs w:val="20"/>
        </w:rPr>
      </w:pPr>
      <w:r>
        <w:rPr>
          <w:b/>
          <w:sz w:val="36"/>
          <w:szCs w:val="20"/>
        </w:rPr>
        <w:t xml:space="preserve">Key Personnel </w:t>
      </w:r>
    </w:p>
    <w:p w14:paraId="05E79BC6">
      <w:pPr>
        <w:jc w:val="center"/>
        <w:rPr>
          <w:b/>
          <w:sz w:val="36"/>
          <w:szCs w:val="20"/>
        </w:rPr>
      </w:pPr>
      <w:r>
        <w:rPr>
          <w:b/>
          <w:sz w:val="36"/>
          <w:szCs w:val="20"/>
        </w:rPr>
        <w:t xml:space="preserve">Schedule </w:t>
      </w:r>
    </w:p>
    <w:p w14:paraId="214FBB85">
      <w:pPr>
        <w:tabs>
          <w:tab w:val="left" w:pos="5238"/>
          <w:tab w:val="left" w:pos="5474"/>
          <w:tab w:val="left" w:pos="9468"/>
          <w:tab w:val="right" w:leader="underscore" w:pos="9504"/>
        </w:tabs>
        <w:jc w:val="center"/>
        <w:rPr>
          <w:szCs w:val="20"/>
        </w:rPr>
      </w:pPr>
    </w:p>
    <w:p w14:paraId="0AD9A6D3">
      <w:pPr>
        <w:suppressAutoHyphens/>
        <w:rPr>
          <w:spacing w:val="-2"/>
          <w:sz w:val="20"/>
          <w:szCs w:val="20"/>
        </w:rPr>
      </w:pPr>
    </w:p>
    <w:p w14:paraId="5AE1A765">
      <w:pPr>
        <w:suppressAutoHyphens/>
        <w:rPr>
          <w:spacing w:val="-2"/>
        </w:rPr>
      </w:pPr>
      <w:r>
        <w:rPr>
          <w:spacing w:val="-2"/>
        </w:rPr>
        <w:t xml:space="preserve">Bidders should provide the names and details of the suitably qualified Key Personnel to perform the Contract. The data on their experience should be supplied using the Form PER-2 below for each candidate. </w:t>
      </w:r>
    </w:p>
    <w:p w14:paraId="1DDFB71E">
      <w:pPr>
        <w:suppressAutoHyphens/>
        <w:spacing w:after="120"/>
        <w:ind w:left="86"/>
        <w:rPr>
          <w:b/>
          <w:spacing w:val="-2"/>
        </w:rPr>
      </w:pPr>
    </w:p>
    <w:p w14:paraId="2A80C32E">
      <w:pPr>
        <w:suppressAutoHyphens/>
        <w:spacing w:after="120"/>
        <w:ind w:left="86"/>
        <w:rPr>
          <w:i/>
          <w:spacing w:val="-2"/>
        </w:rPr>
      </w:pPr>
      <w:r>
        <w:rPr>
          <w:b/>
          <w:spacing w:val="-2"/>
        </w:rPr>
        <w:t xml:space="preserve">Key Personnel </w:t>
      </w:r>
    </w:p>
    <w:tbl>
      <w:tblPr>
        <w:tblStyle w:val="12"/>
        <w:tblW w:w="9090" w:type="dxa"/>
        <w:tblInd w:w="72"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72" w:type="dxa"/>
          <w:bottom w:w="0" w:type="dxa"/>
          <w:right w:w="72" w:type="dxa"/>
        </w:tblCellMar>
      </w:tblPr>
      <w:tblGrid>
        <w:gridCol w:w="720"/>
        <w:gridCol w:w="1900"/>
        <w:gridCol w:w="6470"/>
      </w:tblGrid>
      <w:tr w14:paraId="5802C97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28CC87EA">
            <w:pPr>
              <w:suppressAutoHyphens/>
              <w:spacing w:before="120" w:after="120"/>
              <w:rPr>
                <w:b/>
                <w:bCs/>
                <w:spacing w:val="-2"/>
                <w:sz w:val="20"/>
              </w:rPr>
            </w:pPr>
            <w:r>
              <w:rPr>
                <w:b/>
                <w:bCs/>
                <w:spacing w:val="-2"/>
                <w:sz w:val="20"/>
              </w:rPr>
              <w:t>1.</w:t>
            </w:r>
          </w:p>
        </w:tc>
        <w:tc>
          <w:tcPr>
            <w:tcW w:w="8370" w:type="dxa"/>
            <w:gridSpan w:val="2"/>
          </w:tcPr>
          <w:p w14:paraId="4986EB6E">
            <w:pPr>
              <w:suppressAutoHyphens/>
              <w:spacing w:before="120" w:after="120"/>
              <w:rPr>
                <w:b/>
                <w:bCs/>
                <w:spacing w:val="-2"/>
                <w:sz w:val="20"/>
              </w:rPr>
            </w:pPr>
            <w:r>
              <w:rPr>
                <w:b/>
                <w:bCs/>
                <w:spacing w:val="-2"/>
                <w:sz w:val="20"/>
              </w:rPr>
              <w:t xml:space="preserve">Title of position: </w:t>
            </w:r>
            <w:r>
              <w:rPr>
                <w:i/>
                <w:iCs/>
                <w:spacing w:val="-2"/>
                <w:sz w:val="20"/>
              </w:rPr>
              <w:t>Project Manager</w:t>
            </w:r>
          </w:p>
        </w:tc>
      </w:tr>
      <w:tr w14:paraId="5AB863A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7DF84A72">
            <w:pPr>
              <w:suppressAutoHyphens/>
              <w:spacing w:before="120" w:after="120"/>
              <w:rPr>
                <w:b/>
                <w:bCs/>
                <w:spacing w:val="-2"/>
                <w:sz w:val="20"/>
              </w:rPr>
            </w:pPr>
          </w:p>
        </w:tc>
        <w:tc>
          <w:tcPr>
            <w:tcW w:w="8370" w:type="dxa"/>
            <w:gridSpan w:val="2"/>
          </w:tcPr>
          <w:p w14:paraId="394D04A8">
            <w:pPr>
              <w:suppressAutoHyphens/>
              <w:spacing w:before="120" w:after="120"/>
              <w:rPr>
                <w:b/>
                <w:bCs/>
                <w:spacing w:val="-2"/>
                <w:sz w:val="20"/>
              </w:rPr>
            </w:pPr>
            <w:r>
              <w:rPr>
                <w:b/>
                <w:bCs/>
                <w:spacing w:val="-2"/>
                <w:sz w:val="20"/>
              </w:rPr>
              <w:t xml:space="preserve">Name of candidate: </w:t>
            </w:r>
          </w:p>
        </w:tc>
      </w:tr>
      <w:tr w14:paraId="16FE6B3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6ED376C6">
            <w:pPr>
              <w:suppressAutoHyphens/>
              <w:spacing w:before="120" w:after="120"/>
              <w:rPr>
                <w:b/>
                <w:bCs/>
                <w:spacing w:val="-2"/>
                <w:sz w:val="20"/>
              </w:rPr>
            </w:pPr>
          </w:p>
        </w:tc>
        <w:tc>
          <w:tcPr>
            <w:tcW w:w="1900" w:type="dxa"/>
          </w:tcPr>
          <w:p w14:paraId="41806EDC">
            <w:pPr>
              <w:rPr>
                <w:b/>
                <w:sz w:val="20"/>
                <w:szCs w:val="20"/>
              </w:rPr>
            </w:pPr>
            <w:r>
              <w:rPr>
                <w:b/>
                <w:sz w:val="20"/>
                <w:szCs w:val="20"/>
              </w:rPr>
              <w:t>Duration of appointment:</w:t>
            </w:r>
          </w:p>
        </w:tc>
        <w:tc>
          <w:tcPr>
            <w:tcW w:w="6470" w:type="dxa"/>
          </w:tcPr>
          <w:p w14:paraId="7729BB2B">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2AC3D0B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3964DE80">
            <w:pPr>
              <w:suppressAutoHyphens/>
              <w:spacing w:before="120" w:after="120"/>
              <w:rPr>
                <w:b/>
                <w:bCs/>
                <w:spacing w:val="-2"/>
                <w:sz w:val="20"/>
              </w:rPr>
            </w:pPr>
          </w:p>
        </w:tc>
        <w:tc>
          <w:tcPr>
            <w:tcW w:w="1900" w:type="dxa"/>
          </w:tcPr>
          <w:p w14:paraId="6DB89815">
            <w:pPr>
              <w:rPr>
                <w:b/>
                <w:sz w:val="20"/>
                <w:szCs w:val="20"/>
              </w:rPr>
            </w:pPr>
            <w:r>
              <w:rPr>
                <w:b/>
                <w:sz w:val="20"/>
                <w:szCs w:val="20"/>
              </w:rPr>
              <w:t>Time commitment: for this position:</w:t>
            </w:r>
          </w:p>
        </w:tc>
        <w:tc>
          <w:tcPr>
            <w:tcW w:w="6470" w:type="dxa"/>
          </w:tcPr>
          <w:p w14:paraId="5DAF57B0">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1343A83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352B6EF3">
            <w:pPr>
              <w:suppressAutoHyphens/>
              <w:spacing w:before="120" w:after="120"/>
              <w:rPr>
                <w:b/>
                <w:bCs/>
                <w:spacing w:val="-2"/>
                <w:sz w:val="20"/>
              </w:rPr>
            </w:pPr>
          </w:p>
        </w:tc>
        <w:tc>
          <w:tcPr>
            <w:tcW w:w="1900" w:type="dxa"/>
          </w:tcPr>
          <w:p w14:paraId="5E4C3206">
            <w:pPr>
              <w:rPr>
                <w:b/>
                <w:sz w:val="20"/>
                <w:szCs w:val="20"/>
              </w:rPr>
            </w:pPr>
            <w:r>
              <w:rPr>
                <w:b/>
                <w:sz w:val="20"/>
                <w:szCs w:val="20"/>
              </w:rPr>
              <w:t>Expected time schedule for this position:</w:t>
            </w:r>
          </w:p>
        </w:tc>
        <w:tc>
          <w:tcPr>
            <w:tcW w:w="6470" w:type="dxa"/>
          </w:tcPr>
          <w:p w14:paraId="2C27F08A">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37DB90E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2599F84A">
            <w:pPr>
              <w:suppressAutoHyphens/>
              <w:spacing w:before="120" w:after="120"/>
              <w:rPr>
                <w:b/>
                <w:bCs/>
                <w:spacing w:val="-2"/>
                <w:sz w:val="20"/>
              </w:rPr>
            </w:pPr>
            <w:r>
              <w:rPr>
                <w:b/>
                <w:bCs/>
                <w:spacing w:val="-2"/>
                <w:sz w:val="20"/>
              </w:rPr>
              <w:t>2.</w:t>
            </w:r>
          </w:p>
        </w:tc>
        <w:tc>
          <w:tcPr>
            <w:tcW w:w="8370" w:type="dxa"/>
            <w:gridSpan w:val="2"/>
          </w:tcPr>
          <w:p w14:paraId="1ED6F757">
            <w:pPr>
              <w:suppressAutoHyphens/>
              <w:spacing w:before="120" w:after="120"/>
              <w:rPr>
                <w:b/>
                <w:bCs/>
                <w:spacing w:val="-2"/>
                <w:sz w:val="20"/>
              </w:rPr>
            </w:pPr>
            <w:r>
              <w:rPr>
                <w:b/>
                <w:bCs/>
                <w:spacing w:val="-2"/>
                <w:sz w:val="20"/>
              </w:rPr>
              <w:t xml:space="preserve">Title of position: </w:t>
            </w:r>
            <w:r>
              <w:rPr>
                <w:bCs/>
                <w:i/>
                <w:spacing w:val="-2"/>
                <w:sz w:val="20"/>
              </w:rPr>
              <w:t>Site Agent</w:t>
            </w:r>
          </w:p>
        </w:tc>
      </w:tr>
      <w:tr w14:paraId="1C41AF2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7D52047E">
            <w:pPr>
              <w:suppressAutoHyphens/>
              <w:spacing w:before="120" w:after="120"/>
              <w:rPr>
                <w:b/>
                <w:bCs/>
                <w:spacing w:val="-2"/>
                <w:sz w:val="20"/>
              </w:rPr>
            </w:pPr>
          </w:p>
        </w:tc>
        <w:tc>
          <w:tcPr>
            <w:tcW w:w="8370" w:type="dxa"/>
            <w:gridSpan w:val="2"/>
          </w:tcPr>
          <w:p w14:paraId="4E83402C">
            <w:pPr>
              <w:suppressAutoHyphens/>
              <w:spacing w:before="120" w:after="120"/>
              <w:rPr>
                <w:b/>
                <w:bCs/>
                <w:spacing w:val="-2"/>
                <w:sz w:val="20"/>
              </w:rPr>
            </w:pPr>
            <w:r>
              <w:rPr>
                <w:b/>
                <w:bCs/>
                <w:spacing w:val="-2"/>
                <w:sz w:val="20"/>
              </w:rPr>
              <w:t>Name of candidate:</w:t>
            </w:r>
          </w:p>
        </w:tc>
      </w:tr>
      <w:tr w14:paraId="1DC417A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1EE841FB">
            <w:pPr>
              <w:suppressAutoHyphens/>
              <w:spacing w:before="120" w:after="120"/>
              <w:rPr>
                <w:b/>
                <w:bCs/>
                <w:spacing w:val="-2"/>
                <w:sz w:val="20"/>
              </w:rPr>
            </w:pPr>
          </w:p>
        </w:tc>
        <w:tc>
          <w:tcPr>
            <w:tcW w:w="1900" w:type="dxa"/>
          </w:tcPr>
          <w:p w14:paraId="4F380E7A">
            <w:pPr>
              <w:rPr>
                <w:b/>
                <w:sz w:val="20"/>
                <w:szCs w:val="20"/>
              </w:rPr>
            </w:pPr>
            <w:r>
              <w:rPr>
                <w:b/>
                <w:sz w:val="20"/>
                <w:szCs w:val="20"/>
              </w:rPr>
              <w:t>Duration of appointment:</w:t>
            </w:r>
          </w:p>
        </w:tc>
        <w:tc>
          <w:tcPr>
            <w:tcW w:w="6470" w:type="dxa"/>
          </w:tcPr>
          <w:p w14:paraId="3490456C">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13B0516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6CD20B7">
            <w:pPr>
              <w:suppressAutoHyphens/>
              <w:spacing w:before="120" w:after="120"/>
              <w:rPr>
                <w:b/>
                <w:bCs/>
                <w:spacing w:val="-2"/>
                <w:sz w:val="20"/>
              </w:rPr>
            </w:pPr>
          </w:p>
        </w:tc>
        <w:tc>
          <w:tcPr>
            <w:tcW w:w="1900" w:type="dxa"/>
          </w:tcPr>
          <w:p w14:paraId="066CD04B">
            <w:pPr>
              <w:rPr>
                <w:b/>
                <w:sz w:val="20"/>
                <w:szCs w:val="20"/>
              </w:rPr>
            </w:pPr>
            <w:r>
              <w:rPr>
                <w:b/>
                <w:sz w:val="20"/>
                <w:szCs w:val="20"/>
              </w:rPr>
              <w:t>Time commitment: for this position:</w:t>
            </w:r>
          </w:p>
        </w:tc>
        <w:tc>
          <w:tcPr>
            <w:tcW w:w="6470" w:type="dxa"/>
          </w:tcPr>
          <w:p w14:paraId="177F8F7C">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6E6058B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6E2FAF96">
            <w:pPr>
              <w:suppressAutoHyphens/>
              <w:spacing w:before="120" w:after="120"/>
              <w:rPr>
                <w:b/>
                <w:bCs/>
                <w:spacing w:val="-2"/>
                <w:sz w:val="20"/>
              </w:rPr>
            </w:pPr>
          </w:p>
        </w:tc>
        <w:tc>
          <w:tcPr>
            <w:tcW w:w="1900" w:type="dxa"/>
          </w:tcPr>
          <w:p w14:paraId="366FFF29">
            <w:pPr>
              <w:rPr>
                <w:b/>
                <w:sz w:val="20"/>
                <w:szCs w:val="20"/>
              </w:rPr>
            </w:pPr>
            <w:r>
              <w:rPr>
                <w:b/>
                <w:sz w:val="20"/>
                <w:szCs w:val="20"/>
              </w:rPr>
              <w:t>Expected time schedule for this position:</w:t>
            </w:r>
          </w:p>
        </w:tc>
        <w:tc>
          <w:tcPr>
            <w:tcW w:w="6470" w:type="dxa"/>
          </w:tcPr>
          <w:p w14:paraId="019C9081">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39030A4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13832A3">
            <w:pPr>
              <w:suppressAutoHyphens/>
              <w:spacing w:before="120" w:after="120"/>
              <w:rPr>
                <w:b/>
                <w:bCs/>
                <w:spacing w:val="-2"/>
                <w:sz w:val="20"/>
              </w:rPr>
            </w:pPr>
            <w:r>
              <w:rPr>
                <w:b/>
                <w:bCs/>
                <w:spacing w:val="-2"/>
                <w:sz w:val="20"/>
              </w:rPr>
              <w:t>3.</w:t>
            </w:r>
          </w:p>
        </w:tc>
        <w:tc>
          <w:tcPr>
            <w:tcW w:w="8370" w:type="dxa"/>
            <w:gridSpan w:val="2"/>
          </w:tcPr>
          <w:p w14:paraId="63FB413F">
            <w:pPr>
              <w:suppressAutoHyphens/>
              <w:spacing w:before="120" w:after="120"/>
              <w:rPr>
                <w:b/>
                <w:bCs/>
                <w:spacing w:val="-2"/>
                <w:sz w:val="20"/>
              </w:rPr>
            </w:pPr>
            <w:r>
              <w:rPr>
                <w:b/>
                <w:bCs/>
                <w:spacing w:val="-2"/>
                <w:sz w:val="20"/>
              </w:rPr>
              <w:t xml:space="preserve">Title of position: </w:t>
            </w:r>
            <w:r>
              <w:rPr>
                <w:bCs/>
                <w:i/>
                <w:spacing w:val="-2"/>
                <w:sz w:val="20"/>
              </w:rPr>
              <w:t>Construction Engineer</w:t>
            </w:r>
          </w:p>
        </w:tc>
      </w:tr>
      <w:tr w14:paraId="4714C8F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44ADCC16">
            <w:pPr>
              <w:suppressAutoHyphens/>
              <w:spacing w:before="120" w:after="120"/>
              <w:rPr>
                <w:b/>
                <w:bCs/>
                <w:spacing w:val="-2"/>
                <w:sz w:val="20"/>
              </w:rPr>
            </w:pPr>
          </w:p>
        </w:tc>
        <w:tc>
          <w:tcPr>
            <w:tcW w:w="8370" w:type="dxa"/>
            <w:gridSpan w:val="2"/>
          </w:tcPr>
          <w:p w14:paraId="5A7B4BB8">
            <w:pPr>
              <w:suppressAutoHyphens/>
              <w:spacing w:before="120" w:after="120"/>
              <w:rPr>
                <w:b/>
                <w:bCs/>
                <w:spacing w:val="-2"/>
                <w:sz w:val="20"/>
              </w:rPr>
            </w:pPr>
            <w:r>
              <w:rPr>
                <w:b/>
                <w:bCs/>
                <w:spacing w:val="-2"/>
                <w:sz w:val="20"/>
              </w:rPr>
              <w:t>Name of candidate:</w:t>
            </w:r>
          </w:p>
        </w:tc>
      </w:tr>
      <w:tr w14:paraId="4E50D2D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36F17AF">
            <w:pPr>
              <w:suppressAutoHyphens/>
              <w:spacing w:before="120" w:after="120"/>
              <w:rPr>
                <w:b/>
                <w:bCs/>
                <w:spacing w:val="-2"/>
                <w:sz w:val="20"/>
              </w:rPr>
            </w:pPr>
          </w:p>
        </w:tc>
        <w:tc>
          <w:tcPr>
            <w:tcW w:w="1900" w:type="dxa"/>
          </w:tcPr>
          <w:p w14:paraId="57EC4786">
            <w:pPr>
              <w:rPr>
                <w:b/>
                <w:sz w:val="20"/>
                <w:szCs w:val="20"/>
              </w:rPr>
            </w:pPr>
            <w:r>
              <w:rPr>
                <w:b/>
                <w:sz w:val="20"/>
                <w:szCs w:val="20"/>
              </w:rPr>
              <w:t>Duration of appointment:</w:t>
            </w:r>
          </w:p>
        </w:tc>
        <w:tc>
          <w:tcPr>
            <w:tcW w:w="6470" w:type="dxa"/>
          </w:tcPr>
          <w:p w14:paraId="1E80CD4D">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29A0607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DB59A70">
            <w:pPr>
              <w:suppressAutoHyphens/>
              <w:spacing w:before="120" w:after="120"/>
              <w:rPr>
                <w:b/>
                <w:bCs/>
                <w:spacing w:val="-2"/>
                <w:sz w:val="20"/>
              </w:rPr>
            </w:pPr>
          </w:p>
        </w:tc>
        <w:tc>
          <w:tcPr>
            <w:tcW w:w="1900" w:type="dxa"/>
          </w:tcPr>
          <w:p w14:paraId="0AF278BB">
            <w:pPr>
              <w:rPr>
                <w:b/>
                <w:sz w:val="20"/>
                <w:szCs w:val="20"/>
              </w:rPr>
            </w:pPr>
            <w:r>
              <w:rPr>
                <w:b/>
                <w:sz w:val="20"/>
                <w:szCs w:val="20"/>
              </w:rPr>
              <w:t>Time commitment: for this position:</w:t>
            </w:r>
          </w:p>
        </w:tc>
        <w:tc>
          <w:tcPr>
            <w:tcW w:w="6470" w:type="dxa"/>
          </w:tcPr>
          <w:p w14:paraId="130E60B3">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3541C02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8A05F04">
            <w:pPr>
              <w:suppressAutoHyphens/>
              <w:spacing w:before="120" w:after="120"/>
              <w:rPr>
                <w:b/>
                <w:bCs/>
                <w:spacing w:val="-2"/>
                <w:sz w:val="20"/>
              </w:rPr>
            </w:pPr>
          </w:p>
        </w:tc>
        <w:tc>
          <w:tcPr>
            <w:tcW w:w="1900" w:type="dxa"/>
          </w:tcPr>
          <w:p w14:paraId="0B69C405">
            <w:pPr>
              <w:rPr>
                <w:b/>
                <w:sz w:val="20"/>
                <w:szCs w:val="20"/>
              </w:rPr>
            </w:pPr>
            <w:r>
              <w:rPr>
                <w:b/>
                <w:sz w:val="20"/>
                <w:szCs w:val="20"/>
              </w:rPr>
              <w:t>Expected time schedule for this position:</w:t>
            </w:r>
          </w:p>
        </w:tc>
        <w:tc>
          <w:tcPr>
            <w:tcW w:w="6470" w:type="dxa"/>
          </w:tcPr>
          <w:p w14:paraId="7391A3B1">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49D181F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36746B29">
            <w:pPr>
              <w:suppressAutoHyphens/>
              <w:spacing w:before="120" w:after="120"/>
              <w:rPr>
                <w:b/>
                <w:bCs/>
                <w:spacing w:val="-2"/>
                <w:sz w:val="20"/>
              </w:rPr>
            </w:pPr>
            <w:r>
              <w:rPr>
                <w:b/>
                <w:bCs/>
                <w:spacing w:val="-2"/>
                <w:sz w:val="20"/>
              </w:rPr>
              <w:t>4.</w:t>
            </w:r>
          </w:p>
        </w:tc>
        <w:tc>
          <w:tcPr>
            <w:tcW w:w="8370" w:type="dxa"/>
            <w:gridSpan w:val="2"/>
          </w:tcPr>
          <w:p w14:paraId="2B3FCE13">
            <w:pPr>
              <w:suppressAutoHyphens/>
              <w:spacing w:before="120" w:after="120"/>
              <w:rPr>
                <w:b/>
                <w:bCs/>
                <w:spacing w:val="-2"/>
                <w:sz w:val="20"/>
              </w:rPr>
            </w:pPr>
            <w:r>
              <w:rPr>
                <w:b/>
                <w:bCs/>
                <w:spacing w:val="-2"/>
                <w:sz w:val="20"/>
              </w:rPr>
              <w:t xml:space="preserve">Title of position: </w:t>
            </w:r>
            <w:r>
              <w:rPr>
                <w:bCs/>
                <w:i/>
                <w:spacing w:val="-2"/>
                <w:sz w:val="20"/>
              </w:rPr>
              <w:t>Engineering Surveyor</w:t>
            </w:r>
          </w:p>
        </w:tc>
      </w:tr>
      <w:tr w14:paraId="6DDF250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574FE57">
            <w:pPr>
              <w:suppressAutoHyphens/>
              <w:spacing w:before="120" w:after="120"/>
              <w:rPr>
                <w:b/>
                <w:bCs/>
                <w:spacing w:val="-2"/>
                <w:sz w:val="20"/>
              </w:rPr>
            </w:pPr>
          </w:p>
        </w:tc>
        <w:tc>
          <w:tcPr>
            <w:tcW w:w="8370" w:type="dxa"/>
            <w:gridSpan w:val="2"/>
          </w:tcPr>
          <w:p w14:paraId="744DF5E4">
            <w:pPr>
              <w:suppressAutoHyphens/>
              <w:spacing w:before="120" w:after="120"/>
              <w:rPr>
                <w:b/>
                <w:bCs/>
                <w:spacing w:val="-2"/>
                <w:sz w:val="20"/>
              </w:rPr>
            </w:pPr>
            <w:r>
              <w:rPr>
                <w:b/>
                <w:bCs/>
                <w:spacing w:val="-2"/>
                <w:sz w:val="20"/>
              </w:rPr>
              <w:t xml:space="preserve">Name of candidate:  </w:t>
            </w:r>
          </w:p>
        </w:tc>
      </w:tr>
      <w:tr w14:paraId="6FAF463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249DACC2">
            <w:pPr>
              <w:suppressAutoHyphens/>
              <w:spacing w:before="120" w:after="120"/>
              <w:rPr>
                <w:b/>
                <w:bCs/>
                <w:spacing w:val="-2"/>
                <w:sz w:val="20"/>
              </w:rPr>
            </w:pPr>
          </w:p>
        </w:tc>
        <w:tc>
          <w:tcPr>
            <w:tcW w:w="1900" w:type="dxa"/>
          </w:tcPr>
          <w:p w14:paraId="4FF94F24">
            <w:pPr>
              <w:rPr>
                <w:b/>
                <w:sz w:val="20"/>
                <w:szCs w:val="20"/>
              </w:rPr>
            </w:pPr>
            <w:r>
              <w:rPr>
                <w:b/>
                <w:sz w:val="20"/>
                <w:szCs w:val="20"/>
              </w:rPr>
              <w:t>Duration of appointment:</w:t>
            </w:r>
          </w:p>
        </w:tc>
        <w:tc>
          <w:tcPr>
            <w:tcW w:w="6470" w:type="dxa"/>
          </w:tcPr>
          <w:p w14:paraId="2A5DE88E">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52C8D44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3225490E">
            <w:pPr>
              <w:suppressAutoHyphens/>
              <w:spacing w:before="120" w:after="120"/>
              <w:rPr>
                <w:b/>
                <w:bCs/>
                <w:spacing w:val="-2"/>
                <w:sz w:val="20"/>
              </w:rPr>
            </w:pPr>
          </w:p>
        </w:tc>
        <w:tc>
          <w:tcPr>
            <w:tcW w:w="1900" w:type="dxa"/>
          </w:tcPr>
          <w:p w14:paraId="5B7063D8">
            <w:pPr>
              <w:rPr>
                <w:b/>
                <w:sz w:val="20"/>
                <w:szCs w:val="20"/>
              </w:rPr>
            </w:pPr>
            <w:r>
              <w:rPr>
                <w:b/>
                <w:sz w:val="20"/>
                <w:szCs w:val="20"/>
              </w:rPr>
              <w:t>Time commitment: for this position:</w:t>
            </w:r>
          </w:p>
        </w:tc>
        <w:tc>
          <w:tcPr>
            <w:tcW w:w="6470" w:type="dxa"/>
          </w:tcPr>
          <w:p w14:paraId="01B3336F">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0A1DE12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7D83C4E3">
            <w:pPr>
              <w:suppressAutoHyphens/>
              <w:spacing w:before="120" w:after="120"/>
              <w:rPr>
                <w:b/>
                <w:bCs/>
                <w:spacing w:val="-2"/>
                <w:sz w:val="20"/>
              </w:rPr>
            </w:pPr>
          </w:p>
        </w:tc>
        <w:tc>
          <w:tcPr>
            <w:tcW w:w="1900" w:type="dxa"/>
          </w:tcPr>
          <w:p w14:paraId="4325324C">
            <w:pPr>
              <w:rPr>
                <w:b/>
                <w:sz w:val="20"/>
                <w:szCs w:val="20"/>
              </w:rPr>
            </w:pPr>
            <w:r>
              <w:rPr>
                <w:b/>
                <w:sz w:val="20"/>
                <w:szCs w:val="20"/>
              </w:rPr>
              <w:t>Expected time schedule for this position:</w:t>
            </w:r>
          </w:p>
        </w:tc>
        <w:tc>
          <w:tcPr>
            <w:tcW w:w="6470" w:type="dxa"/>
          </w:tcPr>
          <w:p w14:paraId="050774F0">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604039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restart"/>
          </w:tcPr>
          <w:p w14:paraId="3754217D">
            <w:pPr>
              <w:suppressAutoHyphens/>
              <w:spacing w:before="120" w:after="120"/>
              <w:rPr>
                <w:b/>
                <w:bCs/>
                <w:spacing w:val="-2"/>
                <w:sz w:val="20"/>
              </w:rPr>
            </w:pPr>
            <w:r>
              <w:rPr>
                <w:b/>
                <w:bCs/>
                <w:spacing w:val="-2"/>
                <w:sz w:val="20"/>
              </w:rPr>
              <w:t>5.</w:t>
            </w:r>
          </w:p>
        </w:tc>
        <w:tc>
          <w:tcPr>
            <w:tcW w:w="8370" w:type="dxa"/>
            <w:gridSpan w:val="2"/>
          </w:tcPr>
          <w:p w14:paraId="4EF67701">
            <w:pPr>
              <w:suppressAutoHyphens/>
              <w:spacing w:before="80" w:after="80"/>
              <w:rPr>
                <w:b/>
                <w:bCs/>
                <w:spacing w:val="-2"/>
                <w:sz w:val="20"/>
              </w:rPr>
            </w:pPr>
            <w:r>
              <w:rPr>
                <w:b/>
                <w:bCs/>
                <w:spacing w:val="-2"/>
                <w:sz w:val="20"/>
              </w:rPr>
              <w:t xml:space="preserve">Title of position:  </w:t>
            </w:r>
            <w:r>
              <w:rPr>
                <w:bCs/>
                <w:i/>
                <w:spacing w:val="-2"/>
                <w:sz w:val="20"/>
              </w:rPr>
              <w:t>Foremen Civil works Nr. 1</w:t>
            </w:r>
            <w:r>
              <w:rPr>
                <w:b/>
                <w:bCs/>
                <w:spacing w:val="-2"/>
                <w:sz w:val="20"/>
              </w:rPr>
              <w:t xml:space="preserve"> </w:t>
            </w:r>
          </w:p>
        </w:tc>
      </w:tr>
      <w:tr w14:paraId="5C486F5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1AEFAE48">
            <w:pPr>
              <w:suppressAutoHyphens/>
              <w:spacing w:before="120" w:after="120"/>
              <w:rPr>
                <w:b/>
                <w:bCs/>
                <w:spacing w:val="-2"/>
                <w:sz w:val="20"/>
              </w:rPr>
            </w:pPr>
          </w:p>
        </w:tc>
        <w:tc>
          <w:tcPr>
            <w:tcW w:w="8370" w:type="dxa"/>
            <w:gridSpan w:val="2"/>
          </w:tcPr>
          <w:p w14:paraId="77FDBCFF">
            <w:pPr>
              <w:suppressAutoHyphens/>
              <w:spacing w:before="120" w:after="120"/>
              <w:rPr>
                <w:b/>
                <w:bCs/>
                <w:spacing w:val="-2"/>
                <w:sz w:val="20"/>
              </w:rPr>
            </w:pPr>
            <w:r>
              <w:rPr>
                <w:b/>
                <w:bCs/>
                <w:spacing w:val="-2"/>
                <w:sz w:val="20"/>
              </w:rPr>
              <w:t>Name of candidate:</w:t>
            </w:r>
          </w:p>
        </w:tc>
      </w:tr>
      <w:tr w14:paraId="5A7D357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61E4E57A">
            <w:pPr>
              <w:suppressAutoHyphens/>
              <w:spacing w:before="120" w:after="120"/>
              <w:rPr>
                <w:b/>
                <w:bCs/>
                <w:spacing w:val="-2"/>
                <w:sz w:val="20"/>
              </w:rPr>
            </w:pPr>
          </w:p>
        </w:tc>
        <w:tc>
          <w:tcPr>
            <w:tcW w:w="1900" w:type="dxa"/>
          </w:tcPr>
          <w:p w14:paraId="254456FC">
            <w:pPr>
              <w:rPr>
                <w:b/>
                <w:sz w:val="20"/>
                <w:szCs w:val="20"/>
              </w:rPr>
            </w:pPr>
            <w:r>
              <w:rPr>
                <w:b/>
                <w:sz w:val="20"/>
                <w:szCs w:val="20"/>
              </w:rPr>
              <w:t>Duration of appointment:</w:t>
            </w:r>
          </w:p>
        </w:tc>
        <w:tc>
          <w:tcPr>
            <w:tcW w:w="6470" w:type="dxa"/>
          </w:tcPr>
          <w:p w14:paraId="49C9B6F8">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387FBF2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1079DDBF">
            <w:pPr>
              <w:suppressAutoHyphens/>
              <w:spacing w:before="120" w:after="120"/>
              <w:rPr>
                <w:b/>
                <w:bCs/>
                <w:spacing w:val="-2"/>
                <w:sz w:val="20"/>
              </w:rPr>
            </w:pPr>
          </w:p>
        </w:tc>
        <w:tc>
          <w:tcPr>
            <w:tcW w:w="1900" w:type="dxa"/>
          </w:tcPr>
          <w:p w14:paraId="2E3C99FE">
            <w:pPr>
              <w:rPr>
                <w:b/>
                <w:sz w:val="20"/>
                <w:szCs w:val="20"/>
              </w:rPr>
            </w:pPr>
            <w:r>
              <w:rPr>
                <w:b/>
                <w:sz w:val="20"/>
                <w:szCs w:val="20"/>
              </w:rPr>
              <w:t>Time commitment: for this position:</w:t>
            </w:r>
          </w:p>
        </w:tc>
        <w:tc>
          <w:tcPr>
            <w:tcW w:w="6470" w:type="dxa"/>
          </w:tcPr>
          <w:p w14:paraId="65EC6230">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7F2C0CF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17D419DA">
            <w:pPr>
              <w:suppressAutoHyphens/>
              <w:spacing w:before="120" w:after="120"/>
              <w:rPr>
                <w:b/>
                <w:bCs/>
                <w:spacing w:val="-2"/>
                <w:sz w:val="20"/>
              </w:rPr>
            </w:pPr>
          </w:p>
        </w:tc>
        <w:tc>
          <w:tcPr>
            <w:tcW w:w="1900" w:type="dxa"/>
          </w:tcPr>
          <w:p w14:paraId="3EF070E6">
            <w:pPr>
              <w:rPr>
                <w:b/>
                <w:sz w:val="20"/>
                <w:szCs w:val="20"/>
              </w:rPr>
            </w:pPr>
            <w:r>
              <w:rPr>
                <w:b/>
                <w:sz w:val="20"/>
                <w:szCs w:val="20"/>
              </w:rPr>
              <w:t>Expected time schedule for this position:</w:t>
            </w:r>
          </w:p>
        </w:tc>
        <w:tc>
          <w:tcPr>
            <w:tcW w:w="6470" w:type="dxa"/>
          </w:tcPr>
          <w:p w14:paraId="292803F1">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0B0C8F9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57FA4675">
            <w:pPr>
              <w:suppressAutoHyphens/>
              <w:spacing w:before="120" w:after="120"/>
              <w:rPr>
                <w:b/>
                <w:bCs/>
                <w:spacing w:val="-2"/>
                <w:sz w:val="20"/>
              </w:rPr>
            </w:pPr>
            <w:r>
              <w:rPr>
                <w:b/>
                <w:bCs/>
                <w:spacing w:val="-2"/>
                <w:sz w:val="20"/>
              </w:rPr>
              <w:t>6.</w:t>
            </w:r>
          </w:p>
        </w:tc>
        <w:tc>
          <w:tcPr>
            <w:tcW w:w="8370" w:type="dxa"/>
            <w:gridSpan w:val="2"/>
          </w:tcPr>
          <w:p w14:paraId="376DD18B">
            <w:pPr>
              <w:suppressAutoHyphens/>
              <w:spacing w:before="80" w:after="80"/>
              <w:rPr>
                <w:b/>
                <w:bCs/>
                <w:spacing w:val="-2"/>
                <w:sz w:val="20"/>
              </w:rPr>
            </w:pPr>
            <w:r>
              <w:rPr>
                <w:b/>
                <w:bCs/>
                <w:spacing w:val="-2"/>
                <w:sz w:val="20"/>
              </w:rPr>
              <w:t xml:space="preserve">Title of position: </w:t>
            </w:r>
            <w:r>
              <w:rPr>
                <w:bCs/>
                <w:i/>
                <w:spacing w:val="-2"/>
                <w:sz w:val="20"/>
              </w:rPr>
              <w:t>Foremen Civil works Nr. 2</w:t>
            </w:r>
          </w:p>
        </w:tc>
      </w:tr>
      <w:tr w14:paraId="70DC447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7BECB837">
            <w:pPr>
              <w:suppressAutoHyphens/>
              <w:spacing w:before="120" w:after="120"/>
              <w:rPr>
                <w:b/>
                <w:bCs/>
                <w:spacing w:val="-2"/>
                <w:sz w:val="20"/>
              </w:rPr>
            </w:pPr>
          </w:p>
        </w:tc>
        <w:tc>
          <w:tcPr>
            <w:tcW w:w="8370" w:type="dxa"/>
            <w:gridSpan w:val="2"/>
          </w:tcPr>
          <w:p w14:paraId="43641090">
            <w:pPr>
              <w:suppressAutoHyphens/>
              <w:spacing w:before="120" w:after="120"/>
              <w:rPr>
                <w:b/>
                <w:bCs/>
                <w:spacing w:val="-2"/>
                <w:sz w:val="20"/>
              </w:rPr>
            </w:pPr>
            <w:r>
              <w:rPr>
                <w:b/>
                <w:bCs/>
                <w:spacing w:val="-2"/>
                <w:sz w:val="20"/>
              </w:rPr>
              <w:t>Name of candidate:</w:t>
            </w:r>
          </w:p>
        </w:tc>
      </w:tr>
      <w:tr w14:paraId="6AD83C5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4D3AA4FA">
            <w:pPr>
              <w:suppressAutoHyphens/>
              <w:spacing w:before="120" w:after="120"/>
              <w:rPr>
                <w:b/>
                <w:bCs/>
                <w:spacing w:val="-2"/>
                <w:sz w:val="20"/>
              </w:rPr>
            </w:pPr>
          </w:p>
        </w:tc>
        <w:tc>
          <w:tcPr>
            <w:tcW w:w="1900" w:type="dxa"/>
          </w:tcPr>
          <w:p w14:paraId="5DD7E376">
            <w:pPr>
              <w:rPr>
                <w:b/>
                <w:sz w:val="20"/>
                <w:szCs w:val="20"/>
              </w:rPr>
            </w:pPr>
            <w:r>
              <w:rPr>
                <w:b/>
                <w:sz w:val="20"/>
                <w:szCs w:val="20"/>
              </w:rPr>
              <w:t>Duration of appointment:</w:t>
            </w:r>
          </w:p>
        </w:tc>
        <w:tc>
          <w:tcPr>
            <w:tcW w:w="6470" w:type="dxa"/>
          </w:tcPr>
          <w:p w14:paraId="3E3DFB23">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0632AA6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048EB7A9">
            <w:pPr>
              <w:suppressAutoHyphens/>
              <w:spacing w:before="120" w:after="120"/>
              <w:rPr>
                <w:b/>
                <w:bCs/>
                <w:spacing w:val="-2"/>
                <w:sz w:val="20"/>
              </w:rPr>
            </w:pPr>
          </w:p>
        </w:tc>
        <w:tc>
          <w:tcPr>
            <w:tcW w:w="1900" w:type="dxa"/>
          </w:tcPr>
          <w:p w14:paraId="722885C4">
            <w:pPr>
              <w:rPr>
                <w:b/>
                <w:sz w:val="20"/>
                <w:szCs w:val="20"/>
              </w:rPr>
            </w:pPr>
            <w:r>
              <w:rPr>
                <w:b/>
                <w:sz w:val="20"/>
                <w:szCs w:val="20"/>
              </w:rPr>
              <w:t>Time commitment: for this position:</w:t>
            </w:r>
          </w:p>
        </w:tc>
        <w:tc>
          <w:tcPr>
            <w:tcW w:w="6470" w:type="dxa"/>
          </w:tcPr>
          <w:p w14:paraId="17A092F6">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75A09DC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60C1073D">
            <w:pPr>
              <w:suppressAutoHyphens/>
              <w:spacing w:before="120" w:after="120"/>
              <w:rPr>
                <w:b/>
                <w:bCs/>
                <w:spacing w:val="-2"/>
                <w:sz w:val="20"/>
              </w:rPr>
            </w:pPr>
          </w:p>
        </w:tc>
        <w:tc>
          <w:tcPr>
            <w:tcW w:w="1900" w:type="dxa"/>
          </w:tcPr>
          <w:p w14:paraId="683FA1B9">
            <w:pPr>
              <w:rPr>
                <w:b/>
                <w:sz w:val="20"/>
                <w:szCs w:val="20"/>
              </w:rPr>
            </w:pPr>
            <w:r>
              <w:rPr>
                <w:b/>
                <w:sz w:val="20"/>
                <w:szCs w:val="20"/>
              </w:rPr>
              <w:t>Expected time schedule for this position:</w:t>
            </w:r>
          </w:p>
        </w:tc>
        <w:tc>
          <w:tcPr>
            <w:tcW w:w="6470" w:type="dxa"/>
          </w:tcPr>
          <w:p w14:paraId="6C2C2BFE">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2A123EA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583AFADE">
            <w:pPr>
              <w:suppressAutoHyphens/>
              <w:spacing w:before="120" w:after="120"/>
              <w:rPr>
                <w:b/>
                <w:bCs/>
                <w:spacing w:val="-2"/>
                <w:sz w:val="20"/>
              </w:rPr>
            </w:pPr>
            <w:r>
              <w:rPr>
                <w:b/>
                <w:bCs/>
                <w:spacing w:val="-2"/>
                <w:sz w:val="20"/>
              </w:rPr>
              <w:t>7.</w:t>
            </w:r>
          </w:p>
        </w:tc>
        <w:tc>
          <w:tcPr>
            <w:tcW w:w="8370" w:type="dxa"/>
            <w:gridSpan w:val="2"/>
          </w:tcPr>
          <w:p w14:paraId="69B6EF96">
            <w:pPr>
              <w:suppressAutoHyphens/>
              <w:spacing w:before="80" w:after="80"/>
              <w:rPr>
                <w:b/>
                <w:bCs/>
                <w:spacing w:val="-2"/>
                <w:sz w:val="20"/>
              </w:rPr>
            </w:pPr>
            <w:r>
              <w:rPr>
                <w:b/>
                <w:bCs/>
                <w:spacing w:val="-2"/>
                <w:sz w:val="20"/>
              </w:rPr>
              <w:t xml:space="preserve">Title of position: </w:t>
            </w:r>
            <w:r>
              <w:rPr>
                <w:bCs/>
                <w:i/>
                <w:spacing w:val="-2"/>
                <w:sz w:val="20"/>
              </w:rPr>
              <w:t>Environmental Safeguard Specialist</w:t>
            </w:r>
          </w:p>
        </w:tc>
      </w:tr>
      <w:tr w14:paraId="4006D75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18F9B155">
            <w:pPr>
              <w:suppressAutoHyphens/>
              <w:spacing w:before="120" w:after="120"/>
              <w:rPr>
                <w:b/>
                <w:bCs/>
                <w:spacing w:val="-2"/>
                <w:sz w:val="20"/>
              </w:rPr>
            </w:pPr>
          </w:p>
        </w:tc>
        <w:tc>
          <w:tcPr>
            <w:tcW w:w="8370" w:type="dxa"/>
            <w:gridSpan w:val="2"/>
          </w:tcPr>
          <w:p w14:paraId="3E14D39C">
            <w:pPr>
              <w:suppressAutoHyphens/>
              <w:spacing w:before="120" w:after="120"/>
              <w:rPr>
                <w:b/>
                <w:bCs/>
                <w:spacing w:val="-2"/>
                <w:sz w:val="20"/>
              </w:rPr>
            </w:pPr>
            <w:r>
              <w:rPr>
                <w:b/>
                <w:bCs/>
                <w:spacing w:val="-2"/>
                <w:sz w:val="20"/>
              </w:rPr>
              <w:t>Name of candidate:</w:t>
            </w:r>
          </w:p>
        </w:tc>
      </w:tr>
      <w:tr w14:paraId="5F1BB57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617F41D9">
            <w:pPr>
              <w:suppressAutoHyphens/>
              <w:spacing w:before="120" w:after="120"/>
              <w:rPr>
                <w:b/>
                <w:bCs/>
                <w:spacing w:val="-2"/>
                <w:sz w:val="20"/>
              </w:rPr>
            </w:pPr>
          </w:p>
        </w:tc>
        <w:tc>
          <w:tcPr>
            <w:tcW w:w="1900" w:type="dxa"/>
          </w:tcPr>
          <w:p w14:paraId="6A0E1299">
            <w:pPr>
              <w:rPr>
                <w:b/>
                <w:sz w:val="20"/>
                <w:szCs w:val="20"/>
              </w:rPr>
            </w:pPr>
            <w:r>
              <w:rPr>
                <w:b/>
                <w:sz w:val="20"/>
                <w:szCs w:val="20"/>
              </w:rPr>
              <w:t>Duration of appointment:</w:t>
            </w:r>
          </w:p>
        </w:tc>
        <w:tc>
          <w:tcPr>
            <w:tcW w:w="6470" w:type="dxa"/>
          </w:tcPr>
          <w:p w14:paraId="38EC5F95">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52D60B4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450D6402">
            <w:pPr>
              <w:suppressAutoHyphens/>
              <w:spacing w:before="120" w:after="120"/>
              <w:rPr>
                <w:b/>
                <w:bCs/>
                <w:spacing w:val="-2"/>
                <w:sz w:val="20"/>
              </w:rPr>
            </w:pPr>
          </w:p>
        </w:tc>
        <w:tc>
          <w:tcPr>
            <w:tcW w:w="1900" w:type="dxa"/>
          </w:tcPr>
          <w:p w14:paraId="2DC26909">
            <w:pPr>
              <w:rPr>
                <w:b/>
                <w:sz w:val="20"/>
                <w:szCs w:val="20"/>
              </w:rPr>
            </w:pPr>
            <w:r>
              <w:rPr>
                <w:b/>
                <w:sz w:val="20"/>
                <w:szCs w:val="20"/>
              </w:rPr>
              <w:t>Time commitment: for this position:</w:t>
            </w:r>
          </w:p>
        </w:tc>
        <w:tc>
          <w:tcPr>
            <w:tcW w:w="6470" w:type="dxa"/>
          </w:tcPr>
          <w:p w14:paraId="16443C9D">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5FC70C2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787C98FB">
            <w:pPr>
              <w:suppressAutoHyphens/>
              <w:spacing w:before="120" w:after="120"/>
              <w:rPr>
                <w:b/>
                <w:bCs/>
                <w:spacing w:val="-2"/>
                <w:sz w:val="20"/>
              </w:rPr>
            </w:pPr>
          </w:p>
        </w:tc>
        <w:tc>
          <w:tcPr>
            <w:tcW w:w="1900" w:type="dxa"/>
          </w:tcPr>
          <w:p w14:paraId="5F05D9BB">
            <w:pPr>
              <w:rPr>
                <w:b/>
                <w:sz w:val="20"/>
                <w:szCs w:val="20"/>
              </w:rPr>
            </w:pPr>
            <w:r>
              <w:rPr>
                <w:b/>
                <w:sz w:val="20"/>
                <w:szCs w:val="20"/>
              </w:rPr>
              <w:t>Expected time schedule for this position:</w:t>
            </w:r>
          </w:p>
        </w:tc>
        <w:tc>
          <w:tcPr>
            <w:tcW w:w="6470" w:type="dxa"/>
          </w:tcPr>
          <w:p w14:paraId="7E7EC135">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1096362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57F2FD00">
            <w:pPr>
              <w:suppressAutoHyphens/>
              <w:spacing w:before="120" w:after="120"/>
              <w:rPr>
                <w:b/>
                <w:bCs/>
                <w:spacing w:val="-2"/>
                <w:sz w:val="20"/>
              </w:rPr>
            </w:pPr>
            <w:r>
              <w:rPr>
                <w:b/>
                <w:bCs/>
                <w:spacing w:val="-2"/>
                <w:sz w:val="20"/>
              </w:rPr>
              <w:t>8.</w:t>
            </w:r>
          </w:p>
        </w:tc>
        <w:tc>
          <w:tcPr>
            <w:tcW w:w="8370" w:type="dxa"/>
            <w:gridSpan w:val="2"/>
          </w:tcPr>
          <w:p w14:paraId="1FE0DD4A">
            <w:pPr>
              <w:suppressAutoHyphens/>
              <w:spacing w:before="80" w:after="80"/>
              <w:rPr>
                <w:b/>
                <w:bCs/>
                <w:spacing w:val="-2"/>
                <w:sz w:val="20"/>
              </w:rPr>
            </w:pPr>
            <w:r>
              <w:rPr>
                <w:b/>
                <w:bCs/>
                <w:spacing w:val="-2"/>
                <w:sz w:val="20"/>
              </w:rPr>
              <w:t xml:space="preserve">Title of position: </w:t>
            </w:r>
            <w:r>
              <w:rPr>
                <w:bCs/>
                <w:i/>
                <w:spacing w:val="-2"/>
                <w:sz w:val="20"/>
              </w:rPr>
              <w:t>Health &amp; Safety Specialist</w:t>
            </w:r>
          </w:p>
        </w:tc>
      </w:tr>
      <w:tr w14:paraId="2760DA8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6DA74616">
            <w:pPr>
              <w:suppressAutoHyphens/>
              <w:spacing w:before="120" w:after="120"/>
              <w:rPr>
                <w:b/>
                <w:bCs/>
                <w:spacing w:val="-2"/>
                <w:sz w:val="20"/>
              </w:rPr>
            </w:pPr>
          </w:p>
        </w:tc>
        <w:tc>
          <w:tcPr>
            <w:tcW w:w="8370" w:type="dxa"/>
            <w:gridSpan w:val="2"/>
          </w:tcPr>
          <w:p w14:paraId="45389960">
            <w:pPr>
              <w:suppressAutoHyphens/>
              <w:spacing w:before="120" w:after="120"/>
              <w:rPr>
                <w:b/>
                <w:bCs/>
                <w:spacing w:val="-2"/>
                <w:sz w:val="20"/>
              </w:rPr>
            </w:pPr>
            <w:r>
              <w:rPr>
                <w:b/>
                <w:bCs/>
                <w:spacing w:val="-2"/>
                <w:sz w:val="20"/>
              </w:rPr>
              <w:t>Name of candidate:</w:t>
            </w:r>
          </w:p>
        </w:tc>
      </w:tr>
      <w:tr w14:paraId="03436BA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49AD5BE4">
            <w:pPr>
              <w:suppressAutoHyphens/>
              <w:spacing w:before="120" w:after="120"/>
              <w:rPr>
                <w:b/>
                <w:bCs/>
                <w:spacing w:val="-2"/>
                <w:sz w:val="20"/>
              </w:rPr>
            </w:pPr>
          </w:p>
        </w:tc>
        <w:tc>
          <w:tcPr>
            <w:tcW w:w="1900" w:type="dxa"/>
          </w:tcPr>
          <w:p w14:paraId="1AAB1FA9">
            <w:pPr>
              <w:rPr>
                <w:b/>
                <w:sz w:val="20"/>
                <w:szCs w:val="20"/>
              </w:rPr>
            </w:pPr>
            <w:r>
              <w:rPr>
                <w:b/>
                <w:sz w:val="20"/>
                <w:szCs w:val="20"/>
              </w:rPr>
              <w:t>Duration of appointment:</w:t>
            </w:r>
          </w:p>
        </w:tc>
        <w:tc>
          <w:tcPr>
            <w:tcW w:w="6470" w:type="dxa"/>
          </w:tcPr>
          <w:p w14:paraId="31EA441A">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32C474F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4C855662">
            <w:pPr>
              <w:suppressAutoHyphens/>
              <w:spacing w:before="120" w:after="120"/>
              <w:rPr>
                <w:b/>
                <w:bCs/>
                <w:spacing w:val="-2"/>
                <w:sz w:val="20"/>
              </w:rPr>
            </w:pPr>
          </w:p>
        </w:tc>
        <w:tc>
          <w:tcPr>
            <w:tcW w:w="1900" w:type="dxa"/>
          </w:tcPr>
          <w:p w14:paraId="324FC559">
            <w:pPr>
              <w:rPr>
                <w:b/>
                <w:sz w:val="20"/>
                <w:szCs w:val="20"/>
              </w:rPr>
            </w:pPr>
            <w:r>
              <w:rPr>
                <w:b/>
                <w:sz w:val="20"/>
                <w:szCs w:val="20"/>
              </w:rPr>
              <w:t>Time commitment: for this position:</w:t>
            </w:r>
          </w:p>
        </w:tc>
        <w:tc>
          <w:tcPr>
            <w:tcW w:w="6470" w:type="dxa"/>
          </w:tcPr>
          <w:p w14:paraId="3952A659">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6DBB8A3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35C79F90">
            <w:pPr>
              <w:suppressAutoHyphens/>
              <w:spacing w:before="120" w:after="120"/>
              <w:rPr>
                <w:b/>
                <w:bCs/>
                <w:spacing w:val="-2"/>
                <w:sz w:val="20"/>
              </w:rPr>
            </w:pPr>
          </w:p>
        </w:tc>
        <w:tc>
          <w:tcPr>
            <w:tcW w:w="1900" w:type="dxa"/>
          </w:tcPr>
          <w:p w14:paraId="464138DE">
            <w:pPr>
              <w:rPr>
                <w:b/>
                <w:sz w:val="20"/>
                <w:szCs w:val="20"/>
              </w:rPr>
            </w:pPr>
            <w:r>
              <w:rPr>
                <w:b/>
                <w:sz w:val="20"/>
                <w:szCs w:val="20"/>
              </w:rPr>
              <w:t>Expected time schedule for this position:</w:t>
            </w:r>
          </w:p>
        </w:tc>
        <w:tc>
          <w:tcPr>
            <w:tcW w:w="6470" w:type="dxa"/>
          </w:tcPr>
          <w:p w14:paraId="4F2F8985">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34E5603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restart"/>
          </w:tcPr>
          <w:p w14:paraId="7515489B">
            <w:pPr>
              <w:suppressAutoHyphens/>
              <w:spacing w:before="120" w:after="120"/>
              <w:rPr>
                <w:b/>
                <w:bCs/>
                <w:spacing w:val="-2"/>
                <w:sz w:val="20"/>
              </w:rPr>
            </w:pPr>
            <w:r>
              <w:rPr>
                <w:b/>
                <w:bCs/>
                <w:spacing w:val="-2"/>
                <w:sz w:val="20"/>
              </w:rPr>
              <w:t>9.</w:t>
            </w:r>
          </w:p>
        </w:tc>
        <w:tc>
          <w:tcPr>
            <w:tcW w:w="8370" w:type="dxa"/>
            <w:gridSpan w:val="2"/>
          </w:tcPr>
          <w:p w14:paraId="4C8F6A14">
            <w:pPr>
              <w:suppressAutoHyphens/>
              <w:spacing w:before="80" w:after="80"/>
              <w:rPr>
                <w:b/>
                <w:bCs/>
                <w:spacing w:val="-2"/>
                <w:sz w:val="20"/>
              </w:rPr>
            </w:pPr>
            <w:r>
              <w:rPr>
                <w:b/>
                <w:bCs/>
                <w:spacing w:val="-2"/>
                <w:sz w:val="20"/>
              </w:rPr>
              <w:t xml:space="preserve">Title of position:  </w:t>
            </w:r>
            <w:r>
              <w:rPr>
                <w:bCs/>
                <w:i/>
                <w:spacing w:val="-2"/>
                <w:sz w:val="20"/>
              </w:rPr>
              <w:t>Artisans 4 No. (electrical technical, plumber/pipe fitter, mason, steel fixer)</w:t>
            </w:r>
          </w:p>
        </w:tc>
      </w:tr>
      <w:tr w14:paraId="495B68E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5EA863AF">
            <w:pPr>
              <w:suppressAutoHyphens/>
              <w:spacing w:before="120" w:after="120"/>
              <w:rPr>
                <w:b/>
                <w:bCs/>
                <w:spacing w:val="-2"/>
                <w:sz w:val="20"/>
              </w:rPr>
            </w:pPr>
          </w:p>
        </w:tc>
        <w:tc>
          <w:tcPr>
            <w:tcW w:w="8370" w:type="dxa"/>
            <w:gridSpan w:val="2"/>
          </w:tcPr>
          <w:p w14:paraId="7D0524A2">
            <w:pPr>
              <w:suppressAutoHyphens/>
              <w:spacing w:before="120" w:after="120"/>
              <w:rPr>
                <w:b/>
                <w:bCs/>
                <w:spacing w:val="-2"/>
                <w:sz w:val="20"/>
              </w:rPr>
            </w:pPr>
            <w:r>
              <w:rPr>
                <w:b/>
                <w:bCs/>
                <w:spacing w:val="-2"/>
                <w:sz w:val="20"/>
              </w:rPr>
              <w:t>Name of candidate:</w:t>
            </w:r>
          </w:p>
        </w:tc>
      </w:tr>
      <w:tr w14:paraId="4887EA6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52D4C1D5">
            <w:pPr>
              <w:suppressAutoHyphens/>
              <w:spacing w:before="120" w:after="120"/>
              <w:rPr>
                <w:b/>
                <w:bCs/>
                <w:spacing w:val="-2"/>
                <w:sz w:val="20"/>
              </w:rPr>
            </w:pPr>
          </w:p>
        </w:tc>
        <w:tc>
          <w:tcPr>
            <w:tcW w:w="1900" w:type="dxa"/>
          </w:tcPr>
          <w:p w14:paraId="471CE6A3">
            <w:pPr>
              <w:rPr>
                <w:b/>
                <w:sz w:val="20"/>
                <w:szCs w:val="20"/>
              </w:rPr>
            </w:pPr>
            <w:r>
              <w:rPr>
                <w:b/>
                <w:sz w:val="20"/>
                <w:szCs w:val="20"/>
              </w:rPr>
              <w:t>Duration of appointment:</w:t>
            </w:r>
          </w:p>
        </w:tc>
        <w:tc>
          <w:tcPr>
            <w:tcW w:w="6470" w:type="dxa"/>
          </w:tcPr>
          <w:p w14:paraId="3AC8E863">
            <w:pPr>
              <w:rPr>
                <w:sz w:val="20"/>
                <w:szCs w:val="20"/>
              </w:rPr>
            </w:pPr>
            <w:r>
              <w:rPr>
                <w:sz w:val="20"/>
                <w:szCs w:val="20"/>
              </w:rPr>
              <w:t>[</w:t>
            </w:r>
            <w:r>
              <w:rPr>
                <w:i/>
                <w:sz w:val="20"/>
                <w:szCs w:val="20"/>
              </w:rPr>
              <w:t>insert the whole period (start and end dates) for which this position will be engaged</w:t>
            </w:r>
            <w:r>
              <w:rPr>
                <w:sz w:val="20"/>
                <w:szCs w:val="20"/>
              </w:rPr>
              <w:t>]</w:t>
            </w:r>
          </w:p>
        </w:tc>
      </w:tr>
      <w:tr w14:paraId="1A52E8E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2137E2A9">
            <w:pPr>
              <w:suppressAutoHyphens/>
              <w:spacing w:before="120" w:after="120"/>
              <w:rPr>
                <w:b/>
                <w:bCs/>
                <w:spacing w:val="-2"/>
                <w:sz w:val="20"/>
              </w:rPr>
            </w:pPr>
          </w:p>
        </w:tc>
        <w:tc>
          <w:tcPr>
            <w:tcW w:w="1900" w:type="dxa"/>
          </w:tcPr>
          <w:p w14:paraId="77FF292F">
            <w:pPr>
              <w:rPr>
                <w:b/>
                <w:sz w:val="20"/>
                <w:szCs w:val="20"/>
              </w:rPr>
            </w:pPr>
            <w:r>
              <w:rPr>
                <w:b/>
                <w:sz w:val="20"/>
                <w:szCs w:val="20"/>
              </w:rPr>
              <w:t>Time commitment: for this position:</w:t>
            </w:r>
          </w:p>
        </w:tc>
        <w:tc>
          <w:tcPr>
            <w:tcW w:w="6470" w:type="dxa"/>
          </w:tcPr>
          <w:p w14:paraId="12DBEE55">
            <w:pPr>
              <w:rPr>
                <w:sz w:val="20"/>
                <w:szCs w:val="20"/>
              </w:rPr>
            </w:pPr>
            <w:r>
              <w:rPr>
                <w:sz w:val="20"/>
                <w:szCs w:val="20"/>
              </w:rPr>
              <w:t>[</w:t>
            </w:r>
            <w:r>
              <w:rPr>
                <w:i/>
                <w:sz w:val="20"/>
                <w:szCs w:val="20"/>
              </w:rPr>
              <w:t>insert the number of days/week/months/ that has been scheduled for this position</w:t>
            </w:r>
            <w:r>
              <w:rPr>
                <w:sz w:val="20"/>
                <w:szCs w:val="20"/>
              </w:rPr>
              <w:t>]</w:t>
            </w:r>
          </w:p>
        </w:tc>
      </w:tr>
      <w:tr w14:paraId="5AF0767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vMerge w:val="continue"/>
          </w:tcPr>
          <w:p w14:paraId="79BDBE55">
            <w:pPr>
              <w:suppressAutoHyphens/>
              <w:spacing w:before="120" w:after="120"/>
              <w:rPr>
                <w:b/>
                <w:bCs/>
                <w:spacing w:val="-2"/>
                <w:sz w:val="20"/>
              </w:rPr>
            </w:pPr>
          </w:p>
        </w:tc>
        <w:tc>
          <w:tcPr>
            <w:tcW w:w="1900" w:type="dxa"/>
          </w:tcPr>
          <w:p w14:paraId="7F3BA99A">
            <w:pPr>
              <w:rPr>
                <w:b/>
                <w:sz w:val="20"/>
                <w:szCs w:val="20"/>
              </w:rPr>
            </w:pPr>
            <w:r>
              <w:rPr>
                <w:b/>
                <w:sz w:val="20"/>
                <w:szCs w:val="20"/>
              </w:rPr>
              <w:t>Expected time schedule for this position:</w:t>
            </w:r>
          </w:p>
        </w:tc>
        <w:tc>
          <w:tcPr>
            <w:tcW w:w="6470" w:type="dxa"/>
          </w:tcPr>
          <w:p w14:paraId="2EE67A59">
            <w:pPr>
              <w:rPr>
                <w:sz w:val="20"/>
                <w:szCs w:val="20"/>
              </w:rPr>
            </w:pPr>
            <w:r>
              <w:rPr>
                <w:sz w:val="20"/>
                <w:szCs w:val="20"/>
              </w:rPr>
              <w:t>[</w:t>
            </w:r>
            <w:r>
              <w:rPr>
                <w:i/>
                <w:sz w:val="20"/>
                <w:szCs w:val="20"/>
              </w:rPr>
              <w:t>insert the expected time schedule for this position (e.g. attach high level Gantt chart</w:t>
            </w:r>
            <w:r>
              <w:rPr>
                <w:sz w:val="20"/>
                <w:szCs w:val="20"/>
              </w:rPr>
              <w:t>]</w:t>
            </w:r>
          </w:p>
        </w:tc>
      </w:tr>
      <w:tr w14:paraId="14E644C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72" w:type="dxa"/>
            <w:bottom w:w="0" w:type="dxa"/>
            <w:right w:w="72" w:type="dxa"/>
          </w:tblCellMar>
        </w:tblPrEx>
        <w:trPr>
          <w:cantSplit/>
        </w:trPr>
        <w:tc>
          <w:tcPr>
            <w:tcW w:w="720" w:type="dxa"/>
          </w:tcPr>
          <w:p w14:paraId="66847E24">
            <w:pPr>
              <w:suppressAutoHyphens/>
              <w:spacing w:before="120" w:after="120"/>
              <w:rPr>
                <w:b/>
                <w:bCs/>
                <w:spacing w:val="-2"/>
                <w:sz w:val="20"/>
              </w:rPr>
            </w:pPr>
          </w:p>
        </w:tc>
        <w:tc>
          <w:tcPr>
            <w:tcW w:w="1900" w:type="dxa"/>
          </w:tcPr>
          <w:p w14:paraId="7E98393A">
            <w:pPr>
              <w:rPr>
                <w:b/>
                <w:sz w:val="20"/>
                <w:szCs w:val="20"/>
              </w:rPr>
            </w:pPr>
          </w:p>
        </w:tc>
        <w:tc>
          <w:tcPr>
            <w:tcW w:w="6470" w:type="dxa"/>
          </w:tcPr>
          <w:p w14:paraId="663A1C6A">
            <w:pPr>
              <w:rPr>
                <w:sz w:val="20"/>
                <w:szCs w:val="20"/>
              </w:rPr>
            </w:pPr>
          </w:p>
        </w:tc>
      </w:tr>
    </w:tbl>
    <w:p w14:paraId="30E6E6C4"/>
    <w:p w14:paraId="77AAA769">
      <w:pPr>
        <w:pStyle w:val="17"/>
        <w:suppressAutoHyphens/>
        <w:ind w:left="180" w:right="288"/>
        <w:rPr>
          <w:rStyle w:val="82"/>
          <w:rFonts w:cs="Arial"/>
          <w:i w:val="0"/>
          <w:spacing w:val="-2"/>
        </w:rPr>
      </w:pPr>
    </w:p>
    <w:p w14:paraId="053132D1">
      <w:pPr>
        <w:pStyle w:val="156"/>
        <w:rPr>
          <w:sz w:val="20"/>
        </w:rPr>
      </w:pPr>
    </w:p>
    <w:p w14:paraId="594193C5">
      <w:pPr>
        <w:rPr>
          <w:color w:val="000000"/>
          <w:sz w:val="22"/>
          <w:szCs w:val="22"/>
          <w:highlight w:val="yellow"/>
        </w:rPr>
      </w:pPr>
      <w:r>
        <w:rPr>
          <w:sz w:val="20"/>
        </w:rPr>
        <w:tab/>
      </w:r>
      <w:r>
        <w:rPr>
          <w:color w:val="000000"/>
          <w:sz w:val="22"/>
          <w:szCs w:val="22"/>
          <w:highlight w:val="yellow"/>
        </w:rPr>
        <w:t xml:space="preserve"> </w:t>
      </w:r>
    </w:p>
    <w:p w14:paraId="05748ABA">
      <w:pPr>
        <w:pStyle w:val="156"/>
        <w:tabs>
          <w:tab w:val="left" w:pos="670"/>
        </w:tabs>
        <w:jc w:val="left"/>
        <w:rPr>
          <w:sz w:val="20"/>
        </w:rPr>
      </w:pPr>
    </w:p>
    <w:p w14:paraId="68E552E4">
      <w:pPr>
        <w:pStyle w:val="156"/>
        <w:rPr>
          <w:bCs/>
          <w:color w:val="000000"/>
        </w:rPr>
      </w:pPr>
      <w:r>
        <w:br w:type="page"/>
      </w:r>
      <w:bookmarkStart w:id="413" w:name="_Toc178519593"/>
      <w:bookmarkStart w:id="414" w:name="_Toc333564301"/>
      <w:bookmarkStart w:id="415" w:name="_Toc454788560"/>
      <w:r>
        <w:t>Form PER-2:</w:t>
      </w:r>
      <w:bookmarkEnd w:id="413"/>
      <w:r>
        <w:rPr>
          <w:bCs/>
          <w:color w:val="000000"/>
        </w:rPr>
        <w:t xml:space="preserve"> </w:t>
      </w:r>
    </w:p>
    <w:p w14:paraId="40A9D676">
      <w:pPr>
        <w:pStyle w:val="191"/>
        <w:spacing w:before="0" w:after="0"/>
        <w:rPr>
          <w:color w:val="000000"/>
          <w:lang w:val="en-US"/>
        </w:rPr>
      </w:pPr>
      <w:r>
        <w:rPr>
          <w:bCs/>
          <w:color w:val="000000"/>
          <w:lang w:val="en-US"/>
        </w:rPr>
        <w:t>Re</w:t>
      </w:r>
      <w:r>
        <w:rPr>
          <w:color w:val="000000"/>
          <w:lang w:val="en-US"/>
        </w:rPr>
        <w:t>sume and Declaration</w:t>
      </w:r>
    </w:p>
    <w:p w14:paraId="4E953A58">
      <w:pPr>
        <w:pStyle w:val="191"/>
        <w:spacing w:before="0" w:after="0"/>
        <w:rPr>
          <w:color w:val="000000"/>
          <w:lang w:val="en-US"/>
        </w:rPr>
      </w:pPr>
      <w:r>
        <w:rPr>
          <w:color w:val="000000"/>
          <w:lang w:val="en-US"/>
        </w:rPr>
        <w:t xml:space="preserve"> Key Personnel</w:t>
      </w:r>
      <w:bookmarkEnd w:id="414"/>
      <w:bookmarkEnd w:id="415"/>
      <w:r>
        <w:rPr>
          <w:color w:val="000000"/>
          <w:lang w:val="en-US"/>
        </w:rPr>
        <w:t xml:space="preserve">  </w:t>
      </w:r>
    </w:p>
    <w:p w14:paraId="4DEC14C4">
      <w:pPr>
        <w:pStyle w:val="191"/>
        <w:spacing w:before="0" w:after="0"/>
        <w:rPr>
          <w:rStyle w:val="82"/>
          <w:rFonts w:ascii="Times New Roman" w:hAnsi="Times New Roman"/>
          <w:color w:val="000000"/>
          <w:lang w:val="en-US"/>
        </w:rPr>
      </w:pPr>
    </w:p>
    <w:tbl>
      <w:tblPr>
        <w:tblStyle w:val="12"/>
        <w:tblW w:w="0" w:type="auto"/>
        <w:tblInd w:w="72" w:type="dxa"/>
        <w:tblLayout w:type="fixed"/>
        <w:tblCellMar>
          <w:top w:w="0" w:type="dxa"/>
          <w:left w:w="72" w:type="dxa"/>
          <w:bottom w:w="0" w:type="dxa"/>
          <w:right w:w="72" w:type="dxa"/>
        </w:tblCellMar>
      </w:tblPr>
      <w:tblGrid>
        <w:gridCol w:w="9090"/>
      </w:tblGrid>
      <w:tr w14:paraId="3B1B0BA9">
        <w:tblPrEx>
          <w:tblCellMar>
            <w:top w:w="0" w:type="dxa"/>
            <w:left w:w="72" w:type="dxa"/>
            <w:bottom w:w="0" w:type="dxa"/>
            <w:right w:w="72" w:type="dxa"/>
          </w:tblCellMar>
        </w:tblPrEx>
        <w:trPr>
          <w:cantSplit/>
        </w:trPr>
        <w:tc>
          <w:tcPr>
            <w:tcW w:w="9090" w:type="dxa"/>
            <w:tcBorders>
              <w:top w:val="single" w:color="auto" w:sz="6" w:space="0"/>
              <w:left w:val="single" w:color="auto" w:sz="6" w:space="0"/>
              <w:bottom w:val="single" w:color="auto" w:sz="6" w:space="0"/>
              <w:right w:val="single" w:color="auto" w:sz="6" w:space="0"/>
            </w:tcBorders>
          </w:tcPr>
          <w:p w14:paraId="74E57206">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Name of Bidder</w:t>
            </w:r>
          </w:p>
          <w:p w14:paraId="215453AE">
            <w:pPr>
              <w:suppressAutoHyphens/>
              <w:spacing w:before="60" w:after="60"/>
              <w:rPr>
                <w:rStyle w:val="82"/>
                <w:rFonts w:ascii="Times New Roman" w:hAnsi="Times New Roman"/>
                <w:b/>
                <w:bCs/>
                <w:iCs/>
                <w:color w:val="000000"/>
                <w:spacing w:val="-2"/>
              </w:rPr>
            </w:pPr>
          </w:p>
        </w:tc>
      </w:tr>
    </w:tbl>
    <w:p w14:paraId="179B16E2">
      <w:pPr>
        <w:suppressAutoHyphens/>
        <w:rPr>
          <w:rStyle w:val="82"/>
          <w:rFonts w:ascii="Times New Roman" w:hAnsi="Times New Roman"/>
          <w:b/>
          <w:bCs/>
          <w:iCs/>
          <w:color w:val="000000"/>
          <w:spacing w:val="-2"/>
        </w:rPr>
      </w:pPr>
    </w:p>
    <w:tbl>
      <w:tblPr>
        <w:tblStyle w:val="12"/>
        <w:tblW w:w="9090" w:type="dxa"/>
        <w:tblInd w:w="72" w:type="dxa"/>
        <w:tblLayout w:type="fixed"/>
        <w:tblCellMar>
          <w:top w:w="0" w:type="dxa"/>
          <w:left w:w="72" w:type="dxa"/>
          <w:bottom w:w="0" w:type="dxa"/>
          <w:right w:w="72" w:type="dxa"/>
        </w:tblCellMar>
      </w:tblPr>
      <w:tblGrid>
        <w:gridCol w:w="1440"/>
        <w:gridCol w:w="3960"/>
        <w:gridCol w:w="3690"/>
      </w:tblGrid>
      <w:tr w14:paraId="2042AEFC">
        <w:tblPrEx>
          <w:tblCellMar>
            <w:top w:w="0" w:type="dxa"/>
            <w:left w:w="72" w:type="dxa"/>
            <w:bottom w:w="0" w:type="dxa"/>
            <w:right w:w="72" w:type="dxa"/>
          </w:tblCellMar>
        </w:tblPrEx>
        <w:trPr>
          <w:cantSplit/>
        </w:trPr>
        <w:tc>
          <w:tcPr>
            <w:tcW w:w="9090" w:type="dxa"/>
            <w:gridSpan w:val="3"/>
            <w:tcBorders>
              <w:top w:val="single" w:color="auto" w:sz="6" w:space="0"/>
              <w:left w:val="single" w:color="auto" w:sz="6" w:space="0"/>
              <w:right w:val="single" w:color="auto" w:sz="6" w:space="0"/>
            </w:tcBorders>
          </w:tcPr>
          <w:p w14:paraId="33C99054">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Position [#</w:t>
            </w:r>
            <w:r>
              <w:rPr>
                <w:rStyle w:val="82"/>
                <w:rFonts w:ascii="Times New Roman" w:hAnsi="Times New Roman"/>
                <w:b/>
                <w:bCs/>
                <w:i/>
                <w:iCs/>
                <w:color w:val="000000"/>
                <w:spacing w:val="-2"/>
              </w:rPr>
              <w:t>1</w:t>
            </w:r>
            <w:r>
              <w:rPr>
                <w:rStyle w:val="82"/>
                <w:rFonts w:ascii="Times New Roman" w:hAnsi="Times New Roman"/>
                <w:b/>
                <w:bCs/>
                <w:iCs/>
                <w:color w:val="000000"/>
                <w:spacing w:val="-2"/>
              </w:rPr>
              <w:t>]: [</w:t>
            </w:r>
            <w:r>
              <w:rPr>
                <w:rStyle w:val="82"/>
                <w:rFonts w:ascii="Times New Roman" w:hAnsi="Times New Roman"/>
                <w:b/>
                <w:bCs/>
                <w:i/>
                <w:iCs/>
                <w:color w:val="000000"/>
                <w:spacing w:val="-2"/>
              </w:rPr>
              <w:t>title of position from Form PER-1</w:t>
            </w:r>
            <w:r>
              <w:rPr>
                <w:rStyle w:val="82"/>
                <w:rFonts w:ascii="Times New Roman" w:hAnsi="Times New Roman"/>
                <w:b/>
                <w:bCs/>
                <w:iCs/>
                <w:color w:val="000000"/>
                <w:spacing w:val="-2"/>
              </w:rPr>
              <w:t>]</w:t>
            </w:r>
          </w:p>
          <w:p w14:paraId="56B2B125">
            <w:pPr>
              <w:tabs>
                <w:tab w:val="left" w:pos="1638"/>
                <w:tab w:val="left" w:pos="1998"/>
              </w:tabs>
              <w:suppressAutoHyphens/>
              <w:spacing w:before="60" w:after="60"/>
              <w:ind w:left="378" w:hanging="378"/>
              <w:rPr>
                <w:rStyle w:val="82"/>
                <w:rFonts w:ascii="Times New Roman" w:hAnsi="Times New Roman"/>
                <w:b/>
                <w:bCs/>
                <w:iCs/>
                <w:color w:val="000000"/>
                <w:spacing w:val="-2"/>
              </w:rPr>
            </w:pPr>
          </w:p>
        </w:tc>
      </w:tr>
      <w:tr w14:paraId="396461C7">
        <w:tblPrEx>
          <w:tblCellMar>
            <w:top w:w="0" w:type="dxa"/>
            <w:left w:w="72" w:type="dxa"/>
            <w:bottom w:w="0" w:type="dxa"/>
            <w:right w:w="72" w:type="dxa"/>
          </w:tblCellMar>
        </w:tblPrEx>
        <w:trPr>
          <w:cantSplit/>
        </w:trPr>
        <w:tc>
          <w:tcPr>
            <w:tcW w:w="1440" w:type="dxa"/>
            <w:tcBorders>
              <w:top w:val="single" w:color="auto" w:sz="6" w:space="0"/>
              <w:left w:val="single" w:color="auto" w:sz="6" w:space="0"/>
            </w:tcBorders>
          </w:tcPr>
          <w:p w14:paraId="393FCB85">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Personnel information</w:t>
            </w:r>
          </w:p>
        </w:tc>
        <w:tc>
          <w:tcPr>
            <w:tcW w:w="3960" w:type="dxa"/>
            <w:tcBorders>
              <w:top w:val="single" w:color="auto" w:sz="6" w:space="0"/>
              <w:left w:val="single" w:color="auto" w:sz="6" w:space="0"/>
            </w:tcBorders>
          </w:tcPr>
          <w:p w14:paraId="5F6F7C37">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 xml:space="preserve">Name: </w:t>
            </w:r>
          </w:p>
          <w:p w14:paraId="52FD2E15">
            <w:pPr>
              <w:suppressAutoHyphens/>
              <w:spacing w:before="60" w:after="60"/>
              <w:rPr>
                <w:rStyle w:val="82"/>
                <w:rFonts w:ascii="Times New Roman" w:hAnsi="Times New Roman"/>
                <w:b/>
                <w:bCs/>
                <w:iCs/>
                <w:color w:val="000000"/>
                <w:spacing w:val="-2"/>
              </w:rPr>
            </w:pPr>
          </w:p>
        </w:tc>
        <w:tc>
          <w:tcPr>
            <w:tcW w:w="3690" w:type="dxa"/>
            <w:tcBorders>
              <w:top w:val="single" w:color="auto" w:sz="6" w:space="0"/>
              <w:left w:val="single" w:color="auto" w:sz="6" w:space="0"/>
              <w:right w:val="single" w:color="auto" w:sz="6" w:space="0"/>
            </w:tcBorders>
          </w:tcPr>
          <w:p w14:paraId="55DDCF3E">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Date of birth:</w:t>
            </w:r>
          </w:p>
        </w:tc>
      </w:tr>
      <w:tr w14:paraId="7D257618">
        <w:tblPrEx>
          <w:tblCellMar>
            <w:top w:w="0" w:type="dxa"/>
            <w:left w:w="72" w:type="dxa"/>
            <w:bottom w:w="0" w:type="dxa"/>
            <w:right w:w="72" w:type="dxa"/>
          </w:tblCellMar>
        </w:tblPrEx>
        <w:trPr>
          <w:cantSplit/>
        </w:trPr>
        <w:tc>
          <w:tcPr>
            <w:tcW w:w="1440" w:type="dxa"/>
            <w:tcBorders>
              <w:top w:val="single" w:color="auto" w:sz="6" w:space="0"/>
              <w:left w:val="single" w:color="auto" w:sz="6" w:space="0"/>
            </w:tcBorders>
          </w:tcPr>
          <w:p w14:paraId="5B07EA7B">
            <w:pPr>
              <w:suppressAutoHyphens/>
              <w:spacing w:before="60" w:after="60"/>
              <w:rPr>
                <w:rStyle w:val="82"/>
                <w:rFonts w:ascii="Times New Roman" w:hAnsi="Times New Roman"/>
                <w:b/>
                <w:bCs/>
                <w:iCs/>
                <w:color w:val="000000"/>
                <w:spacing w:val="-2"/>
              </w:rPr>
            </w:pPr>
          </w:p>
        </w:tc>
        <w:tc>
          <w:tcPr>
            <w:tcW w:w="3960" w:type="dxa"/>
            <w:tcBorders>
              <w:top w:val="single" w:color="auto" w:sz="6" w:space="0"/>
              <w:left w:val="single" w:color="auto" w:sz="6" w:space="0"/>
            </w:tcBorders>
          </w:tcPr>
          <w:p w14:paraId="59BB4CB2">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Address:</w:t>
            </w:r>
          </w:p>
          <w:p w14:paraId="017A249B">
            <w:pPr>
              <w:suppressAutoHyphens/>
              <w:spacing w:before="60" w:after="60"/>
              <w:rPr>
                <w:rStyle w:val="82"/>
                <w:rFonts w:ascii="Times New Roman" w:hAnsi="Times New Roman"/>
                <w:b/>
                <w:bCs/>
                <w:iCs/>
                <w:color w:val="000000"/>
                <w:spacing w:val="-2"/>
              </w:rPr>
            </w:pPr>
          </w:p>
        </w:tc>
        <w:tc>
          <w:tcPr>
            <w:tcW w:w="3690" w:type="dxa"/>
            <w:tcBorders>
              <w:top w:val="single" w:color="auto" w:sz="6" w:space="0"/>
              <w:left w:val="single" w:color="auto" w:sz="6" w:space="0"/>
              <w:right w:val="single" w:color="auto" w:sz="6" w:space="0"/>
            </w:tcBorders>
          </w:tcPr>
          <w:p w14:paraId="45DAFCEA">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E-mail:</w:t>
            </w:r>
          </w:p>
        </w:tc>
      </w:tr>
      <w:tr w14:paraId="22F59416">
        <w:tblPrEx>
          <w:tblCellMar>
            <w:top w:w="0" w:type="dxa"/>
            <w:left w:w="72" w:type="dxa"/>
            <w:bottom w:w="0" w:type="dxa"/>
            <w:right w:w="72" w:type="dxa"/>
          </w:tblCellMar>
        </w:tblPrEx>
        <w:trPr>
          <w:cantSplit/>
        </w:trPr>
        <w:tc>
          <w:tcPr>
            <w:tcW w:w="1440" w:type="dxa"/>
            <w:tcBorders>
              <w:top w:val="single" w:color="auto" w:sz="6" w:space="0"/>
              <w:left w:val="single" w:color="auto" w:sz="6" w:space="0"/>
            </w:tcBorders>
          </w:tcPr>
          <w:p w14:paraId="21308143">
            <w:pPr>
              <w:suppressAutoHyphens/>
              <w:spacing w:before="60" w:after="60"/>
              <w:rPr>
                <w:rStyle w:val="82"/>
                <w:rFonts w:ascii="Times New Roman" w:hAnsi="Times New Roman"/>
                <w:b/>
                <w:bCs/>
                <w:iCs/>
                <w:color w:val="000000"/>
                <w:spacing w:val="-2"/>
              </w:rPr>
            </w:pPr>
          </w:p>
        </w:tc>
        <w:tc>
          <w:tcPr>
            <w:tcW w:w="3960" w:type="dxa"/>
            <w:tcBorders>
              <w:top w:val="single" w:color="auto" w:sz="6" w:space="0"/>
              <w:left w:val="single" w:color="auto" w:sz="6" w:space="0"/>
            </w:tcBorders>
          </w:tcPr>
          <w:p w14:paraId="5CDBBBA2">
            <w:pPr>
              <w:suppressAutoHyphens/>
              <w:spacing w:before="60" w:after="60"/>
              <w:rPr>
                <w:rStyle w:val="82"/>
                <w:rFonts w:ascii="Times New Roman" w:hAnsi="Times New Roman"/>
                <w:b/>
                <w:bCs/>
                <w:iCs/>
                <w:color w:val="000000"/>
                <w:spacing w:val="-2"/>
              </w:rPr>
            </w:pPr>
          </w:p>
        </w:tc>
        <w:tc>
          <w:tcPr>
            <w:tcW w:w="3690" w:type="dxa"/>
            <w:tcBorders>
              <w:top w:val="single" w:color="auto" w:sz="6" w:space="0"/>
              <w:left w:val="single" w:color="auto" w:sz="6" w:space="0"/>
              <w:right w:val="single" w:color="auto" w:sz="6" w:space="0"/>
            </w:tcBorders>
          </w:tcPr>
          <w:p w14:paraId="74BA1CF3">
            <w:pPr>
              <w:suppressAutoHyphens/>
              <w:spacing w:before="60" w:after="60"/>
              <w:rPr>
                <w:rStyle w:val="82"/>
                <w:rFonts w:ascii="Times New Roman" w:hAnsi="Times New Roman"/>
                <w:b/>
                <w:bCs/>
                <w:iCs/>
                <w:color w:val="000000"/>
                <w:spacing w:val="-2"/>
              </w:rPr>
            </w:pPr>
          </w:p>
        </w:tc>
      </w:tr>
      <w:tr w14:paraId="3E710A96">
        <w:tblPrEx>
          <w:tblCellMar>
            <w:top w:w="0" w:type="dxa"/>
            <w:left w:w="72" w:type="dxa"/>
            <w:bottom w:w="0" w:type="dxa"/>
            <w:right w:w="72" w:type="dxa"/>
          </w:tblCellMar>
        </w:tblPrEx>
        <w:trPr>
          <w:cantSplit/>
        </w:trPr>
        <w:tc>
          <w:tcPr>
            <w:tcW w:w="1440" w:type="dxa"/>
            <w:tcBorders>
              <w:left w:val="single" w:color="auto" w:sz="6" w:space="0"/>
            </w:tcBorders>
          </w:tcPr>
          <w:p w14:paraId="423EC292">
            <w:pPr>
              <w:suppressAutoHyphens/>
              <w:spacing w:before="60" w:after="60"/>
              <w:rPr>
                <w:rStyle w:val="82"/>
                <w:rFonts w:ascii="Times New Roman" w:hAnsi="Times New Roman"/>
                <w:b/>
                <w:bCs/>
                <w:iCs/>
                <w:color w:val="000000"/>
                <w:spacing w:val="-2"/>
              </w:rPr>
            </w:pPr>
          </w:p>
        </w:tc>
        <w:tc>
          <w:tcPr>
            <w:tcW w:w="7650" w:type="dxa"/>
            <w:gridSpan w:val="2"/>
            <w:tcBorders>
              <w:top w:val="single" w:color="auto" w:sz="6" w:space="0"/>
              <w:left w:val="single" w:color="auto" w:sz="6" w:space="0"/>
              <w:right w:val="single" w:color="auto" w:sz="6" w:space="0"/>
            </w:tcBorders>
          </w:tcPr>
          <w:p w14:paraId="7CBB25D0">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Professional qualifications:</w:t>
            </w:r>
          </w:p>
          <w:p w14:paraId="32A6A768">
            <w:pPr>
              <w:suppressAutoHyphens/>
              <w:spacing w:before="60" w:after="60"/>
              <w:rPr>
                <w:rStyle w:val="82"/>
                <w:rFonts w:ascii="Times New Roman" w:hAnsi="Times New Roman"/>
                <w:b/>
                <w:bCs/>
                <w:iCs/>
                <w:color w:val="000000"/>
                <w:spacing w:val="-2"/>
              </w:rPr>
            </w:pPr>
          </w:p>
        </w:tc>
      </w:tr>
      <w:tr w14:paraId="1D4CFA8B">
        <w:tblPrEx>
          <w:tblCellMar>
            <w:top w:w="0" w:type="dxa"/>
            <w:left w:w="72" w:type="dxa"/>
            <w:bottom w:w="0" w:type="dxa"/>
            <w:right w:w="72" w:type="dxa"/>
          </w:tblCellMar>
        </w:tblPrEx>
        <w:trPr>
          <w:cantSplit/>
        </w:trPr>
        <w:tc>
          <w:tcPr>
            <w:tcW w:w="1440" w:type="dxa"/>
            <w:tcBorders>
              <w:left w:val="single" w:color="auto" w:sz="6" w:space="0"/>
            </w:tcBorders>
          </w:tcPr>
          <w:p w14:paraId="11AFF31D">
            <w:pPr>
              <w:suppressAutoHyphens/>
              <w:spacing w:before="60" w:after="60"/>
              <w:rPr>
                <w:rStyle w:val="82"/>
                <w:rFonts w:ascii="Times New Roman" w:hAnsi="Times New Roman"/>
                <w:b/>
                <w:bCs/>
                <w:iCs/>
                <w:color w:val="000000"/>
                <w:spacing w:val="-2"/>
              </w:rPr>
            </w:pPr>
          </w:p>
        </w:tc>
        <w:tc>
          <w:tcPr>
            <w:tcW w:w="7650" w:type="dxa"/>
            <w:gridSpan w:val="2"/>
            <w:tcBorders>
              <w:top w:val="single" w:color="auto" w:sz="6" w:space="0"/>
              <w:left w:val="single" w:color="auto" w:sz="6" w:space="0"/>
              <w:right w:val="single" w:color="auto" w:sz="6" w:space="0"/>
            </w:tcBorders>
          </w:tcPr>
          <w:p w14:paraId="260E521D">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Academic qualifications:</w:t>
            </w:r>
          </w:p>
          <w:p w14:paraId="0E70ED51">
            <w:pPr>
              <w:suppressAutoHyphens/>
              <w:spacing w:before="60" w:after="60"/>
              <w:rPr>
                <w:rStyle w:val="82"/>
                <w:rFonts w:ascii="Times New Roman" w:hAnsi="Times New Roman"/>
                <w:b/>
                <w:bCs/>
                <w:iCs/>
                <w:color w:val="000000"/>
                <w:spacing w:val="-2"/>
              </w:rPr>
            </w:pPr>
          </w:p>
        </w:tc>
      </w:tr>
      <w:tr w14:paraId="464191AF">
        <w:tblPrEx>
          <w:tblCellMar>
            <w:top w:w="0" w:type="dxa"/>
            <w:left w:w="72" w:type="dxa"/>
            <w:bottom w:w="0" w:type="dxa"/>
            <w:right w:w="72" w:type="dxa"/>
          </w:tblCellMar>
        </w:tblPrEx>
        <w:trPr>
          <w:cantSplit/>
        </w:trPr>
        <w:tc>
          <w:tcPr>
            <w:tcW w:w="1440" w:type="dxa"/>
            <w:tcBorders>
              <w:left w:val="single" w:color="auto" w:sz="6" w:space="0"/>
            </w:tcBorders>
          </w:tcPr>
          <w:p w14:paraId="2D34703A">
            <w:pPr>
              <w:suppressAutoHyphens/>
              <w:spacing w:before="60" w:after="60"/>
              <w:rPr>
                <w:rStyle w:val="82"/>
                <w:rFonts w:ascii="Times New Roman" w:hAnsi="Times New Roman"/>
                <w:b/>
                <w:bCs/>
                <w:iCs/>
                <w:color w:val="000000"/>
                <w:spacing w:val="-2"/>
              </w:rPr>
            </w:pPr>
          </w:p>
        </w:tc>
        <w:tc>
          <w:tcPr>
            <w:tcW w:w="7650" w:type="dxa"/>
            <w:gridSpan w:val="2"/>
            <w:tcBorders>
              <w:top w:val="single" w:color="auto" w:sz="6" w:space="0"/>
              <w:left w:val="single" w:color="auto" w:sz="6" w:space="0"/>
              <w:right w:val="single" w:color="auto" w:sz="6" w:space="0"/>
            </w:tcBorders>
          </w:tcPr>
          <w:p w14:paraId="4FC230B8">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Language proficiency:</w:t>
            </w:r>
            <w:r>
              <w:rPr>
                <w:rStyle w:val="82"/>
                <w:rFonts w:ascii="Times New Roman" w:hAnsi="Times New Roman"/>
                <w:bCs/>
                <w:i/>
                <w:iCs/>
                <w:color w:val="000000"/>
                <w:spacing w:val="-2"/>
              </w:rPr>
              <w:t xml:space="preserve"> [language and levels of speaking, reading and writing skills] </w:t>
            </w:r>
          </w:p>
          <w:p w14:paraId="67D3DFE7">
            <w:pPr>
              <w:suppressAutoHyphens/>
              <w:spacing w:before="60" w:after="60"/>
              <w:rPr>
                <w:rStyle w:val="82"/>
                <w:rFonts w:ascii="Times New Roman" w:hAnsi="Times New Roman"/>
                <w:b/>
                <w:bCs/>
                <w:iCs/>
                <w:color w:val="000000"/>
                <w:spacing w:val="-2"/>
              </w:rPr>
            </w:pPr>
          </w:p>
        </w:tc>
      </w:tr>
      <w:tr w14:paraId="147A0F70">
        <w:tblPrEx>
          <w:tblCellMar>
            <w:top w:w="0" w:type="dxa"/>
            <w:left w:w="72" w:type="dxa"/>
            <w:bottom w:w="0" w:type="dxa"/>
            <w:right w:w="72" w:type="dxa"/>
          </w:tblCellMar>
        </w:tblPrEx>
        <w:trPr>
          <w:cantSplit/>
        </w:trPr>
        <w:tc>
          <w:tcPr>
            <w:tcW w:w="1440" w:type="dxa"/>
            <w:tcBorders>
              <w:top w:val="single" w:color="auto" w:sz="6" w:space="0"/>
              <w:left w:val="single" w:color="auto" w:sz="6" w:space="0"/>
            </w:tcBorders>
          </w:tcPr>
          <w:p w14:paraId="5C7ECE93">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details</w:t>
            </w:r>
          </w:p>
        </w:tc>
        <w:tc>
          <w:tcPr>
            <w:tcW w:w="7650" w:type="dxa"/>
            <w:gridSpan w:val="2"/>
            <w:tcBorders>
              <w:top w:val="single" w:color="auto" w:sz="6" w:space="0"/>
              <w:left w:val="single" w:color="auto" w:sz="6" w:space="0"/>
              <w:right w:val="single" w:color="auto" w:sz="6" w:space="0"/>
            </w:tcBorders>
          </w:tcPr>
          <w:p w14:paraId="07C7BBBE">
            <w:pPr>
              <w:suppressAutoHyphens/>
              <w:spacing w:before="60" w:after="60"/>
              <w:rPr>
                <w:rStyle w:val="82"/>
                <w:rFonts w:ascii="Times New Roman" w:hAnsi="Times New Roman"/>
                <w:b/>
                <w:bCs/>
                <w:iCs/>
                <w:color w:val="000000"/>
                <w:spacing w:val="-2"/>
              </w:rPr>
            </w:pPr>
          </w:p>
        </w:tc>
      </w:tr>
      <w:tr w14:paraId="7DEDCFC9">
        <w:tblPrEx>
          <w:tblCellMar>
            <w:top w:w="0" w:type="dxa"/>
            <w:left w:w="72" w:type="dxa"/>
            <w:bottom w:w="0" w:type="dxa"/>
            <w:right w:w="72" w:type="dxa"/>
          </w:tblCellMar>
        </w:tblPrEx>
        <w:trPr>
          <w:cantSplit/>
        </w:trPr>
        <w:tc>
          <w:tcPr>
            <w:tcW w:w="1440" w:type="dxa"/>
            <w:tcBorders>
              <w:left w:val="single" w:color="auto" w:sz="6" w:space="0"/>
            </w:tcBorders>
          </w:tcPr>
          <w:p w14:paraId="29AF03FF">
            <w:pPr>
              <w:suppressAutoHyphens/>
              <w:spacing w:before="60" w:after="60"/>
              <w:rPr>
                <w:rStyle w:val="82"/>
                <w:rFonts w:ascii="Times New Roman" w:hAnsi="Times New Roman"/>
                <w:b/>
                <w:bCs/>
                <w:iCs/>
                <w:color w:val="000000"/>
                <w:spacing w:val="-2"/>
              </w:rPr>
            </w:pPr>
          </w:p>
        </w:tc>
        <w:tc>
          <w:tcPr>
            <w:tcW w:w="7650" w:type="dxa"/>
            <w:gridSpan w:val="2"/>
            <w:tcBorders>
              <w:top w:val="single" w:color="auto" w:sz="6" w:space="0"/>
              <w:left w:val="single" w:color="auto" w:sz="6" w:space="0"/>
              <w:right w:val="single" w:color="auto" w:sz="6" w:space="0"/>
            </w:tcBorders>
          </w:tcPr>
          <w:p w14:paraId="3A390BFA">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Address of employer:</w:t>
            </w:r>
          </w:p>
          <w:p w14:paraId="398D5475">
            <w:pPr>
              <w:suppressAutoHyphens/>
              <w:spacing w:before="60" w:after="60"/>
              <w:rPr>
                <w:rStyle w:val="82"/>
                <w:rFonts w:ascii="Times New Roman" w:hAnsi="Times New Roman"/>
                <w:b/>
                <w:bCs/>
                <w:iCs/>
                <w:color w:val="000000"/>
                <w:spacing w:val="-2"/>
              </w:rPr>
            </w:pPr>
          </w:p>
        </w:tc>
      </w:tr>
      <w:tr w14:paraId="72A279D6">
        <w:tblPrEx>
          <w:tblCellMar>
            <w:top w:w="0" w:type="dxa"/>
            <w:left w:w="72" w:type="dxa"/>
            <w:bottom w:w="0" w:type="dxa"/>
            <w:right w:w="72" w:type="dxa"/>
          </w:tblCellMar>
        </w:tblPrEx>
        <w:trPr>
          <w:cantSplit/>
        </w:trPr>
        <w:tc>
          <w:tcPr>
            <w:tcW w:w="1440" w:type="dxa"/>
            <w:tcBorders>
              <w:left w:val="single" w:color="auto" w:sz="6" w:space="0"/>
            </w:tcBorders>
          </w:tcPr>
          <w:p w14:paraId="27495692">
            <w:pPr>
              <w:suppressAutoHyphens/>
              <w:spacing w:before="60" w:after="60"/>
              <w:rPr>
                <w:rStyle w:val="82"/>
                <w:rFonts w:ascii="Times New Roman" w:hAnsi="Times New Roman"/>
                <w:b/>
                <w:bCs/>
                <w:iCs/>
                <w:color w:val="000000"/>
                <w:spacing w:val="-2"/>
              </w:rPr>
            </w:pPr>
          </w:p>
        </w:tc>
        <w:tc>
          <w:tcPr>
            <w:tcW w:w="3960" w:type="dxa"/>
            <w:tcBorders>
              <w:top w:val="single" w:color="auto" w:sz="6" w:space="0"/>
              <w:left w:val="single" w:color="auto" w:sz="6" w:space="0"/>
            </w:tcBorders>
          </w:tcPr>
          <w:p w14:paraId="438ADEF4">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Telephone:</w:t>
            </w:r>
          </w:p>
          <w:p w14:paraId="41980E28">
            <w:pPr>
              <w:suppressAutoHyphens/>
              <w:spacing w:before="60" w:after="60"/>
              <w:rPr>
                <w:rStyle w:val="82"/>
                <w:rFonts w:ascii="Times New Roman" w:hAnsi="Times New Roman"/>
                <w:b/>
                <w:bCs/>
                <w:iCs/>
                <w:color w:val="000000"/>
                <w:spacing w:val="-2"/>
              </w:rPr>
            </w:pPr>
          </w:p>
        </w:tc>
        <w:tc>
          <w:tcPr>
            <w:tcW w:w="3690" w:type="dxa"/>
            <w:tcBorders>
              <w:top w:val="single" w:color="auto" w:sz="6" w:space="0"/>
              <w:left w:val="single" w:color="auto" w:sz="6" w:space="0"/>
              <w:right w:val="single" w:color="auto" w:sz="6" w:space="0"/>
            </w:tcBorders>
          </w:tcPr>
          <w:p w14:paraId="0163F45E">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Contact (manager / personnel officer):</w:t>
            </w:r>
          </w:p>
        </w:tc>
      </w:tr>
      <w:tr w14:paraId="014E1B63">
        <w:tblPrEx>
          <w:tblCellMar>
            <w:top w:w="0" w:type="dxa"/>
            <w:left w:w="72" w:type="dxa"/>
            <w:bottom w:w="0" w:type="dxa"/>
            <w:right w:w="72" w:type="dxa"/>
          </w:tblCellMar>
        </w:tblPrEx>
        <w:trPr>
          <w:cantSplit/>
        </w:trPr>
        <w:tc>
          <w:tcPr>
            <w:tcW w:w="1440" w:type="dxa"/>
            <w:tcBorders>
              <w:left w:val="single" w:color="auto" w:sz="6" w:space="0"/>
            </w:tcBorders>
          </w:tcPr>
          <w:p w14:paraId="5E28EFB7">
            <w:pPr>
              <w:suppressAutoHyphens/>
              <w:spacing w:before="60" w:after="60"/>
              <w:rPr>
                <w:rStyle w:val="82"/>
                <w:rFonts w:ascii="Times New Roman" w:hAnsi="Times New Roman"/>
                <w:b/>
                <w:bCs/>
                <w:iCs/>
                <w:color w:val="000000"/>
                <w:spacing w:val="-2"/>
              </w:rPr>
            </w:pPr>
          </w:p>
        </w:tc>
        <w:tc>
          <w:tcPr>
            <w:tcW w:w="3960" w:type="dxa"/>
            <w:tcBorders>
              <w:top w:val="single" w:color="auto" w:sz="6" w:space="0"/>
              <w:left w:val="single" w:color="auto" w:sz="6" w:space="0"/>
            </w:tcBorders>
          </w:tcPr>
          <w:p w14:paraId="6381374A">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Fax:</w:t>
            </w:r>
          </w:p>
          <w:p w14:paraId="6F32FCBA">
            <w:pPr>
              <w:suppressAutoHyphens/>
              <w:spacing w:before="60" w:after="60"/>
              <w:rPr>
                <w:rStyle w:val="82"/>
                <w:rFonts w:ascii="Times New Roman" w:hAnsi="Times New Roman"/>
                <w:b/>
                <w:bCs/>
                <w:iCs/>
                <w:color w:val="000000"/>
                <w:spacing w:val="-2"/>
              </w:rPr>
            </w:pPr>
          </w:p>
        </w:tc>
        <w:tc>
          <w:tcPr>
            <w:tcW w:w="3690" w:type="dxa"/>
            <w:tcBorders>
              <w:top w:val="single" w:color="auto" w:sz="6" w:space="0"/>
              <w:left w:val="single" w:color="auto" w:sz="6" w:space="0"/>
              <w:right w:val="single" w:color="auto" w:sz="6" w:space="0"/>
            </w:tcBorders>
          </w:tcPr>
          <w:p w14:paraId="12166C86">
            <w:pPr>
              <w:suppressAutoHyphens/>
              <w:spacing w:before="60" w:after="60"/>
              <w:rPr>
                <w:rStyle w:val="82"/>
                <w:rFonts w:ascii="Times New Roman" w:hAnsi="Times New Roman"/>
                <w:b/>
                <w:bCs/>
                <w:iCs/>
                <w:color w:val="000000"/>
                <w:spacing w:val="-2"/>
              </w:rPr>
            </w:pPr>
          </w:p>
        </w:tc>
      </w:tr>
      <w:tr w14:paraId="23DF4151">
        <w:tblPrEx>
          <w:tblCellMar>
            <w:top w:w="0" w:type="dxa"/>
            <w:left w:w="72" w:type="dxa"/>
            <w:bottom w:w="0" w:type="dxa"/>
            <w:right w:w="72" w:type="dxa"/>
          </w:tblCellMar>
        </w:tblPrEx>
        <w:trPr>
          <w:cantSplit/>
        </w:trPr>
        <w:tc>
          <w:tcPr>
            <w:tcW w:w="1440" w:type="dxa"/>
            <w:tcBorders>
              <w:left w:val="single" w:color="auto" w:sz="6" w:space="0"/>
              <w:bottom w:val="single" w:color="auto" w:sz="6" w:space="0"/>
            </w:tcBorders>
          </w:tcPr>
          <w:p w14:paraId="2C7D5C1D">
            <w:pPr>
              <w:suppressAutoHyphens/>
              <w:spacing w:before="60" w:after="60"/>
              <w:rPr>
                <w:rStyle w:val="82"/>
                <w:rFonts w:ascii="Times New Roman" w:hAnsi="Times New Roman"/>
                <w:b/>
                <w:bCs/>
                <w:iCs/>
                <w:color w:val="000000"/>
                <w:spacing w:val="-2"/>
              </w:rPr>
            </w:pPr>
          </w:p>
        </w:tc>
        <w:tc>
          <w:tcPr>
            <w:tcW w:w="3960" w:type="dxa"/>
            <w:tcBorders>
              <w:top w:val="single" w:color="auto" w:sz="6" w:space="0"/>
              <w:left w:val="single" w:color="auto" w:sz="6" w:space="0"/>
              <w:bottom w:val="single" w:color="auto" w:sz="6" w:space="0"/>
            </w:tcBorders>
          </w:tcPr>
          <w:p w14:paraId="60439263">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Job title:</w:t>
            </w:r>
          </w:p>
          <w:p w14:paraId="1B53BABE">
            <w:pPr>
              <w:suppressAutoHyphens/>
              <w:spacing w:before="60" w:after="60"/>
              <w:rPr>
                <w:rStyle w:val="82"/>
                <w:rFonts w:ascii="Times New Roman" w:hAnsi="Times New Roman"/>
                <w:b/>
                <w:bCs/>
                <w:iCs/>
                <w:color w:val="000000"/>
                <w:spacing w:val="-2"/>
              </w:rPr>
            </w:pPr>
          </w:p>
        </w:tc>
        <w:tc>
          <w:tcPr>
            <w:tcW w:w="3690" w:type="dxa"/>
            <w:tcBorders>
              <w:top w:val="single" w:color="auto" w:sz="6" w:space="0"/>
              <w:left w:val="single" w:color="auto" w:sz="6" w:space="0"/>
              <w:bottom w:val="single" w:color="auto" w:sz="6" w:space="0"/>
              <w:right w:val="single" w:color="auto" w:sz="6" w:space="0"/>
            </w:tcBorders>
          </w:tcPr>
          <w:p w14:paraId="762FD3DA">
            <w:pPr>
              <w:suppressAutoHyphens/>
              <w:spacing w:before="60" w:after="60"/>
              <w:rPr>
                <w:rStyle w:val="82"/>
                <w:rFonts w:ascii="Times New Roman" w:hAnsi="Times New Roman"/>
                <w:b/>
                <w:bCs/>
                <w:iCs/>
                <w:color w:val="000000"/>
                <w:spacing w:val="-2"/>
              </w:rPr>
            </w:pPr>
            <w:r>
              <w:rPr>
                <w:rStyle w:val="82"/>
                <w:rFonts w:ascii="Times New Roman" w:hAnsi="Times New Roman"/>
                <w:b/>
                <w:bCs/>
                <w:iCs/>
                <w:color w:val="000000"/>
                <w:spacing w:val="-2"/>
              </w:rPr>
              <w:t>Years with present employer:</w:t>
            </w:r>
          </w:p>
        </w:tc>
      </w:tr>
    </w:tbl>
    <w:p w14:paraId="46D9824A">
      <w:pPr>
        <w:suppressAutoHyphens/>
        <w:spacing w:before="120" w:after="120"/>
        <w:rPr>
          <w:rStyle w:val="82"/>
          <w:rFonts w:ascii="Times New Roman" w:hAnsi="Times New Roman"/>
          <w:iCs/>
          <w:color w:val="000000"/>
          <w:spacing w:val="-2"/>
        </w:rPr>
      </w:pPr>
      <w:r>
        <w:rPr>
          <w:rStyle w:val="82"/>
          <w:rFonts w:ascii="Times New Roman" w:hAnsi="Times New Roman"/>
          <w:iCs/>
          <w:color w:val="000000"/>
          <w:spacing w:val="-2"/>
        </w:rPr>
        <w:t>Summarize professional experience in reverse chronological order. Indicate particular technical and managerial experience relevant to the project.</w:t>
      </w:r>
    </w:p>
    <w:tbl>
      <w:tblPr>
        <w:tblStyle w:val="12"/>
        <w:tblW w:w="0" w:type="auto"/>
        <w:tblInd w:w="72" w:type="dxa"/>
        <w:tblLayout w:type="fixed"/>
        <w:tblCellMar>
          <w:top w:w="0" w:type="dxa"/>
          <w:left w:w="72" w:type="dxa"/>
          <w:bottom w:w="0" w:type="dxa"/>
          <w:right w:w="72" w:type="dxa"/>
        </w:tblCellMar>
      </w:tblPr>
      <w:tblGrid>
        <w:gridCol w:w="1080"/>
        <w:gridCol w:w="2260"/>
        <w:gridCol w:w="1440"/>
        <w:gridCol w:w="4230"/>
      </w:tblGrid>
      <w:tr w14:paraId="607E13F8">
        <w:tblPrEx>
          <w:tblCellMar>
            <w:top w:w="0" w:type="dxa"/>
            <w:left w:w="72" w:type="dxa"/>
            <w:bottom w:w="0" w:type="dxa"/>
            <w:right w:w="72" w:type="dxa"/>
          </w:tblCellMar>
        </w:tblPrEx>
        <w:trPr>
          <w:cantSplit/>
        </w:trPr>
        <w:tc>
          <w:tcPr>
            <w:tcW w:w="1080" w:type="dxa"/>
            <w:tcBorders>
              <w:top w:val="single" w:color="auto" w:sz="6" w:space="0"/>
              <w:left w:val="single" w:color="auto" w:sz="6" w:space="0"/>
            </w:tcBorders>
            <w:vAlign w:val="center"/>
          </w:tcPr>
          <w:p w14:paraId="21681DC3">
            <w:pPr>
              <w:suppressAutoHyphens/>
              <w:spacing w:before="60" w:after="60"/>
              <w:jc w:val="center"/>
              <w:rPr>
                <w:rStyle w:val="82"/>
                <w:rFonts w:ascii="Times New Roman" w:hAnsi="Times New Roman"/>
                <w:b/>
                <w:bCs/>
                <w:iCs/>
                <w:color w:val="000000"/>
                <w:spacing w:val="-2"/>
              </w:rPr>
            </w:pPr>
            <w:r>
              <w:rPr>
                <w:rStyle w:val="82"/>
                <w:rFonts w:ascii="Times New Roman" w:hAnsi="Times New Roman"/>
                <w:b/>
                <w:bCs/>
                <w:iCs/>
                <w:color w:val="000000"/>
                <w:spacing w:val="-2"/>
              </w:rPr>
              <w:t xml:space="preserve">Project </w:t>
            </w:r>
          </w:p>
        </w:tc>
        <w:tc>
          <w:tcPr>
            <w:tcW w:w="2260" w:type="dxa"/>
            <w:tcBorders>
              <w:top w:val="single" w:color="auto" w:sz="6" w:space="0"/>
              <w:left w:val="single" w:color="auto" w:sz="6" w:space="0"/>
            </w:tcBorders>
            <w:vAlign w:val="center"/>
          </w:tcPr>
          <w:p w14:paraId="324A8341">
            <w:pPr>
              <w:suppressAutoHyphens/>
              <w:spacing w:before="60" w:after="60"/>
              <w:jc w:val="center"/>
              <w:rPr>
                <w:rStyle w:val="82"/>
                <w:rFonts w:ascii="Times New Roman" w:hAnsi="Times New Roman"/>
                <w:b/>
                <w:bCs/>
                <w:iCs/>
                <w:color w:val="000000"/>
                <w:spacing w:val="-2"/>
              </w:rPr>
            </w:pPr>
            <w:r>
              <w:rPr>
                <w:rStyle w:val="82"/>
                <w:rFonts w:ascii="Times New Roman" w:hAnsi="Times New Roman"/>
                <w:b/>
                <w:bCs/>
                <w:iCs/>
                <w:color w:val="000000"/>
                <w:spacing w:val="-2"/>
              </w:rPr>
              <w:t>Role</w:t>
            </w:r>
          </w:p>
        </w:tc>
        <w:tc>
          <w:tcPr>
            <w:tcW w:w="1440" w:type="dxa"/>
            <w:tcBorders>
              <w:top w:val="single" w:color="auto" w:sz="6" w:space="0"/>
              <w:left w:val="single" w:color="auto" w:sz="6" w:space="0"/>
            </w:tcBorders>
            <w:vAlign w:val="center"/>
          </w:tcPr>
          <w:p w14:paraId="6F9A1E0A">
            <w:pPr>
              <w:suppressAutoHyphens/>
              <w:spacing w:before="60" w:after="60"/>
              <w:jc w:val="center"/>
              <w:rPr>
                <w:rStyle w:val="82"/>
                <w:rFonts w:ascii="Times New Roman" w:hAnsi="Times New Roman"/>
                <w:b/>
                <w:bCs/>
                <w:iCs/>
                <w:color w:val="000000"/>
                <w:spacing w:val="-2"/>
              </w:rPr>
            </w:pPr>
            <w:r>
              <w:rPr>
                <w:rStyle w:val="82"/>
                <w:rFonts w:ascii="Times New Roman" w:hAnsi="Times New Roman"/>
                <w:b/>
                <w:bCs/>
                <w:iCs/>
                <w:color w:val="000000"/>
                <w:spacing w:val="-2"/>
              </w:rPr>
              <w:t>Duration of involvement</w:t>
            </w:r>
          </w:p>
        </w:tc>
        <w:tc>
          <w:tcPr>
            <w:tcW w:w="4230" w:type="dxa"/>
            <w:tcBorders>
              <w:top w:val="single" w:color="auto" w:sz="6" w:space="0"/>
              <w:left w:val="single" w:color="auto" w:sz="6" w:space="0"/>
              <w:right w:val="single" w:color="auto" w:sz="6" w:space="0"/>
            </w:tcBorders>
            <w:vAlign w:val="center"/>
          </w:tcPr>
          <w:p w14:paraId="067F6624">
            <w:pPr>
              <w:suppressAutoHyphens/>
              <w:spacing w:before="60" w:after="60"/>
              <w:jc w:val="center"/>
              <w:rPr>
                <w:rStyle w:val="82"/>
                <w:rFonts w:ascii="Times New Roman" w:hAnsi="Times New Roman"/>
                <w:b/>
                <w:bCs/>
                <w:iCs/>
                <w:color w:val="000000"/>
                <w:spacing w:val="-2"/>
              </w:rPr>
            </w:pPr>
            <w:r>
              <w:rPr>
                <w:rStyle w:val="82"/>
                <w:rFonts w:ascii="Times New Roman" w:hAnsi="Times New Roman"/>
                <w:b/>
                <w:bCs/>
                <w:iCs/>
                <w:color w:val="000000"/>
                <w:spacing w:val="-2"/>
              </w:rPr>
              <w:t>Relevant experience</w:t>
            </w:r>
          </w:p>
        </w:tc>
      </w:tr>
      <w:tr w14:paraId="75E91DAA">
        <w:tblPrEx>
          <w:tblCellMar>
            <w:top w:w="0" w:type="dxa"/>
            <w:left w:w="72" w:type="dxa"/>
            <w:bottom w:w="0" w:type="dxa"/>
            <w:right w:w="72" w:type="dxa"/>
          </w:tblCellMar>
        </w:tblPrEx>
        <w:trPr>
          <w:cantSplit/>
        </w:trPr>
        <w:tc>
          <w:tcPr>
            <w:tcW w:w="1080" w:type="dxa"/>
            <w:tcBorders>
              <w:top w:val="single" w:color="auto" w:sz="6" w:space="0"/>
              <w:left w:val="single" w:color="auto" w:sz="6" w:space="0"/>
            </w:tcBorders>
            <w:vAlign w:val="center"/>
          </w:tcPr>
          <w:p w14:paraId="5FD10754">
            <w:pPr>
              <w:suppressAutoHyphens/>
              <w:spacing w:before="60" w:after="60"/>
              <w:rPr>
                <w:rStyle w:val="82"/>
                <w:rFonts w:ascii="Times New Roman" w:hAnsi="Times New Roman"/>
                <w:bCs/>
                <w:i/>
                <w:iCs/>
                <w:color w:val="000000"/>
                <w:spacing w:val="-2"/>
              </w:rPr>
            </w:pPr>
            <w:r>
              <w:rPr>
                <w:rStyle w:val="82"/>
                <w:rFonts w:ascii="Times New Roman" w:hAnsi="Times New Roman"/>
                <w:bCs/>
                <w:i/>
                <w:iCs/>
                <w:color w:val="000000"/>
                <w:spacing w:val="-2"/>
              </w:rPr>
              <w:t>[main project details]</w:t>
            </w:r>
          </w:p>
        </w:tc>
        <w:tc>
          <w:tcPr>
            <w:tcW w:w="2260" w:type="dxa"/>
            <w:tcBorders>
              <w:top w:val="single" w:color="auto" w:sz="6" w:space="0"/>
              <w:left w:val="single" w:color="auto" w:sz="6" w:space="0"/>
            </w:tcBorders>
            <w:vAlign w:val="center"/>
          </w:tcPr>
          <w:p w14:paraId="7113137B">
            <w:pPr>
              <w:suppressAutoHyphens/>
              <w:spacing w:before="60" w:after="60"/>
              <w:rPr>
                <w:rStyle w:val="82"/>
                <w:rFonts w:ascii="Times New Roman" w:hAnsi="Times New Roman"/>
                <w:bCs/>
                <w:i/>
                <w:iCs/>
                <w:color w:val="000000"/>
                <w:spacing w:val="-2"/>
              </w:rPr>
            </w:pPr>
            <w:r>
              <w:rPr>
                <w:rStyle w:val="82"/>
                <w:rFonts w:ascii="Times New Roman" w:hAnsi="Times New Roman"/>
                <w:bCs/>
                <w:i/>
                <w:iCs/>
                <w:color w:val="000000"/>
                <w:spacing w:val="-2"/>
              </w:rPr>
              <w:t>[role and responsibilities on the project]</w:t>
            </w:r>
          </w:p>
        </w:tc>
        <w:tc>
          <w:tcPr>
            <w:tcW w:w="1440" w:type="dxa"/>
            <w:tcBorders>
              <w:top w:val="single" w:color="auto" w:sz="6" w:space="0"/>
              <w:left w:val="single" w:color="auto" w:sz="6" w:space="0"/>
            </w:tcBorders>
            <w:vAlign w:val="center"/>
          </w:tcPr>
          <w:p w14:paraId="03DF3A17">
            <w:pPr>
              <w:suppressAutoHyphens/>
              <w:spacing w:before="60" w:after="60"/>
              <w:rPr>
                <w:rStyle w:val="82"/>
                <w:rFonts w:ascii="Times New Roman" w:hAnsi="Times New Roman"/>
                <w:bCs/>
                <w:i/>
                <w:iCs/>
                <w:color w:val="000000"/>
                <w:spacing w:val="-2"/>
              </w:rPr>
            </w:pPr>
            <w:r>
              <w:rPr>
                <w:rStyle w:val="82"/>
                <w:rFonts w:ascii="Times New Roman" w:hAnsi="Times New Roman"/>
                <w:bCs/>
                <w:i/>
                <w:iCs/>
                <w:color w:val="000000"/>
                <w:spacing w:val="-2"/>
              </w:rPr>
              <w:t>[time in role]</w:t>
            </w:r>
          </w:p>
        </w:tc>
        <w:tc>
          <w:tcPr>
            <w:tcW w:w="4230" w:type="dxa"/>
            <w:tcBorders>
              <w:top w:val="single" w:color="auto" w:sz="6" w:space="0"/>
              <w:left w:val="single" w:color="auto" w:sz="6" w:space="0"/>
              <w:right w:val="single" w:color="auto" w:sz="6" w:space="0"/>
            </w:tcBorders>
            <w:vAlign w:val="center"/>
          </w:tcPr>
          <w:p w14:paraId="25C4471E">
            <w:pPr>
              <w:suppressAutoHyphens/>
              <w:spacing w:before="60" w:after="60"/>
              <w:rPr>
                <w:rStyle w:val="82"/>
                <w:rFonts w:ascii="Times New Roman" w:hAnsi="Times New Roman"/>
                <w:i/>
                <w:color w:val="000000"/>
                <w:spacing w:val="-2"/>
              </w:rPr>
            </w:pPr>
            <w:r>
              <w:rPr>
                <w:rStyle w:val="82"/>
                <w:rFonts w:ascii="Times New Roman" w:hAnsi="Times New Roman"/>
                <w:i/>
                <w:color w:val="000000"/>
                <w:spacing w:val="-2"/>
              </w:rPr>
              <w:t xml:space="preserve">[describe the experience relevant to this position] </w:t>
            </w:r>
          </w:p>
        </w:tc>
      </w:tr>
      <w:tr w14:paraId="1ED7FBC3">
        <w:tblPrEx>
          <w:tblCellMar>
            <w:top w:w="0" w:type="dxa"/>
            <w:left w:w="72" w:type="dxa"/>
            <w:bottom w:w="0" w:type="dxa"/>
            <w:right w:w="72" w:type="dxa"/>
          </w:tblCellMar>
        </w:tblPrEx>
        <w:trPr>
          <w:cantSplit/>
        </w:trPr>
        <w:tc>
          <w:tcPr>
            <w:tcW w:w="1080" w:type="dxa"/>
            <w:tcBorders>
              <w:top w:val="single" w:color="auto" w:sz="6" w:space="0"/>
              <w:left w:val="single" w:color="auto" w:sz="6" w:space="0"/>
            </w:tcBorders>
            <w:vAlign w:val="center"/>
          </w:tcPr>
          <w:p w14:paraId="0B2405D0">
            <w:pPr>
              <w:suppressAutoHyphens/>
              <w:spacing w:before="60" w:after="60"/>
              <w:rPr>
                <w:rStyle w:val="82"/>
                <w:rFonts w:ascii="Times New Roman" w:hAnsi="Times New Roman"/>
                <w:i/>
                <w:color w:val="000000"/>
                <w:spacing w:val="-2"/>
              </w:rPr>
            </w:pPr>
          </w:p>
        </w:tc>
        <w:tc>
          <w:tcPr>
            <w:tcW w:w="2260" w:type="dxa"/>
            <w:tcBorders>
              <w:top w:val="single" w:color="auto" w:sz="6" w:space="0"/>
              <w:left w:val="single" w:color="auto" w:sz="6" w:space="0"/>
            </w:tcBorders>
            <w:vAlign w:val="center"/>
          </w:tcPr>
          <w:p w14:paraId="7FFFA432">
            <w:pPr>
              <w:suppressAutoHyphens/>
              <w:spacing w:before="60" w:after="60"/>
              <w:rPr>
                <w:rStyle w:val="82"/>
                <w:rFonts w:ascii="Times New Roman" w:hAnsi="Times New Roman"/>
                <w:i/>
                <w:color w:val="000000"/>
                <w:spacing w:val="-2"/>
              </w:rPr>
            </w:pPr>
          </w:p>
        </w:tc>
        <w:tc>
          <w:tcPr>
            <w:tcW w:w="1440" w:type="dxa"/>
            <w:tcBorders>
              <w:top w:val="single" w:color="auto" w:sz="6" w:space="0"/>
              <w:left w:val="single" w:color="auto" w:sz="6" w:space="0"/>
            </w:tcBorders>
            <w:vAlign w:val="center"/>
          </w:tcPr>
          <w:p w14:paraId="0D4B15BE">
            <w:pPr>
              <w:suppressAutoHyphens/>
              <w:spacing w:before="60" w:after="60"/>
              <w:rPr>
                <w:rStyle w:val="82"/>
                <w:rFonts w:ascii="Times New Roman" w:hAnsi="Times New Roman"/>
                <w:i/>
                <w:color w:val="000000"/>
                <w:spacing w:val="-2"/>
              </w:rPr>
            </w:pPr>
          </w:p>
        </w:tc>
        <w:tc>
          <w:tcPr>
            <w:tcW w:w="4230" w:type="dxa"/>
            <w:tcBorders>
              <w:top w:val="single" w:color="auto" w:sz="6" w:space="0"/>
              <w:left w:val="single" w:color="auto" w:sz="6" w:space="0"/>
              <w:right w:val="single" w:color="auto" w:sz="6" w:space="0"/>
            </w:tcBorders>
            <w:vAlign w:val="center"/>
          </w:tcPr>
          <w:p w14:paraId="148DCC01">
            <w:pPr>
              <w:suppressAutoHyphens/>
              <w:spacing w:before="60" w:after="60"/>
              <w:rPr>
                <w:rStyle w:val="82"/>
                <w:rFonts w:ascii="Times New Roman" w:hAnsi="Times New Roman"/>
                <w:i/>
                <w:color w:val="000000"/>
                <w:spacing w:val="-2"/>
              </w:rPr>
            </w:pPr>
          </w:p>
        </w:tc>
      </w:tr>
      <w:tr w14:paraId="0A8516A9">
        <w:tblPrEx>
          <w:tblCellMar>
            <w:top w:w="0" w:type="dxa"/>
            <w:left w:w="72" w:type="dxa"/>
            <w:bottom w:w="0" w:type="dxa"/>
            <w:right w:w="72" w:type="dxa"/>
          </w:tblCellMar>
        </w:tblPrEx>
        <w:trPr>
          <w:cantSplit/>
        </w:trPr>
        <w:tc>
          <w:tcPr>
            <w:tcW w:w="1080" w:type="dxa"/>
            <w:tcBorders>
              <w:top w:val="dotted" w:color="auto" w:sz="4" w:space="0"/>
              <w:left w:val="single" w:color="auto" w:sz="6" w:space="0"/>
            </w:tcBorders>
            <w:vAlign w:val="center"/>
          </w:tcPr>
          <w:p w14:paraId="5EE2208F">
            <w:pPr>
              <w:suppressAutoHyphens/>
              <w:spacing w:before="60" w:after="60"/>
              <w:rPr>
                <w:rStyle w:val="82"/>
                <w:rFonts w:ascii="Times New Roman" w:hAnsi="Times New Roman"/>
                <w:i/>
                <w:color w:val="000000"/>
                <w:spacing w:val="-2"/>
              </w:rPr>
            </w:pPr>
          </w:p>
        </w:tc>
        <w:tc>
          <w:tcPr>
            <w:tcW w:w="2260" w:type="dxa"/>
            <w:tcBorders>
              <w:top w:val="dotted" w:color="auto" w:sz="4" w:space="0"/>
              <w:left w:val="single" w:color="auto" w:sz="6" w:space="0"/>
            </w:tcBorders>
            <w:vAlign w:val="center"/>
          </w:tcPr>
          <w:p w14:paraId="2407FB0C">
            <w:pPr>
              <w:suppressAutoHyphens/>
              <w:spacing w:before="60" w:after="60"/>
              <w:rPr>
                <w:rStyle w:val="82"/>
                <w:rFonts w:ascii="Times New Roman" w:hAnsi="Times New Roman"/>
                <w:i/>
                <w:color w:val="000000"/>
                <w:spacing w:val="-2"/>
              </w:rPr>
            </w:pPr>
          </w:p>
        </w:tc>
        <w:tc>
          <w:tcPr>
            <w:tcW w:w="1440" w:type="dxa"/>
            <w:tcBorders>
              <w:top w:val="dotted" w:color="auto" w:sz="4" w:space="0"/>
              <w:left w:val="single" w:color="auto" w:sz="6" w:space="0"/>
            </w:tcBorders>
            <w:vAlign w:val="center"/>
          </w:tcPr>
          <w:p w14:paraId="6136C0D1">
            <w:pPr>
              <w:suppressAutoHyphens/>
              <w:spacing w:before="60" w:after="60"/>
              <w:rPr>
                <w:rStyle w:val="82"/>
                <w:rFonts w:ascii="Times New Roman" w:hAnsi="Times New Roman"/>
                <w:i/>
                <w:color w:val="000000"/>
                <w:spacing w:val="-2"/>
              </w:rPr>
            </w:pPr>
          </w:p>
        </w:tc>
        <w:tc>
          <w:tcPr>
            <w:tcW w:w="4230" w:type="dxa"/>
            <w:tcBorders>
              <w:top w:val="dotted" w:color="auto" w:sz="4" w:space="0"/>
              <w:left w:val="single" w:color="auto" w:sz="6" w:space="0"/>
              <w:right w:val="single" w:color="auto" w:sz="6" w:space="0"/>
            </w:tcBorders>
            <w:vAlign w:val="center"/>
          </w:tcPr>
          <w:p w14:paraId="0C8FFA61">
            <w:pPr>
              <w:suppressAutoHyphens/>
              <w:spacing w:before="60" w:after="60"/>
              <w:rPr>
                <w:rStyle w:val="82"/>
                <w:rFonts w:ascii="Times New Roman" w:hAnsi="Times New Roman"/>
                <w:i/>
                <w:color w:val="000000"/>
                <w:spacing w:val="-2"/>
              </w:rPr>
            </w:pPr>
          </w:p>
        </w:tc>
      </w:tr>
      <w:tr w14:paraId="4312AC81">
        <w:tblPrEx>
          <w:tblCellMar>
            <w:top w:w="0" w:type="dxa"/>
            <w:left w:w="72" w:type="dxa"/>
            <w:bottom w:w="0" w:type="dxa"/>
            <w:right w:w="72" w:type="dxa"/>
          </w:tblCellMar>
        </w:tblPrEx>
        <w:trPr>
          <w:cantSplit/>
        </w:trPr>
        <w:tc>
          <w:tcPr>
            <w:tcW w:w="1080" w:type="dxa"/>
            <w:tcBorders>
              <w:top w:val="dotted" w:color="auto" w:sz="4" w:space="0"/>
              <w:left w:val="single" w:color="auto" w:sz="6" w:space="0"/>
              <w:bottom w:val="dotted" w:color="auto" w:sz="4" w:space="0"/>
            </w:tcBorders>
            <w:vAlign w:val="center"/>
          </w:tcPr>
          <w:p w14:paraId="2EC30672">
            <w:pPr>
              <w:suppressAutoHyphens/>
              <w:spacing w:before="60" w:after="60"/>
              <w:rPr>
                <w:rStyle w:val="82"/>
                <w:rFonts w:ascii="Times New Roman" w:hAnsi="Times New Roman"/>
                <w:i/>
                <w:color w:val="000000"/>
                <w:spacing w:val="-2"/>
              </w:rPr>
            </w:pPr>
          </w:p>
        </w:tc>
        <w:tc>
          <w:tcPr>
            <w:tcW w:w="2260" w:type="dxa"/>
            <w:tcBorders>
              <w:top w:val="dotted" w:color="auto" w:sz="4" w:space="0"/>
              <w:left w:val="single" w:color="auto" w:sz="6" w:space="0"/>
              <w:bottom w:val="dotted" w:color="auto" w:sz="4" w:space="0"/>
            </w:tcBorders>
            <w:vAlign w:val="center"/>
          </w:tcPr>
          <w:p w14:paraId="0ADB0DF9">
            <w:pPr>
              <w:suppressAutoHyphens/>
              <w:spacing w:before="60" w:after="60"/>
              <w:rPr>
                <w:rStyle w:val="82"/>
                <w:rFonts w:ascii="Times New Roman" w:hAnsi="Times New Roman"/>
                <w:i/>
                <w:color w:val="000000"/>
                <w:spacing w:val="-2"/>
              </w:rPr>
            </w:pPr>
          </w:p>
        </w:tc>
        <w:tc>
          <w:tcPr>
            <w:tcW w:w="1440" w:type="dxa"/>
            <w:tcBorders>
              <w:top w:val="dotted" w:color="auto" w:sz="4" w:space="0"/>
              <w:left w:val="single" w:color="auto" w:sz="6" w:space="0"/>
              <w:bottom w:val="dotted" w:color="auto" w:sz="4" w:space="0"/>
            </w:tcBorders>
            <w:vAlign w:val="center"/>
          </w:tcPr>
          <w:p w14:paraId="10B3B2AC">
            <w:pPr>
              <w:suppressAutoHyphens/>
              <w:spacing w:before="60" w:after="60"/>
              <w:rPr>
                <w:rStyle w:val="82"/>
                <w:rFonts w:ascii="Times New Roman" w:hAnsi="Times New Roman"/>
                <w:i/>
                <w:color w:val="000000"/>
                <w:spacing w:val="-2"/>
              </w:rPr>
            </w:pPr>
          </w:p>
        </w:tc>
        <w:tc>
          <w:tcPr>
            <w:tcW w:w="4230" w:type="dxa"/>
            <w:tcBorders>
              <w:top w:val="dotted" w:color="auto" w:sz="4" w:space="0"/>
              <w:left w:val="single" w:color="auto" w:sz="6" w:space="0"/>
              <w:bottom w:val="dotted" w:color="auto" w:sz="4" w:space="0"/>
              <w:right w:val="single" w:color="auto" w:sz="6" w:space="0"/>
            </w:tcBorders>
            <w:vAlign w:val="center"/>
          </w:tcPr>
          <w:p w14:paraId="58DA2036">
            <w:pPr>
              <w:suppressAutoHyphens/>
              <w:spacing w:before="60" w:after="60"/>
              <w:rPr>
                <w:rStyle w:val="82"/>
                <w:rFonts w:ascii="Times New Roman" w:hAnsi="Times New Roman"/>
                <w:i/>
                <w:color w:val="000000"/>
                <w:spacing w:val="-2"/>
              </w:rPr>
            </w:pPr>
          </w:p>
        </w:tc>
      </w:tr>
    </w:tbl>
    <w:p w14:paraId="3E70B87D">
      <w:pPr>
        <w:rPr>
          <w:b/>
          <w:sz w:val="28"/>
          <w:szCs w:val="28"/>
        </w:rPr>
      </w:pPr>
    </w:p>
    <w:p w14:paraId="05627545">
      <w:pPr>
        <w:rPr>
          <w:b/>
          <w:sz w:val="28"/>
          <w:szCs w:val="28"/>
        </w:rPr>
      </w:pPr>
      <w:r>
        <w:rPr>
          <w:b/>
          <w:sz w:val="28"/>
          <w:szCs w:val="28"/>
        </w:rPr>
        <w:t xml:space="preserve">Declaration </w:t>
      </w:r>
    </w:p>
    <w:p w14:paraId="2D399416"/>
    <w:p w14:paraId="14F2D66E">
      <w:pPr>
        <w:spacing w:after="120"/>
      </w:pPr>
      <w:r>
        <w:t>I, the undersigned Key Personnel, certify that to the best of my knowledge and belief, the information contained in this Form PER-2 correctly describes myself, my qualifications and my experience.</w:t>
      </w:r>
    </w:p>
    <w:p w14:paraId="4318E38C">
      <w:pPr>
        <w:spacing w:after="120"/>
      </w:pPr>
      <w:r>
        <w:t xml:space="preserve">I confirm that I am available as certified in the following table and throughout the expected time schedule for this position as provided in the Bid:  </w:t>
      </w:r>
    </w:p>
    <w:tbl>
      <w:tblPr>
        <w:tblStyle w:val="12"/>
        <w:tblW w:w="0" w:type="auto"/>
        <w:tblInd w:w="7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2" w:type="dxa"/>
          <w:bottom w:w="0" w:type="dxa"/>
          <w:right w:w="72" w:type="dxa"/>
        </w:tblCellMar>
      </w:tblPr>
      <w:tblGrid>
        <w:gridCol w:w="3613"/>
        <w:gridCol w:w="5487"/>
      </w:tblGrid>
      <w:tr w14:paraId="5F2004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2" w:type="dxa"/>
            <w:bottom w:w="0" w:type="dxa"/>
            <w:right w:w="72" w:type="dxa"/>
          </w:tblCellMar>
        </w:tblPrEx>
        <w:trPr>
          <w:cantSplit/>
        </w:trPr>
        <w:tc>
          <w:tcPr>
            <w:tcW w:w="3613" w:type="dxa"/>
          </w:tcPr>
          <w:p w14:paraId="2CDE446F">
            <w:pPr>
              <w:suppressAutoHyphens/>
              <w:spacing w:before="60" w:after="60"/>
              <w:rPr>
                <w:rStyle w:val="82"/>
                <w:rFonts w:ascii="Times New Roman" w:hAnsi="Times New Roman"/>
                <w:b/>
                <w:color w:val="000000"/>
                <w:spacing w:val="-2"/>
              </w:rPr>
            </w:pPr>
            <w:r>
              <w:rPr>
                <w:rStyle w:val="82"/>
                <w:rFonts w:ascii="Times New Roman" w:hAnsi="Times New Roman"/>
                <w:b/>
                <w:color w:val="000000"/>
                <w:spacing w:val="-2"/>
              </w:rPr>
              <w:t>Commitment</w:t>
            </w:r>
          </w:p>
        </w:tc>
        <w:tc>
          <w:tcPr>
            <w:tcW w:w="5487" w:type="dxa"/>
          </w:tcPr>
          <w:p w14:paraId="65F4103E">
            <w:pPr>
              <w:suppressAutoHyphens/>
              <w:spacing w:before="60" w:after="60"/>
              <w:rPr>
                <w:rStyle w:val="82"/>
                <w:rFonts w:ascii="Times New Roman" w:hAnsi="Times New Roman"/>
                <w:b/>
                <w:color w:val="000000"/>
                <w:spacing w:val="-2"/>
              </w:rPr>
            </w:pPr>
            <w:r>
              <w:rPr>
                <w:rStyle w:val="82"/>
                <w:rFonts w:ascii="Times New Roman" w:hAnsi="Times New Roman"/>
                <w:b/>
                <w:color w:val="000000"/>
                <w:spacing w:val="-2"/>
              </w:rPr>
              <w:t>Details</w:t>
            </w:r>
          </w:p>
        </w:tc>
      </w:tr>
      <w:tr w14:paraId="1EAA2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2" w:type="dxa"/>
            <w:bottom w:w="0" w:type="dxa"/>
            <w:right w:w="72" w:type="dxa"/>
          </w:tblCellMar>
        </w:tblPrEx>
        <w:trPr>
          <w:cantSplit/>
        </w:trPr>
        <w:tc>
          <w:tcPr>
            <w:tcW w:w="3613" w:type="dxa"/>
          </w:tcPr>
          <w:p w14:paraId="6A472A6D">
            <w:pPr>
              <w:suppressAutoHyphens/>
              <w:spacing w:before="60" w:after="60"/>
              <w:rPr>
                <w:rStyle w:val="82"/>
                <w:rFonts w:ascii="Times New Roman" w:hAnsi="Times New Roman"/>
                <w:b/>
                <w:color w:val="000000"/>
                <w:spacing w:val="-2"/>
              </w:rPr>
            </w:pPr>
            <w:r>
              <w:rPr>
                <w:rStyle w:val="82"/>
                <w:rFonts w:ascii="Times New Roman" w:hAnsi="Times New Roman"/>
                <w:b/>
                <w:color w:val="000000"/>
                <w:spacing w:val="-2"/>
              </w:rPr>
              <w:t>Commitment to duration of contract:</w:t>
            </w:r>
          </w:p>
        </w:tc>
        <w:tc>
          <w:tcPr>
            <w:tcW w:w="5487" w:type="dxa"/>
          </w:tcPr>
          <w:p w14:paraId="4733860B">
            <w:pPr>
              <w:suppressAutoHyphens/>
              <w:spacing w:before="60" w:after="60"/>
              <w:rPr>
                <w:rStyle w:val="82"/>
                <w:rFonts w:ascii="Times New Roman" w:hAnsi="Times New Roman"/>
                <w:i/>
                <w:color w:val="000000"/>
                <w:spacing w:val="-2"/>
              </w:rPr>
            </w:pPr>
            <w:r>
              <w:rPr>
                <w:rStyle w:val="82"/>
                <w:rFonts w:ascii="Times New Roman" w:hAnsi="Times New Roman"/>
                <w:i/>
                <w:color w:val="000000"/>
                <w:spacing w:val="-2"/>
              </w:rPr>
              <w:t>[insert period (start and end dates) for which this Key Personnel is available to work on this contract]</w:t>
            </w:r>
          </w:p>
        </w:tc>
      </w:tr>
      <w:tr w14:paraId="78BF5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2" w:type="dxa"/>
            <w:bottom w:w="0" w:type="dxa"/>
            <w:right w:w="72" w:type="dxa"/>
          </w:tblCellMar>
        </w:tblPrEx>
        <w:trPr>
          <w:cantSplit/>
        </w:trPr>
        <w:tc>
          <w:tcPr>
            <w:tcW w:w="3613" w:type="dxa"/>
          </w:tcPr>
          <w:p w14:paraId="002C0DBF">
            <w:pPr>
              <w:suppressAutoHyphens/>
              <w:spacing w:before="60" w:after="60"/>
              <w:rPr>
                <w:rStyle w:val="82"/>
                <w:rFonts w:ascii="Times New Roman" w:hAnsi="Times New Roman"/>
                <w:b/>
                <w:color w:val="000000"/>
                <w:spacing w:val="-2"/>
              </w:rPr>
            </w:pPr>
            <w:r>
              <w:rPr>
                <w:rStyle w:val="82"/>
                <w:rFonts w:ascii="Times New Roman" w:hAnsi="Times New Roman"/>
                <w:b/>
                <w:color w:val="000000"/>
                <w:spacing w:val="-2"/>
              </w:rPr>
              <w:t>Time commitment:</w:t>
            </w:r>
          </w:p>
        </w:tc>
        <w:tc>
          <w:tcPr>
            <w:tcW w:w="5487" w:type="dxa"/>
          </w:tcPr>
          <w:p w14:paraId="35181A8D">
            <w:pPr>
              <w:suppressAutoHyphens/>
              <w:spacing w:before="60" w:after="60"/>
              <w:rPr>
                <w:rStyle w:val="82"/>
                <w:rFonts w:ascii="Times New Roman" w:hAnsi="Times New Roman"/>
                <w:i/>
                <w:color w:val="000000"/>
                <w:spacing w:val="-2"/>
              </w:rPr>
            </w:pPr>
            <w:r>
              <w:rPr>
                <w:rStyle w:val="82"/>
                <w:rFonts w:ascii="Times New Roman" w:hAnsi="Times New Roman"/>
                <w:i/>
                <w:color w:val="000000"/>
                <w:spacing w:val="-2"/>
              </w:rPr>
              <w:t>[insert the number of days/week/months/ that this Key Personnel will be engaged]</w:t>
            </w:r>
          </w:p>
        </w:tc>
      </w:tr>
    </w:tbl>
    <w:p w14:paraId="5F442759">
      <w:pPr>
        <w:spacing w:after="120"/>
      </w:pPr>
    </w:p>
    <w:p w14:paraId="54A66DE7">
      <w:pPr>
        <w:spacing w:after="120"/>
      </w:pPr>
      <w:r>
        <w:t>I understand that any misrepresentation or omission in this Form may:</w:t>
      </w:r>
    </w:p>
    <w:p w14:paraId="0FD31854">
      <w:pPr>
        <w:pStyle w:val="176"/>
        <w:numPr>
          <w:ilvl w:val="0"/>
          <w:numId w:val="48"/>
        </w:numPr>
        <w:spacing w:after="120"/>
        <w:contextualSpacing w:val="0"/>
      </w:pPr>
      <w:r>
        <w:t>be taken into consideration during Bid evaluation;</w:t>
      </w:r>
    </w:p>
    <w:p w14:paraId="30590716">
      <w:pPr>
        <w:pStyle w:val="176"/>
        <w:numPr>
          <w:ilvl w:val="0"/>
          <w:numId w:val="48"/>
        </w:numPr>
        <w:spacing w:after="120"/>
        <w:contextualSpacing w:val="0"/>
      </w:pPr>
      <w:r>
        <w:t>my disqualification from participating in the Bid;</w:t>
      </w:r>
    </w:p>
    <w:p w14:paraId="6271B626">
      <w:pPr>
        <w:pStyle w:val="176"/>
        <w:numPr>
          <w:ilvl w:val="0"/>
          <w:numId w:val="48"/>
        </w:numPr>
        <w:spacing w:after="120"/>
        <w:contextualSpacing w:val="0"/>
      </w:pPr>
      <w:r>
        <w:t>my dismissal from the contract.</w:t>
      </w:r>
    </w:p>
    <w:p w14:paraId="3F65C3DE">
      <w:pPr>
        <w:spacing w:after="120"/>
      </w:pPr>
    </w:p>
    <w:p w14:paraId="3E18035A">
      <w:pPr>
        <w:spacing w:after="120"/>
        <w:rPr>
          <w:b/>
        </w:rPr>
      </w:pPr>
      <w:r>
        <w:rPr>
          <w:b/>
        </w:rPr>
        <w:t>Name of Key Personnel: [</w:t>
      </w:r>
      <w:r>
        <w:rPr>
          <w:b/>
          <w:i/>
        </w:rPr>
        <w:t>insert name</w:t>
      </w:r>
      <w:r>
        <w:rPr>
          <w:b/>
        </w:rPr>
        <w:t>]</w:t>
      </w:r>
      <w:r>
        <w:rPr>
          <w:b/>
        </w:rPr>
        <w:tab/>
      </w:r>
      <w:r>
        <w:rPr>
          <w:b/>
        </w:rPr>
        <w:tab/>
      </w:r>
      <w:r>
        <w:rPr>
          <w:b/>
        </w:rPr>
        <w:tab/>
      </w:r>
      <w:r>
        <w:rPr>
          <w:b/>
        </w:rPr>
        <w:tab/>
      </w:r>
    </w:p>
    <w:p w14:paraId="3A455628">
      <w:pPr>
        <w:spacing w:before="360" w:after="120"/>
      </w:pPr>
      <w:r>
        <w:t>Signature: __________________________________________________________</w:t>
      </w:r>
    </w:p>
    <w:p w14:paraId="11071ACB">
      <w:pPr>
        <w:spacing w:before="360" w:after="120"/>
      </w:pPr>
      <w:r>
        <w:t>Date: (day month year): _______________________________________________</w:t>
      </w:r>
    </w:p>
    <w:p w14:paraId="589BA48D">
      <w:pPr>
        <w:spacing w:after="120"/>
      </w:pPr>
    </w:p>
    <w:p w14:paraId="6604A803">
      <w:pPr>
        <w:spacing w:after="120"/>
        <w:rPr>
          <w:b/>
        </w:rPr>
      </w:pPr>
      <w:r>
        <w:rPr>
          <w:b/>
        </w:rPr>
        <w:t>Countersignature of authorized representative of the Bidder:</w:t>
      </w:r>
    </w:p>
    <w:p w14:paraId="5BAE5F6B">
      <w:pPr>
        <w:spacing w:before="360" w:after="120"/>
      </w:pPr>
      <w:r>
        <w:t>Signature: ________________________________________________________</w:t>
      </w:r>
    </w:p>
    <w:p w14:paraId="4B8F6E07">
      <w:pPr>
        <w:spacing w:before="360" w:after="120"/>
        <w:rPr>
          <w:sz w:val="20"/>
        </w:rPr>
      </w:pPr>
      <w:r>
        <w:rPr>
          <w:szCs w:val="20"/>
        </w:rPr>
        <w:t>Date: (day month year):</w:t>
      </w:r>
      <w:r>
        <w:t xml:space="preserve"> __________________________________</w:t>
      </w:r>
    </w:p>
    <w:p w14:paraId="587CDA6F">
      <w:pPr>
        <w:rPr>
          <w:rStyle w:val="82"/>
          <w:rFonts w:ascii="Times New Roman" w:hAnsi="Times New Roman"/>
          <w:i/>
          <w:spacing w:val="-2"/>
          <w:sz w:val="24"/>
        </w:rPr>
      </w:pPr>
    </w:p>
    <w:p w14:paraId="48D4B0A3">
      <w:pPr>
        <w:pStyle w:val="156"/>
        <w:rPr>
          <w:sz w:val="24"/>
        </w:rPr>
      </w:pPr>
      <w:r>
        <w:br w:type="page"/>
      </w:r>
      <w:bookmarkStart w:id="416" w:name="_Toc138144064"/>
      <w:r>
        <w:t xml:space="preserve"> </w:t>
      </w:r>
      <w:bookmarkStart w:id="417" w:name="_Toc178519594"/>
      <w:r>
        <w:t>Equipment</w:t>
      </w:r>
      <w:bookmarkEnd w:id="416"/>
      <w:bookmarkEnd w:id="417"/>
    </w:p>
    <w:p w14:paraId="22892EAA">
      <w:pPr>
        <w:jc w:val="both"/>
        <w:rPr>
          <w:rStyle w:val="82"/>
          <w:rFonts w:ascii="Times New Roman" w:hAnsi="Times New Roman"/>
          <w:iCs/>
          <w:spacing w:val="-2"/>
          <w:sz w:val="24"/>
        </w:rPr>
      </w:pPr>
      <w:r>
        <w:rPr>
          <w:rStyle w:val="82"/>
          <w:rFonts w:ascii="Times New Roman" w:hAnsi="Times New Roman"/>
          <w:iCs/>
          <w:spacing w:val="-2"/>
          <w:sz w:val="24"/>
        </w:rPr>
        <w:t>The Bidder shall provide adequate information to demonstrate clearly that it has the capability to meet the requirements for the key equipment listed in Section III (Evaluation and Qualification Criteria). A separate Form shall be prepared for each item of equipment listed, or for alternative equipment proposed by the Bidder. The Bidder shall provide all the information requested below, to the extent possible. Fields with asterisk (*) shall be used for evaluation.</w:t>
      </w:r>
    </w:p>
    <w:p w14:paraId="03CFF43F">
      <w:pPr>
        <w:jc w:val="both"/>
      </w:pPr>
    </w:p>
    <w:tbl>
      <w:tblPr>
        <w:tblStyle w:val="12"/>
        <w:tblW w:w="9360" w:type="dxa"/>
        <w:jc w:val="center"/>
        <w:tblLayout w:type="fixed"/>
        <w:tblCellMar>
          <w:top w:w="0" w:type="dxa"/>
          <w:left w:w="72" w:type="dxa"/>
          <w:bottom w:w="0" w:type="dxa"/>
          <w:right w:w="72" w:type="dxa"/>
        </w:tblCellMar>
      </w:tblPr>
      <w:tblGrid>
        <w:gridCol w:w="1415"/>
        <w:gridCol w:w="3884"/>
        <w:gridCol w:w="4061"/>
      </w:tblGrid>
      <w:tr w14:paraId="59E2A9CC">
        <w:tblPrEx>
          <w:tblCellMar>
            <w:top w:w="0" w:type="dxa"/>
            <w:left w:w="72" w:type="dxa"/>
            <w:bottom w:w="0" w:type="dxa"/>
            <w:right w:w="72" w:type="dxa"/>
          </w:tblCellMar>
        </w:tblPrEx>
        <w:trPr>
          <w:cantSplit/>
          <w:jc w:val="center"/>
        </w:trPr>
        <w:tc>
          <w:tcPr>
            <w:tcW w:w="9540" w:type="dxa"/>
            <w:gridSpan w:val="3"/>
            <w:tcBorders>
              <w:top w:val="single" w:color="auto" w:sz="6" w:space="0"/>
              <w:left w:val="single" w:color="auto" w:sz="6" w:space="0"/>
              <w:bottom w:val="single" w:color="auto" w:sz="6" w:space="0"/>
              <w:right w:val="single" w:color="auto" w:sz="6" w:space="0"/>
            </w:tcBorders>
          </w:tcPr>
          <w:p w14:paraId="5BD9C91C">
            <w:pPr>
              <w:jc w:val="both"/>
              <w:rPr>
                <w:rStyle w:val="82"/>
                <w:rFonts w:ascii="Times New Roman" w:hAnsi="Times New Roman"/>
                <w:b/>
                <w:bCs/>
                <w:spacing w:val="-2"/>
                <w:sz w:val="24"/>
              </w:rPr>
            </w:pPr>
            <w:r>
              <w:rPr>
                <w:rStyle w:val="82"/>
                <w:rFonts w:ascii="Times New Roman" w:hAnsi="Times New Roman"/>
                <w:b/>
                <w:bCs/>
                <w:spacing w:val="-2"/>
                <w:sz w:val="24"/>
              </w:rPr>
              <w:t>Type of Equipment*</w:t>
            </w:r>
          </w:p>
          <w:p w14:paraId="4D05282A">
            <w:pPr>
              <w:jc w:val="both"/>
              <w:rPr>
                <w:rStyle w:val="82"/>
                <w:rFonts w:ascii="Times New Roman" w:hAnsi="Times New Roman"/>
                <w:b/>
                <w:bCs/>
                <w:spacing w:val="-2"/>
                <w:sz w:val="24"/>
              </w:rPr>
            </w:pPr>
          </w:p>
        </w:tc>
      </w:tr>
      <w:tr w14:paraId="4207C8BB">
        <w:tblPrEx>
          <w:tblCellMar>
            <w:top w:w="0" w:type="dxa"/>
            <w:left w:w="72" w:type="dxa"/>
            <w:bottom w:w="0" w:type="dxa"/>
            <w:right w:w="72" w:type="dxa"/>
          </w:tblCellMar>
        </w:tblPrEx>
        <w:trPr>
          <w:cantSplit/>
          <w:jc w:val="center"/>
        </w:trPr>
        <w:tc>
          <w:tcPr>
            <w:tcW w:w="1440" w:type="dxa"/>
            <w:tcBorders>
              <w:top w:val="single" w:color="auto" w:sz="6" w:space="0"/>
              <w:left w:val="single" w:color="auto" w:sz="6" w:space="0"/>
            </w:tcBorders>
          </w:tcPr>
          <w:p w14:paraId="6798EF71">
            <w:pPr>
              <w:jc w:val="both"/>
              <w:rPr>
                <w:rStyle w:val="82"/>
                <w:rFonts w:ascii="Times New Roman" w:hAnsi="Times New Roman"/>
                <w:b/>
                <w:bCs/>
                <w:spacing w:val="-2"/>
                <w:sz w:val="24"/>
              </w:rPr>
            </w:pPr>
            <w:r>
              <w:rPr>
                <w:rStyle w:val="82"/>
                <w:rFonts w:ascii="Times New Roman" w:hAnsi="Times New Roman"/>
                <w:b/>
                <w:bCs/>
                <w:spacing w:val="-2"/>
                <w:sz w:val="24"/>
              </w:rPr>
              <w:t>Equipment Information</w:t>
            </w:r>
          </w:p>
        </w:tc>
        <w:tc>
          <w:tcPr>
            <w:tcW w:w="3960" w:type="dxa"/>
            <w:tcBorders>
              <w:top w:val="single" w:color="auto" w:sz="6" w:space="0"/>
              <w:left w:val="single" w:color="auto" w:sz="6" w:space="0"/>
            </w:tcBorders>
          </w:tcPr>
          <w:p w14:paraId="7126B750">
            <w:pPr>
              <w:jc w:val="both"/>
              <w:rPr>
                <w:rStyle w:val="82"/>
                <w:rFonts w:ascii="Times New Roman" w:hAnsi="Times New Roman"/>
                <w:b/>
                <w:bCs/>
                <w:spacing w:val="-2"/>
                <w:sz w:val="24"/>
              </w:rPr>
            </w:pPr>
            <w:r>
              <w:rPr>
                <w:rStyle w:val="82"/>
                <w:rFonts w:ascii="Times New Roman" w:hAnsi="Times New Roman"/>
                <w:b/>
                <w:bCs/>
                <w:spacing w:val="-2"/>
                <w:sz w:val="24"/>
              </w:rPr>
              <w:t xml:space="preserve">Name of manufacturer, </w:t>
            </w:r>
          </w:p>
          <w:p w14:paraId="75535C2A">
            <w:pPr>
              <w:jc w:val="both"/>
              <w:rPr>
                <w:rStyle w:val="82"/>
                <w:rFonts w:ascii="Times New Roman" w:hAnsi="Times New Roman"/>
                <w:b/>
                <w:bCs/>
                <w:spacing w:val="-2"/>
                <w:sz w:val="24"/>
              </w:rPr>
            </w:pPr>
          </w:p>
          <w:p w14:paraId="1A03AAE0">
            <w:pPr>
              <w:jc w:val="both"/>
              <w:rPr>
                <w:rStyle w:val="82"/>
                <w:rFonts w:ascii="Times New Roman" w:hAnsi="Times New Roman"/>
                <w:b/>
                <w:bCs/>
                <w:spacing w:val="-2"/>
                <w:sz w:val="24"/>
              </w:rPr>
            </w:pPr>
          </w:p>
          <w:p w14:paraId="19BF1158">
            <w:pPr>
              <w:jc w:val="both"/>
              <w:rPr>
                <w:rStyle w:val="82"/>
                <w:rFonts w:ascii="Times New Roman" w:hAnsi="Times New Roman"/>
                <w:b/>
                <w:bCs/>
                <w:spacing w:val="-2"/>
                <w:sz w:val="24"/>
              </w:rPr>
            </w:pPr>
          </w:p>
        </w:tc>
        <w:tc>
          <w:tcPr>
            <w:tcW w:w="4140" w:type="dxa"/>
            <w:tcBorders>
              <w:top w:val="single" w:color="auto" w:sz="6" w:space="0"/>
              <w:left w:val="single" w:color="auto" w:sz="6" w:space="0"/>
              <w:right w:val="single" w:color="auto" w:sz="6" w:space="0"/>
            </w:tcBorders>
          </w:tcPr>
          <w:p w14:paraId="520918C3">
            <w:pPr>
              <w:jc w:val="both"/>
              <w:rPr>
                <w:rStyle w:val="82"/>
                <w:rFonts w:ascii="Times New Roman" w:hAnsi="Times New Roman"/>
                <w:b/>
                <w:bCs/>
                <w:spacing w:val="-2"/>
                <w:sz w:val="24"/>
              </w:rPr>
            </w:pPr>
            <w:r>
              <w:rPr>
                <w:rStyle w:val="82"/>
                <w:rFonts w:ascii="Times New Roman" w:hAnsi="Times New Roman"/>
                <w:b/>
                <w:bCs/>
                <w:spacing w:val="-2"/>
                <w:sz w:val="24"/>
              </w:rPr>
              <w:t>Model and power rating</w:t>
            </w:r>
          </w:p>
        </w:tc>
      </w:tr>
      <w:tr w14:paraId="678DAF38">
        <w:tblPrEx>
          <w:tblCellMar>
            <w:top w:w="0" w:type="dxa"/>
            <w:left w:w="72" w:type="dxa"/>
            <w:bottom w:w="0" w:type="dxa"/>
            <w:right w:w="72" w:type="dxa"/>
          </w:tblCellMar>
        </w:tblPrEx>
        <w:trPr>
          <w:cantSplit/>
          <w:jc w:val="center"/>
        </w:trPr>
        <w:tc>
          <w:tcPr>
            <w:tcW w:w="1440" w:type="dxa"/>
            <w:tcBorders>
              <w:left w:val="single" w:color="auto" w:sz="6" w:space="0"/>
            </w:tcBorders>
          </w:tcPr>
          <w:p w14:paraId="3FAC8A3F">
            <w:pPr>
              <w:jc w:val="both"/>
              <w:rPr>
                <w:rStyle w:val="82"/>
                <w:rFonts w:ascii="Times New Roman" w:hAnsi="Times New Roman"/>
                <w:b/>
                <w:bCs/>
                <w:spacing w:val="-2"/>
                <w:sz w:val="24"/>
              </w:rPr>
            </w:pPr>
          </w:p>
        </w:tc>
        <w:tc>
          <w:tcPr>
            <w:tcW w:w="3960" w:type="dxa"/>
            <w:tcBorders>
              <w:top w:val="single" w:color="auto" w:sz="6" w:space="0"/>
              <w:left w:val="single" w:color="auto" w:sz="6" w:space="0"/>
            </w:tcBorders>
          </w:tcPr>
          <w:p w14:paraId="59406455">
            <w:pPr>
              <w:jc w:val="both"/>
              <w:rPr>
                <w:rStyle w:val="82"/>
                <w:rFonts w:ascii="Times New Roman" w:hAnsi="Times New Roman"/>
                <w:b/>
                <w:bCs/>
                <w:spacing w:val="-2"/>
                <w:sz w:val="24"/>
              </w:rPr>
            </w:pPr>
            <w:r>
              <w:rPr>
                <w:rStyle w:val="82"/>
                <w:rFonts w:ascii="Times New Roman" w:hAnsi="Times New Roman"/>
                <w:b/>
                <w:bCs/>
                <w:spacing w:val="-2"/>
                <w:sz w:val="24"/>
              </w:rPr>
              <w:t>Capacity*</w:t>
            </w:r>
          </w:p>
          <w:p w14:paraId="1655FBBB">
            <w:pPr>
              <w:jc w:val="both"/>
              <w:rPr>
                <w:rStyle w:val="82"/>
                <w:rFonts w:ascii="Times New Roman" w:hAnsi="Times New Roman"/>
                <w:b/>
                <w:bCs/>
                <w:spacing w:val="-2"/>
                <w:sz w:val="24"/>
              </w:rPr>
            </w:pPr>
          </w:p>
          <w:p w14:paraId="7BA6E928">
            <w:pPr>
              <w:jc w:val="both"/>
              <w:rPr>
                <w:rStyle w:val="82"/>
                <w:rFonts w:ascii="Times New Roman" w:hAnsi="Times New Roman"/>
                <w:b/>
                <w:bCs/>
                <w:spacing w:val="-2"/>
                <w:sz w:val="24"/>
              </w:rPr>
            </w:pPr>
          </w:p>
        </w:tc>
        <w:tc>
          <w:tcPr>
            <w:tcW w:w="4140" w:type="dxa"/>
            <w:tcBorders>
              <w:top w:val="single" w:color="auto" w:sz="6" w:space="0"/>
              <w:left w:val="single" w:color="auto" w:sz="6" w:space="0"/>
              <w:right w:val="single" w:color="auto" w:sz="6" w:space="0"/>
            </w:tcBorders>
          </w:tcPr>
          <w:p w14:paraId="4D4B9486">
            <w:pPr>
              <w:jc w:val="both"/>
              <w:rPr>
                <w:rStyle w:val="82"/>
                <w:rFonts w:ascii="Times New Roman" w:hAnsi="Times New Roman"/>
                <w:b/>
                <w:bCs/>
                <w:spacing w:val="-2"/>
                <w:sz w:val="24"/>
              </w:rPr>
            </w:pPr>
            <w:r>
              <w:rPr>
                <w:rStyle w:val="82"/>
                <w:rFonts w:ascii="Times New Roman" w:hAnsi="Times New Roman"/>
                <w:b/>
                <w:bCs/>
                <w:spacing w:val="-2"/>
                <w:sz w:val="24"/>
              </w:rPr>
              <w:t>Year of manufacture*</w:t>
            </w:r>
          </w:p>
        </w:tc>
      </w:tr>
      <w:tr w14:paraId="7476663F">
        <w:tblPrEx>
          <w:tblCellMar>
            <w:top w:w="0" w:type="dxa"/>
            <w:left w:w="72" w:type="dxa"/>
            <w:bottom w:w="0" w:type="dxa"/>
            <w:right w:w="72" w:type="dxa"/>
          </w:tblCellMar>
        </w:tblPrEx>
        <w:trPr>
          <w:cantSplit/>
          <w:jc w:val="center"/>
        </w:trPr>
        <w:tc>
          <w:tcPr>
            <w:tcW w:w="1440" w:type="dxa"/>
            <w:tcBorders>
              <w:top w:val="single" w:color="auto" w:sz="6" w:space="0"/>
              <w:left w:val="single" w:color="auto" w:sz="6" w:space="0"/>
            </w:tcBorders>
          </w:tcPr>
          <w:p w14:paraId="4187EFAE">
            <w:pPr>
              <w:jc w:val="both"/>
              <w:rPr>
                <w:rStyle w:val="82"/>
                <w:rFonts w:ascii="Times New Roman" w:hAnsi="Times New Roman"/>
                <w:b/>
                <w:bCs/>
                <w:spacing w:val="-2"/>
                <w:sz w:val="24"/>
              </w:rPr>
            </w:pPr>
            <w:r>
              <w:rPr>
                <w:rStyle w:val="82"/>
                <w:rFonts w:ascii="Times New Roman" w:hAnsi="Times New Roman"/>
                <w:b/>
                <w:bCs/>
                <w:spacing w:val="-2"/>
                <w:sz w:val="24"/>
              </w:rPr>
              <w:t>Current Status</w:t>
            </w:r>
          </w:p>
        </w:tc>
        <w:tc>
          <w:tcPr>
            <w:tcW w:w="8100" w:type="dxa"/>
            <w:gridSpan w:val="2"/>
            <w:tcBorders>
              <w:top w:val="single" w:color="auto" w:sz="6" w:space="0"/>
              <w:left w:val="single" w:color="auto" w:sz="6" w:space="0"/>
              <w:right w:val="single" w:color="auto" w:sz="6" w:space="0"/>
            </w:tcBorders>
          </w:tcPr>
          <w:p w14:paraId="1702B51D">
            <w:pPr>
              <w:jc w:val="both"/>
              <w:rPr>
                <w:rStyle w:val="82"/>
                <w:rFonts w:ascii="Times New Roman" w:hAnsi="Times New Roman"/>
                <w:b/>
                <w:bCs/>
                <w:spacing w:val="-2"/>
                <w:sz w:val="24"/>
              </w:rPr>
            </w:pPr>
            <w:r>
              <w:rPr>
                <w:rStyle w:val="82"/>
                <w:rFonts w:ascii="Times New Roman" w:hAnsi="Times New Roman"/>
                <w:b/>
                <w:bCs/>
                <w:spacing w:val="-2"/>
                <w:sz w:val="24"/>
              </w:rPr>
              <w:t>Current location</w:t>
            </w:r>
          </w:p>
          <w:p w14:paraId="5DEAD746">
            <w:pPr>
              <w:jc w:val="both"/>
              <w:rPr>
                <w:rStyle w:val="82"/>
                <w:rFonts w:ascii="Times New Roman" w:hAnsi="Times New Roman"/>
                <w:b/>
                <w:bCs/>
                <w:spacing w:val="-2"/>
                <w:sz w:val="24"/>
              </w:rPr>
            </w:pPr>
          </w:p>
          <w:p w14:paraId="15518C0C">
            <w:pPr>
              <w:jc w:val="both"/>
              <w:rPr>
                <w:rStyle w:val="82"/>
                <w:rFonts w:ascii="Times New Roman" w:hAnsi="Times New Roman"/>
                <w:b/>
                <w:bCs/>
                <w:spacing w:val="-2"/>
                <w:sz w:val="24"/>
              </w:rPr>
            </w:pPr>
          </w:p>
        </w:tc>
      </w:tr>
      <w:tr w14:paraId="51469C76">
        <w:tblPrEx>
          <w:tblCellMar>
            <w:top w:w="0" w:type="dxa"/>
            <w:left w:w="72" w:type="dxa"/>
            <w:bottom w:w="0" w:type="dxa"/>
            <w:right w:w="72" w:type="dxa"/>
          </w:tblCellMar>
        </w:tblPrEx>
        <w:trPr>
          <w:cantSplit/>
          <w:jc w:val="center"/>
        </w:trPr>
        <w:tc>
          <w:tcPr>
            <w:tcW w:w="1440" w:type="dxa"/>
            <w:tcBorders>
              <w:left w:val="single" w:color="auto" w:sz="6" w:space="0"/>
            </w:tcBorders>
          </w:tcPr>
          <w:p w14:paraId="7D3D806F">
            <w:pPr>
              <w:jc w:val="both"/>
              <w:rPr>
                <w:rStyle w:val="82"/>
                <w:rFonts w:ascii="Times New Roman" w:hAnsi="Times New Roman"/>
                <w:b/>
                <w:bCs/>
                <w:spacing w:val="-2"/>
                <w:sz w:val="24"/>
              </w:rPr>
            </w:pPr>
          </w:p>
        </w:tc>
        <w:tc>
          <w:tcPr>
            <w:tcW w:w="8100" w:type="dxa"/>
            <w:gridSpan w:val="2"/>
            <w:tcBorders>
              <w:top w:val="single" w:color="auto" w:sz="6" w:space="0"/>
              <w:left w:val="single" w:color="auto" w:sz="6" w:space="0"/>
              <w:right w:val="single" w:color="auto" w:sz="6" w:space="0"/>
            </w:tcBorders>
          </w:tcPr>
          <w:p w14:paraId="3B7524C6">
            <w:pPr>
              <w:jc w:val="both"/>
              <w:rPr>
                <w:rStyle w:val="82"/>
                <w:rFonts w:ascii="Times New Roman" w:hAnsi="Times New Roman"/>
                <w:b/>
                <w:bCs/>
                <w:spacing w:val="-2"/>
                <w:sz w:val="24"/>
              </w:rPr>
            </w:pPr>
            <w:r>
              <w:rPr>
                <w:rStyle w:val="82"/>
                <w:rFonts w:ascii="Times New Roman" w:hAnsi="Times New Roman"/>
                <w:b/>
                <w:bCs/>
                <w:spacing w:val="-2"/>
                <w:sz w:val="24"/>
              </w:rPr>
              <w:t>Details of current commitments</w:t>
            </w:r>
          </w:p>
          <w:p w14:paraId="1810A2EA">
            <w:pPr>
              <w:jc w:val="both"/>
              <w:rPr>
                <w:rStyle w:val="82"/>
                <w:rFonts w:ascii="Times New Roman" w:hAnsi="Times New Roman"/>
                <w:b/>
                <w:bCs/>
                <w:spacing w:val="-2"/>
                <w:sz w:val="24"/>
              </w:rPr>
            </w:pPr>
          </w:p>
        </w:tc>
      </w:tr>
      <w:tr w14:paraId="2F86BE8C">
        <w:tblPrEx>
          <w:tblCellMar>
            <w:top w:w="0" w:type="dxa"/>
            <w:left w:w="72" w:type="dxa"/>
            <w:bottom w:w="0" w:type="dxa"/>
            <w:right w:w="72" w:type="dxa"/>
          </w:tblCellMar>
        </w:tblPrEx>
        <w:trPr>
          <w:cantSplit/>
          <w:jc w:val="center"/>
        </w:trPr>
        <w:tc>
          <w:tcPr>
            <w:tcW w:w="1440" w:type="dxa"/>
            <w:tcBorders>
              <w:left w:val="single" w:color="auto" w:sz="6" w:space="0"/>
            </w:tcBorders>
          </w:tcPr>
          <w:p w14:paraId="1CED3037">
            <w:pPr>
              <w:jc w:val="both"/>
              <w:rPr>
                <w:rStyle w:val="82"/>
                <w:rFonts w:ascii="Times New Roman" w:hAnsi="Times New Roman"/>
                <w:b/>
                <w:bCs/>
                <w:spacing w:val="-2"/>
                <w:sz w:val="24"/>
              </w:rPr>
            </w:pPr>
          </w:p>
        </w:tc>
        <w:tc>
          <w:tcPr>
            <w:tcW w:w="8100" w:type="dxa"/>
            <w:gridSpan w:val="2"/>
            <w:tcBorders>
              <w:left w:val="single" w:color="auto" w:sz="6" w:space="0"/>
              <w:right w:val="single" w:color="auto" w:sz="6" w:space="0"/>
            </w:tcBorders>
          </w:tcPr>
          <w:p w14:paraId="525F5D2F">
            <w:pPr>
              <w:jc w:val="both"/>
              <w:rPr>
                <w:rStyle w:val="82"/>
                <w:rFonts w:ascii="Times New Roman" w:hAnsi="Times New Roman"/>
                <w:b/>
                <w:bCs/>
                <w:spacing w:val="-2"/>
                <w:sz w:val="24"/>
              </w:rPr>
            </w:pPr>
          </w:p>
        </w:tc>
      </w:tr>
      <w:tr w14:paraId="7EFC34A7">
        <w:tblPrEx>
          <w:tblCellMar>
            <w:top w:w="0" w:type="dxa"/>
            <w:left w:w="72" w:type="dxa"/>
            <w:bottom w:w="0" w:type="dxa"/>
            <w:right w:w="72" w:type="dxa"/>
          </w:tblCellMar>
        </w:tblPrEx>
        <w:trPr>
          <w:cantSplit/>
          <w:trHeight w:val="525" w:hRule="atLeast"/>
          <w:jc w:val="center"/>
        </w:trPr>
        <w:tc>
          <w:tcPr>
            <w:tcW w:w="1440" w:type="dxa"/>
            <w:tcBorders>
              <w:top w:val="single" w:color="auto" w:sz="6" w:space="0"/>
              <w:left w:val="single" w:color="auto" w:sz="6" w:space="0"/>
              <w:bottom w:val="single" w:color="auto" w:sz="6" w:space="0"/>
            </w:tcBorders>
          </w:tcPr>
          <w:p w14:paraId="5F48DEF8">
            <w:pPr>
              <w:jc w:val="both"/>
              <w:rPr>
                <w:rStyle w:val="82"/>
                <w:rFonts w:ascii="Times New Roman" w:hAnsi="Times New Roman"/>
                <w:b/>
                <w:bCs/>
                <w:spacing w:val="-2"/>
                <w:sz w:val="24"/>
              </w:rPr>
            </w:pPr>
            <w:r>
              <w:rPr>
                <w:rStyle w:val="82"/>
                <w:rFonts w:ascii="Times New Roman" w:hAnsi="Times New Roman"/>
                <w:b/>
                <w:bCs/>
                <w:spacing w:val="-2"/>
                <w:sz w:val="24"/>
              </w:rPr>
              <w:t>Source</w:t>
            </w:r>
          </w:p>
        </w:tc>
        <w:tc>
          <w:tcPr>
            <w:tcW w:w="8100" w:type="dxa"/>
            <w:gridSpan w:val="2"/>
            <w:tcBorders>
              <w:top w:val="single" w:color="auto" w:sz="6" w:space="0"/>
              <w:left w:val="single" w:color="auto" w:sz="6" w:space="0"/>
              <w:bottom w:val="single" w:color="auto" w:sz="6" w:space="0"/>
              <w:right w:val="single" w:color="auto" w:sz="6" w:space="0"/>
            </w:tcBorders>
          </w:tcPr>
          <w:p w14:paraId="099EAF55">
            <w:pPr>
              <w:jc w:val="both"/>
              <w:rPr>
                <w:rStyle w:val="82"/>
                <w:rFonts w:ascii="Times New Roman" w:hAnsi="Times New Roman"/>
                <w:b/>
                <w:bCs/>
                <w:spacing w:val="-2"/>
                <w:sz w:val="24"/>
              </w:rPr>
            </w:pPr>
            <w:r>
              <w:rPr>
                <w:rStyle w:val="82"/>
                <w:rFonts w:ascii="Times New Roman" w:hAnsi="Times New Roman"/>
                <w:b/>
                <w:bCs/>
                <w:spacing w:val="-2"/>
                <w:sz w:val="24"/>
              </w:rPr>
              <w:t>Indicate source of the equipment</w:t>
            </w:r>
          </w:p>
          <w:p w14:paraId="27B8FE30">
            <w:pPr>
              <w:jc w:val="both"/>
              <w:rPr>
                <w:rStyle w:val="82"/>
                <w:rFonts w:ascii="Times New Roman" w:hAnsi="Times New Roman"/>
                <w:b/>
                <w:bCs/>
                <w:spacing w:val="-2"/>
                <w:sz w:val="24"/>
              </w:rPr>
            </w:pPr>
            <w:r>
              <w:rPr>
                <w:rStyle w:val="82"/>
                <w:rFonts w:ascii="Times New Roman" w:hAnsi="Times New Roman"/>
                <w:b/>
                <w:bCs/>
                <w:spacing w:val="-2"/>
                <w:sz w:val="24"/>
              </w:rPr>
              <w:tab/>
            </w:r>
            <w:r>
              <w:rPr>
                <w:rStyle w:val="82"/>
                <w:rFonts w:ascii="Times New Roman" w:hAnsi="Times New Roman"/>
                <w:b/>
                <w:bCs/>
                <w:spacing w:val="-2"/>
                <w:sz w:val="24"/>
              </w:rPr>
              <w:fldChar w:fldCharType="begin"/>
            </w:r>
            <w:r>
              <w:rPr>
                <w:rStyle w:val="82"/>
                <w:rFonts w:ascii="Times New Roman" w:hAnsi="Times New Roman"/>
                <w:b/>
                <w:bCs/>
                <w:spacing w:val="-2"/>
                <w:sz w:val="24"/>
              </w:rPr>
              <w:instrText xml:space="preserve">symbol 111 \f "Wingdings" \s 12</w:instrText>
            </w:r>
            <w:r>
              <w:rPr>
                <w:rStyle w:val="82"/>
                <w:rFonts w:ascii="Times New Roman" w:hAnsi="Times New Roman"/>
                <w:b/>
                <w:bCs/>
                <w:spacing w:val="-2"/>
                <w:sz w:val="24"/>
              </w:rPr>
              <w:fldChar w:fldCharType="separate"/>
            </w:r>
            <w:r>
              <w:rPr>
                <w:rStyle w:val="82"/>
                <w:rFonts w:ascii="Times New Roman" w:hAnsi="Times New Roman"/>
                <w:b/>
                <w:bCs/>
                <w:spacing w:val="-2"/>
                <w:sz w:val="24"/>
              </w:rPr>
              <w:t>o</w:t>
            </w:r>
            <w:r>
              <w:rPr>
                <w:rStyle w:val="82"/>
                <w:rFonts w:ascii="Times New Roman" w:hAnsi="Times New Roman"/>
                <w:b/>
                <w:bCs/>
                <w:spacing w:val="-2"/>
                <w:sz w:val="24"/>
              </w:rPr>
              <w:fldChar w:fldCharType="end"/>
            </w:r>
            <w:r>
              <w:rPr>
                <w:rStyle w:val="82"/>
                <w:rFonts w:ascii="Times New Roman" w:hAnsi="Times New Roman"/>
                <w:b/>
                <w:bCs/>
                <w:spacing w:val="-2"/>
                <w:sz w:val="24"/>
              </w:rPr>
              <w:t xml:space="preserve"> Owned</w:t>
            </w:r>
            <w:r>
              <w:rPr>
                <w:rStyle w:val="82"/>
                <w:rFonts w:ascii="Times New Roman" w:hAnsi="Times New Roman"/>
                <w:b/>
                <w:bCs/>
                <w:spacing w:val="-2"/>
                <w:sz w:val="24"/>
              </w:rPr>
              <w:tab/>
            </w:r>
            <w:r>
              <w:rPr>
                <w:rStyle w:val="82"/>
                <w:rFonts w:ascii="Times New Roman" w:hAnsi="Times New Roman"/>
                <w:b/>
                <w:bCs/>
                <w:spacing w:val="-2"/>
                <w:sz w:val="24"/>
              </w:rPr>
              <w:fldChar w:fldCharType="begin"/>
            </w:r>
            <w:r>
              <w:rPr>
                <w:rStyle w:val="82"/>
                <w:rFonts w:ascii="Times New Roman" w:hAnsi="Times New Roman"/>
                <w:b/>
                <w:bCs/>
                <w:spacing w:val="-2"/>
                <w:sz w:val="24"/>
              </w:rPr>
              <w:instrText xml:space="preserve">symbol 111 \f "Wingdings" \s 12</w:instrText>
            </w:r>
            <w:r>
              <w:rPr>
                <w:rStyle w:val="82"/>
                <w:rFonts w:ascii="Times New Roman" w:hAnsi="Times New Roman"/>
                <w:b/>
                <w:bCs/>
                <w:spacing w:val="-2"/>
                <w:sz w:val="24"/>
              </w:rPr>
              <w:fldChar w:fldCharType="separate"/>
            </w:r>
            <w:r>
              <w:rPr>
                <w:rStyle w:val="82"/>
                <w:rFonts w:ascii="Times New Roman" w:hAnsi="Times New Roman"/>
                <w:b/>
                <w:bCs/>
                <w:spacing w:val="-2"/>
                <w:sz w:val="24"/>
              </w:rPr>
              <w:t>o</w:t>
            </w:r>
            <w:r>
              <w:rPr>
                <w:rStyle w:val="82"/>
                <w:rFonts w:ascii="Times New Roman" w:hAnsi="Times New Roman"/>
                <w:b/>
                <w:bCs/>
                <w:spacing w:val="-2"/>
                <w:sz w:val="24"/>
              </w:rPr>
              <w:fldChar w:fldCharType="end"/>
            </w:r>
            <w:r>
              <w:rPr>
                <w:rStyle w:val="82"/>
                <w:rFonts w:ascii="Times New Roman" w:hAnsi="Times New Roman"/>
                <w:b/>
                <w:bCs/>
                <w:spacing w:val="-2"/>
                <w:sz w:val="24"/>
              </w:rPr>
              <w:t xml:space="preserve"> Rented</w:t>
            </w:r>
            <w:r>
              <w:rPr>
                <w:rStyle w:val="82"/>
                <w:rFonts w:ascii="Times New Roman" w:hAnsi="Times New Roman"/>
                <w:b/>
                <w:bCs/>
                <w:spacing w:val="-2"/>
                <w:sz w:val="24"/>
              </w:rPr>
              <w:tab/>
            </w:r>
            <w:r>
              <w:rPr>
                <w:rStyle w:val="82"/>
                <w:rFonts w:ascii="Times New Roman" w:hAnsi="Times New Roman"/>
                <w:b/>
                <w:bCs/>
                <w:spacing w:val="-2"/>
                <w:sz w:val="24"/>
              </w:rPr>
              <w:fldChar w:fldCharType="begin"/>
            </w:r>
            <w:r>
              <w:rPr>
                <w:rStyle w:val="82"/>
                <w:rFonts w:ascii="Times New Roman" w:hAnsi="Times New Roman"/>
                <w:b/>
                <w:bCs/>
                <w:spacing w:val="-2"/>
                <w:sz w:val="24"/>
              </w:rPr>
              <w:instrText xml:space="preserve">symbol 111 \f "Wingdings" \s 12</w:instrText>
            </w:r>
            <w:r>
              <w:rPr>
                <w:rStyle w:val="82"/>
                <w:rFonts w:ascii="Times New Roman" w:hAnsi="Times New Roman"/>
                <w:b/>
                <w:bCs/>
                <w:spacing w:val="-2"/>
                <w:sz w:val="24"/>
              </w:rPr>
              <w:fldChar w:fldCharType="separate"/>
            </w:r>
            <w:r>
              <w:rPr>
                <w:rStyle w:val="82"/>
                <w:rFonts w:ascii="Times New Roman" w:hAnsi="Times New Roman"/>
                <w:b/>
                <w:bCs/>
                <w:spacing w:val="-2"/>
                <w:sz w:val="24"/>
              </w:rPr>
              <w:t>o</w:t>
            </w:r>
            <w:r>
              <w:rPr>
                <w:rStyle w:val="82"/>
                <w:rFonts w:ascii="Times New Roman" w:hAnsi="Times New Roman"/>
                <w:b/>
                <w:bCs/>
                <w:spacing w:val="-2"/>
                <w:sz w:val="24"/>
              </w:rPr>
              <w:fldChar w:fldCharType="end"/>
            </w:r>
            <w:r>
              <w:rPr>
                <w:rStyle w:val="82"/>
                <w:rFonts w:ascii="Times New Roman" w:hAnsi="Times New Roman"/>
                <w:b/>
                <w:bCs/>
                <w:spacing w:val="-2"/>
                <w:sz w:val="24"/>
              </w:rPr>
              <w:t xml:space="preserve"> Leased</w:t>
            </w:r>
            <w:r>
              <w:rPr>
                <w:rStyle w:val="82"/>
                <w:rFonts w:ascii="Times New Roman" w:hAnsi="Times New Roman"/>
                <w:b/>
                <w:bCs/>
                <w:spacing w:val="-2"/>
                <w:sz w:val="24"/>
              </w:rPr>
              <w:tab/>
            </w:r>
            <w:r>
              <w:rPr>
                <w:rStyle w:val="82"/>
                <w:rFonts w:ascii="Times New Roman" w:hAnsi="Times New Roman"/>
                <w:b/>
                <w:bCs/>
                <w:spacing w:val="-2"/>
                <w:sz w:val="24"/>
              </w:rPr>
              <w:fldChar w:fldCharType="begin"/>
            </w:r>
            <w:r>
              <w:rPr>
                <w:rStyle w:val="82"/>
                <w:rFonts w:ascii="Times New Roman" w:hAnsi="Times New Roman"/>
                <w:b/>
                <w:bCs/>
                <w:spacing w:val="-2"/>
                <w:sz w:val="24"/>
              </w:rPr>
              <w:instrText xml:space="preserve">symbol 111 \f "Wingdings" \s 12</w:instrText>
            </w:r>
            <w:r>
              <w:rPr>
                <w:rStyle w:val="82"/>
                <w:rFonts w:ascii="Times New Roman" w:hAnsi="Times New Roman"/>
                <w:b/>
                <w:bCs/>
                <w:spacing w:val="-2"/>
                <w:sz w:val="24"/>
              </w:rPr>
              <w:fldChar w:fldCharType="separate"/>
            </w:r>
            <w:r>
              <w:rPr>
                <w:rStyle w:val="82"/>
                <w:rFonts w:ascii="Times New Roman" w:hAnsi="Times New Roman"/>
                <w:b/>
                <w:bCs/>
                <w:spacing w:val="-2"/>
                <w:sz w:val="24"/>
              </w:rPr>
              <w:t>o</w:t>
            </w:r>
            <w:r>
              <w:rPr>
                <w:rStyle w:val="82"/>
                <w:rFonts w:ascii="Times New Roman" w:hAnsi="Times New Roman"/>
                <w:b/>
                <w:bCs/>
                <w:spacing w:val="-2"/>
                <w:sz w:val="24"/>
              </w:rPr>
              <w:fldChar w:fldCharType="end"/>
            </w:r>
            <w:r>
              <w:rPr>
                <w:rStyle w:val="82"/>
                <w:rFonts w:ascii="Times New Roman" w:hAnsi="Times New Roman"/>
                <w:b/>
                <w:bCs/>
                <w:spacing w:val="-2"/>
                <w:sz w:val="24"/>
              </w:rPr>
              <w:t xml:space="preserve"> Specially manufactured</w:t>
            </w:r>
          </w:p>
        </w:tc>
      </w:tr>
    </w:tbl>
    <w:p w14:paraId="2C7CD3DE">
      <w:pPr>
        <w:jc w:val="both"/>
        <w:rPr>
          <w:rStyle w:val="82"/>
          <w:rFonts w:ascii="Times New Roman" w:hAnsi="Times New Roman"/>
          <w:spacing w:val="-2"/>
          <w:sz w:val="24"/>
        </w:rPr>
      </w:pPr>
    </w:p>
    <w:p w14:paraId="4BD8C663">
      <w:pPr>
        <w:jc w:val="both"/>
        <w:rPr>
          <w:rStyle w:val="82"/>
          <w:rFonts w:ascii="Times New Roman" w:hAnsi="Times New Roman"/>
          <w:iCs/>
          <w:spacing w:val="-2"/>
          <w:sz w:val="24"/>
        </w:rPr>
      </w:pPr>
    </w:p>
    <w:p w14:paraId="563F9C87">
      <w:pPr>
        <w:jc w:val="both"/>
        <w:rPr>
          <w:rStyle w:val="82"/>
          <w:rFonts w:ascii="Times New Roman" w:hAnsi="Times New Roman"/>
          <w:iCs/>
          <w:spacing w:val="-2"/>
          <w:sz w:val="24"/>
        </w:rPr>
      </w:pPr>
      <w:r>
        <w:rPr>
          <w:rStyle w:val="82"/>
          <w:rFonts w:ascii="Times New Roman" w:hAnsi="Times New Roman"/>
          <w:iCs/>
          <w:spacing w:val="-2"/>
          <w:sz w:val="24"/>
        </w:rPr>
        <w:t>The following information shall be provided only for equipment not owned by the Bidder.</w:t>
      </w:r>
    </w:p>
    <w:p w14:paraId="6164DBB4">
      <w:pPr>
        <w:jc w:val="both"/>
        <w:rPr>
          <w:rStyle w:val="82"/>
          <w:rFonts w:ascii="Times New Roman" w:hAnsi="Times New Roman"/>
          <w:b/>
          <w:bCs/>
          <w:i/>
          <w:spacing w:val="-2"/>
          <w:sz w:val="24"/>
        </w:rPr>
      </w:pPr>
    </w:p>
    <w:tbl>
      <w:tblPr>
        <w:tblStyle w:val="12"/>
        <w:tblW w:w="9360" w:type="dxa"/>
        <w:jc w:val="center"/>
        <w:tblLayout w:type="fixed"/>
        <w:tblCellMar>
          <w:top w:w="0" w:type="dxa"/>
          <w:left w:w="72" w:type="dxa"/>
          <w:bottom w:w="0" w:type="dxa"/>
          <w:right w:w="72" w:type="dxa"/>
        </w:tblCellMar>
      </w:tblPr>
      <w:tblGrid>
        <w:gridCol w:w="1415"/>
        <w:gridCol w:w="3884"/>
        <w:gridCol w:w="4061"/>
      </w:tblGrid>
      <w:tr w14:paraId="2F60C32E">
        <w:tblPrEx>
          <w:tblCellMar>
            <w:top w:w="0" w:type="dxa"/>
            <w:left w:w="72" w:type="dxa"/>
            <w:bottom w:w="0" w:type="dxa"/>
            <w:right w:w="72" w:type="dxa"/>
          </w:tblCellMar>
        </w:tblPrEx>
        <w:trPr>
          <w:cantSplit/>
          <w:jc w:val="center"/>
        </w:trPr>
        <w:tc>
          <w:tcPr>
            <w:tcW w:w="1440" w:type="dxa"/>
            <w:tcBorders>
              <w:top w:val="single" w:color="auto" w:sz="6" w:space="0"/>
              <w:left w:val="single" w:color="auto" w:sz="6" w:space="0"/>
            </w:tcBorders>
          </w:tcPr>
          <w:p w14:paraId="754D8179">
            <w:pPr>
              <w:jc w:val="both"/>
              <w:rPr>
                <w:rStyle w:val="82"/>
                <w:rFonts w:ascii="Times New Roman" w:hAnsi="Times New Roman"/>
                <w:b/>
                <w:bCs/>
                <w:spacing w:val="-2"/>
                <w:sz w:val="24"/>
              </w:rPr>
            </w:pPr>
            <w:r>
              <w:rPr>
                <w:rStyle w:val="82"/>
                <w:rFonts w:ascii="Times New Roman" w:hAnsi="Times New Roman"/>
                <w:b/>
                <w:bCs/>
                <w:spacing w:val="-2"/>
                <w:sz w:val="24"/>
              </w:rPr>
              <w:t>Owner</w:t>
            </w:r>
          </w:p>
        </w:tc>
        <w:tc>
          <w:tcPr>
            <w:tcW w:w="8100" w:type="dxa"/>
            <w:gridSpan w:val="2"/>
            <w:tcBorders>
              <w:top w:val="single" w:color="auto" w:sz="6" w:space="0"/>
              <w:left w:val="single" w:color="auto" w:sz="6" w:space="0"/>
              <w:right w:val="single" w:color="auto" w:sz="6" w:space="0"/>
            </w:tcBorders>
          </w:tcPr>
          <w:p w14:paraId="396CED2D">
            <w:pPr>
              <w:jc w:val="both"/>
              <w:rPr>
                <w:rStyle w:val="82"/>
                <w:rFonts w:ascii="Times New Roman" w:hAnsi="Times New Roman"/>
                <w:b/>
                <w:bCs/>
                <w:spacing w:val="-2"/>
                <w:sz w:val="24"/>
              </w:rPr>
            </w:pPr>
            <w:r>
              <w:rPr>
                <w:rStyle w:val="82"/>
                <w:rFonts w:ascii="Times New Roman" w:hAnsi="Times New Roman"/>
                <w:b/>
                <w:bCs/>
                <w:spacing w:val="-2"/>
                <w:sz w:val="24"/>
              </w:rPr>
              <w:t>Name of owner</w:t>
            </w:r>
          </w:p>
          <w:p w14:paraId="22D3B8AE">
            <w:pPr>
              <w:jc w:val="both"/>
              <w:rPr>
                <w:rStyle w:val="82"/>
                <w:rFonts w:ascii="Times New Roman" w:hAnsi="Times New Roman"/>
                <w:b/>
                <w:bCs/>
                <w:spacing w:val="-2"/>
                <w:sz w:val="24"/>
              </w:rPr>
            </w:pPr>
          </w:p>
        </w:tc>
      </w:tr>
      <w:tr w14:paraId="78086128">
        <w:tblPrEx>
          <w:tblCellMar>
            <w:top w:w="0" w:type="dxa"/>
            <w:left w:w="72" w:type="dxa"/>
            <w:bottom w:w="0" w:type="dxa"/>
            <w:right w:w="72" w:type="dxa"/>
          </w:tblCellMar>
        </w:tblPrEx>
        <w:trPr>
          <w:cantSplit/>
          <w:jc w:val="center"/>
        </w:trPr>
        <w:tc>
          <w:tcPr>
            <w:tcW w:w="1440" w:type="dxa"/>
            <w:tcBorders>
              <w:left w:val="single" w:color="auto" w:sz="6" w:space="0"/>
            </w:tcBorders>
          </w:tcPr>
          <w:p w14:paraId="2E2C78A1">
            <w:pPr>
              <w:jc w:val="both"/>
              <w:rPr>
                <w:rStyle w:val="82"/>
                <w:rFonts w:ascii="Times New Roman" w:hAnsi="Times New Roman"/>
                <w:b/>
                <w:bCs/>
                <w:spacing w:val="-2"/>
                <w:sz w:val="24"/>
              </w:rPr>
            </w:pPr>
          </w:p>
        </w:tc>
        <w:tc>
          <w:tcPr>
            <w:tcW w:w="8100" w:type="dxa"/>
            <w:gridSpan w:val="2"/>
            <w:tcBorders>
              <w:top w:val="single" w:color="auto" w:sz="6" w:space="0"/>
              <w:left w:val="single" w:color="auto" w:sz="6" w:space="0"/>
              <w:right w:val="single" w:color="auto" w:sz="6" w:space="0"/>
            </w:tcBorders>
          </w:tcPr>
          <w:p w14:paraId="7B1C85D0">
            <w:pPr>
              <w:jc w:val="both"/>
              <w:rPr>
                <w:rStyle w:val="82"/>
                <w:rFonts w:ascii="Times New Roman" w:hAnsi="Times New Roman"/>
                <w:b/>
                <w:bCs/>
                <w:spacing w:val="-2"/>
                <w:sz w:val="24"/>
              </w:rPr>
            </w:pPr>
            <w:r>
              <w:rPr>
                <w:rStyle w:val="82"/>
                <w:rFonts w:ascii="Times New Roman" w:hAnsi="Times New Roman"/>
                <w:b/>
                <w:bCs/>
                <w:spacing w:val="-2"/>
                <w:sz w:val="24"/>
              </w:rPr>
              <w:t>Address of owner</w:t>
            </w:r>
          </w:p>
          <w:p w14:paraId="104667CA">
            <w:pPr>
              <w:jc w:val="both"/>
              <w:rPr>
                <w:rStyle w:val="82"/>
                <w:rFonts w:ascii="Times New Roman" w:hAnsi="Times New Roman"/>
                <w:b/>
                <w:bCs/>
                <w:spacing w:val="-2"/>
                <w:sz w:val="24"/>
              </w:rPr>
            </w:pPr>
          </w:p>
        </w:tc>
      </w:tr>
      <w:tr w14:paraId="63F98769">
        <w:tblPrEx>
          <w:tblCellMar>
            <w:top w:w="0" w:type="dxa"/>
            <w:left w:w="72" w:type="dxa"/>
            <w:bottom w:w="0" w:type="dxa"/>
            <w:right w:w="72" w:type="dxa"/>
          </w:tblCellMar>
        </w:tblPrEx>
        <w:trPr>
          <w:cantSplit/>
          <w:jc w:val="center"/>
        </w:trPr>
        <w:tc>
          <w:tcPr>
            <w:tcW w:w="1440" w:type="dxa"/>
            <w:tcBorders>
              <w:left w:val="single" w:color="auto" w:sz="6" w:space="0"/>
            </w:tcBorders>
          </w:tcPr>
          <w:p w14:paraId="7484453F">
            <w:pPr>
              <w:jc w:val="both"/>
              <w:rPr>
                <w:rStyle w:val="82"/>
                <w:rFonts w:ascii="Times New Roman" w:hAnsi="Times New Roman"/>
                <w:b/>
                <w:bCs/>
                <w:spacing w:val="-2"/>
                <w:sz w:val="24"/>
              </w:rPr>
            </w:pPr>
          </w:p>
        </w:tc>
        <w:tc>
          <w:tcPr>
            <w:tcW w:w="8100" w:type="dxa"/>
            <w:gridSpan w:val="2"/>
            <w:tcBorders>
              <w:left w:val="single" w:color="auto" w:sz="6" w:space="0"/>
              <w:right w:val="single" w:color="auto" w:sz="6" w:space="0"/>
            </w:tcBorders>
          </w:tcPr>
          <w:p w14:paraId="11617CB3">
            <w:pPr>
              <w:jc w:val="both"/>
              <w:rPr>
                <w:rStyle w:val="82"/>
                <w:rFonts w:ascii="Times New Roman" w:hAnsi="Times New Roman"/>
                <w:b/>
                <w:bCs/>
                <w:spacing w:val="-2"/>
                <w:sz w:val="24"/>
              </w:rPr>
            </w:pPr>
          </w:p>
        </w:tc>
      </w:tr>
      <w:tr w14:paraId="1AD50E2C">
        <w:tblPrEx>
          <w:tblCellMar>
            <w:top w:w="0" w:type="dxa"/>
            <w:left w:w="72" w:type="dxa"/>
            <w:bottom w:w="0" w:type="dxa"/>
            <w:right w:w="72" w:type="dxa"/>
          </w:tblCellMar>
        </w:tblPrEx>
        <w:trPr>
          <w:cantSplit/>
          <w:jc w:val="center"/>
        </w:trPr>
        <w:tc>
          <w:tcPr>
            <w:tcW w:w="1440" w:type="dxa"/>
            <w:tcBorders>
              <w:left w:val="single" w:color="auto" w:sz="6" w:space="0"/>
            </w:tcBorders>
          </w:tcPr>
          <w:p w14:paraId="76CCC3AC">
            <w:pPr>
              <w:jc w:val="both"/>
              <w:rPr>
                <w:rStyle w:val="82"/>
                <w:rFonts w:ascii="Times New Roman" w:hAnsi="Times New Roman"/>
                <w:b/>
                <w:bCs/>
                <w:spacing w:val="-2"/>
                <w:sz w:val="24"/>
              </w:rPr>
            </w:pPr>
          </w:p>
        </w:tc>
        <w:tc>
          <w:tcPr>
            <w:tcW w:w="3960" w:type="dxa"/>
            <w:tcBorders>
              <w:top w:val="single" w:color="auto" w:sz="6" w:space="0"/>
              <w:left w:val="single" w:color="auto" w:sz="6" w:space="0"/>
            </w:tcBorders>
          </w:tcPr>
          <w:p w14:paraId="287B9958">
            <w:pPr>
              <w:jc w:val="both"/>
              <w:rPr>
                <w:rStyle w:val="82"/>
                <w:rFonts w:ascii="Times New Roman" w:hAnsi="Times New Roman"/>
                <w:b/>
                <w:bCs/>
                <w:spacing w:val="-2"/>
                <w:sz w:val="24"/>
              </w:rPr>
            </w:pPr>
            <w:r>
              <w:rPr>
                <w:rStyle w:val="82"/>
                <w:rFonts w:ascii="Times New Roman" w:hAnsi="Times New Roman"/>
                <w:b/>
                <w:bCs/>
                <w:spacing w:val="-2"/>
                <w:sz w:val="24"/>
              </w:rPr>
              <w:t>Telephone</w:t>
            </w:r>
          </w:p>
          <w:p w14:paraId="28B68230">
            <w:pPr>
              <w:jc w:val="both"/>
              <w:rPr>
                <w:rStyle w:val="82"/>
                <w:rFonts w:ascii="Times New Roman" w:hAnsi="Times New Roman"/>
                <w:b/>
                <w:bCs/>
                <w:spacing w:val="-2"/>
                <w:sz w:val="24"/>
              </w:rPr>
            </w:pPr>
          </w:p>
        </w:tc>
        <w:tc>
          <w:tcPr>
            <w:tcW w:w="4140" w:type="dxa"/>
            <w:tcBorders>
              <w:top w:val="single" w:color="auto" w:sz="6" w:space="0"/>
              <w:left w:val="single" w:color="auto" w:sz="6" w:space="0"/>
              <w:right w:val="single" w:color="auto" w:sz="6" w:space="0"/>
            </w:tcBorders>
          </w:tcPr>
          <w:p w14:paraId="7CAD2E45">
            <w:pPr>
              <w:jc w:val="both"/>
              <w:rPr>
                <w:rStyle w:val="82"/>
                <w:rFonts w:ascii="Times New Roman" w:hAnsi="Times New Roman"/>
                <w:b/>
                <w:bCs/>
                <w:spacing w:val="-2"/>
                <w:sz w:val="24"/>
              </w:rPr>
            </w:pPr>
            <w:r>
              <w:rPr>
                <w:rStyle w:val="82"/>
                <w:rFonts w:ascii="Times New Roman" w:hAnsi="Times New Roman"/>
                <w:b/>
                <w:bCs/>
                <w:spacing w:val="-2"/>
                <w:sz w:val="24"/>
              </w:rPr>
              <w:t>Contact name and title</w:t>
            </w:r>
          </w:p>
        </w:tc>
      </w:tr>
      <w:tr w14:paraId="7C36B7E8">
        <w:tblPrEx>
          <w:tblCellMar>
            <w:top w:w="0" w:type="dxa"/>
            <w:left w:w="72" w:type="dxa"/>
            <w:bottom w:w="0" w:type="dxa"/>
            <w:right w:w="72" w:type="dxa"/>
          </w:tblCellMar>
        </w:tblPrEx>
        <w:trPr>
          <w:cantSplit/>
          <w:jc w:val="center"/>
        </w:trPr>
        <w:tc>
          <w:tcPr>
            <w:tcW w:w="1440" w:type="dxa"/>
            <w:tcBorders>
              <w:left w:val="single" w:color="auto" w:sz="6" w:space="0"/>
            </w:tcBorders>
          </w:tcPr>
          <w:p w14:paraId="7A8D6042">
            <w:pPr>
              <w:jc w:val="both"/>
              <w:rPr>
                <w:rStyle w:val="82"/>
                <w:rFonts w:ascii="Times New Roman" w:hAnsi="Times New Roman"/>
                <w:b/>
                <w:bCs/>
                <w:spacing w:val="-2"/>
                <w:sz w:val="24"/>
              </w:rPr>
            </w:pPr>
          </w:p>
        </w:tc>
        <w:tc>
          <w:tcPr>
            <w:tcW w:w="3960" w:type="dxa"/>
            <w:tcBorders>
              <w:top w:val="single" w:color="auto" w:sz="6" w:space="0"/>
              <w:left w:val="single" w:color="auto" w:sz="6" w:space="0"/>
            </w:tcBorders>
          </w:tcPr>
          <w:p w14:paraId="1CB2BF9C">
            <w:pPr>
              <w:jc w:val="both"/>
              <w:rPr>
                <w:rStyle w:val="82"/>
                <w:rFonts w:ascii="Times New Roman" w:hAnsi="Times New Roman"/>
                <w:b/>
                <w:bCs/>
                <w:spacing w:val="-2"/>
                <w:sz w:val="24"/>
              </w:rPr>
            </w:pPr>
            <w:r>
              <w:rPr>
                <w:rStyle w:val="82"/>
                <w:rFonts w:ascii="Times New Roman" w:hAnsi="Times New Roman"/>
                <w:b/>
                <w:bCs/>
                <w:spacing w:val="-2"/>
                <w:sz w:val="24"/>
              </w:rPr>
              <w:t>Fax</w:t>
            </w:r>
          </w:p>
          <w:p w14:paraId="106D926D">
            <w:pPr>
              <w:jc w:val="both"/>
              <w:rPr>
                <w:rStyle w:val="82"/>
                <w:rFonts w:ascii="Times New Roman" w:hAnsi="Times New Roman"/>
                <w:b/>
                <w:bCs/>
                <w:spacing w:val="-2"/>
                <w:sz w:val="24"/>
              </w:rPr>
            </w:pPr>
          </w:p>
        </w:tc>
        <w:tc>
          <w:tcPr>
            <w:tcW w:w="4140" w:type="dxa"/>
            <w:tcBorders>
              <w:top w:val="single" w:color="auto" w:sz="6" w:space="0"/>
              <w:left w:val="single" w:color="auto" w:sz="6" w:space="0"/>
              <w:right w:val="single" w:color="auto" w:sz="6" w:space="0"/>
            </w:tcBorders>
          </w:tcPr>
          <w:p w14:paraId="56970F67">
            <w:pPr>
              <w:jc w:val="both"/>
              <w:rPr>
                <w:rStyle w:val="82"/>
                <w:rFonts w:ascii="Times New Roman" w:hAnsi="Times New Roman"/>
                <w:b/>
                <w:bCs/>
                <w:spacing w:val="-2"/>
                <w:sz w:val="24"/>
              </w:rPr>
            </w:pPr>
            <w:r>
              <w:rPr>
                <w:rStyle w:val="82"/>
                <w:rFonts w:ascii="Times New Roman" w:hAnsi="Times New Roman"/>
                <w:b/>
                <w:bCs/>
                <w:spacing w:val="-2"/>
                <w:sz w:val="24"/>
              </w:rPr>
              <w:t>Telex</w:t>
            </w:r>
          </w:p>
        </w:tc>
      </w:tr>
      <w:tr w14:paraId="096E4D22">
        <w:tblPrEx>
          <w:tblCellMar>
            <w:top w:w="0" w:type="dxa"/>
            <w:left w:w="72" w:type="dxa"/>
            <w:bottom w:w="0" w:type="dxa"/>
            <w:right w:w="72" w:type="dxa"/>
          </w:tblCellMar>
        </w:tblPrEx>
        <w:trPr>
          <w:cantSplit/>
          <w:jc w:val="center"/>
        </w:trPr>
        <w:tc>
          <w:tcPr>
            <w:tcW w:w="1440" w:type="dxa"/>
            <w:tcBorders>
              <w:top w:val="single" w:color="auto" w:sz="6" w:space="0"/>
              <w:left w:val="single" w:color="auto" w:sz="6" w:space="0"/>
            </w:tcBorders>
          </w:tcPr>
          <w:p w14:paraId="5A3A4926">
            <w:pPr>
              <w:jc w:val="both"/>
              <w:rPr>
                <w:rStyle w:val="82"/>
                <w:rFonts w:ascii="Times New Roman" w:hAnsi="Times New Roman"/>
                <w:b/>
                <w:bCs/>
                <w:spacing w:val="-2"/>
                <w:sz w:val="24"/>
              </w:rPr>
            </w:pPr>
            <w:r>
              <w:rPr>
                <w:rStyle w:val="82"/>
                <w:rFonts w:ascii="Times New Roman" w:hAnsi="Times New Roman"/>
                <w:b/>
                <w:bCs/>
                <w:spacing w:val="-2"/>
                <w:sz w:val="24"/>
              </w:rPr>
              <w:t>Agreements</w:t>
            </w:r>
          </w:p>
        </w:tc>
        <w:tc>
          <w:tcPr>
            <w:tcW w:w="8100" w:type="dxa"/>
            <w:gridSpan w:val="2"/>
            <w:tcBorders>
              <w:top w:val="single" w:color="auto" w:sz="6" w:space="0"/>
              <w:left w:val="single" w:color="auto" w:sz="6" w:space="0"/>
              <w:right w:val="single" w:color="auto" w:sz="6" w:space="0"/>
            </w:tcBorders>
          </w:tcPr>
          <w:p w14:paraId="0915190A">
            <w:pPr>
              <w:jc w:val="both"/>
              <w:rPr>
                <w:rStyle w:val="82"/>
                <w:rFonts w:ascii="Times New Roman" w:hAnsi="Times New Roman"/>
                <w:b/>
                <w:bCs/>
                <w:spacing w:val="-2"/>
                <w:sz w:val="24"/>
              </w:rPr>
            </w:pPr>
            <w:r>
              <w:rPr>
                <w:rStyle w:val="82"/>
                <w:rFonts w:ascii="Times New Roman" w:hAnsi="Times New Roman"/>
                <w:b/>
                <w:bCs/>
                <w:spacing w:val="-2"/>
                <w:sz w:val="24"/>
              </w:rPr>
              <w:t>Details of rental / lease / manufacture agreements specific to the project</w:t>
            </w:r>
          </w:p>
        </w:tc>
      </w:tr>
      <w:tr w14:paraId="49B781BB">
        <w:tblPrEx>
          <w:tblCellMar>
            <w:top w:w="0" w:type="dxa"/>
            <w:left w:w="72" w:type="dxa"/>
            <w:bottom w:w="0" w:type="dxa"/>
            <w:right w:w="72" w:type="dxa"/>
          </w:tblCellMar>
        </w:tblPrEx>
        <w:trPr>
          <w:cantSplit/>
          <w:jc w:val="center"/>
        </w:trPr>
        <w:tc>
          <w:tcPr>
            <w:tcW w:w="1440" w:type="dxa"/>
            <w:tcBorders>
              <w:top w:val="dotted" w:color="auto" w:sz="4" w:space="0"/>
              <w:left w:val="single" w:color="auto" w:sz="6" w:space="0"/>
              <w:bottom w:val="dotted" w:color="auto" w:sz="4" w:space="0"/>
            </w:tcBorders>
          </w:tcPr>
          <w:p w14:paraId="6791C32D">
            <w:pPr>
              <w:jc w:val="both"/>
              <w:rPr>
                <w:rStyle w:val="82"/>
                <w:rFonts w:ascii="Times New Roman" w:hAnsi="Times New Roman"/>
                <w:b/>
                <w:bCs/>
                <w:spacing w:val="-2"/>
                <w:sz w:val="24"/>
              </w:rPr>
            </w:pPr>
          </w:p>
        </w:tc>
        <w:tc>
          <w:tcPr>
            <w:tcW w:w="8100" w:type="dxa"/>
            <w:gridSpan w:val="2"/>
            <w:tcBorders>
              <w:top w:val="dotted" w:color="auto" w:sz="4" w:space="0"/>
              <w:left w:val="single" w:color="auto" w:sz="6" w:space="0"/>
              <w:bottom w:val="dotted" w:color="auto" w:sz="4" w:space="0"/>
              <w:right w:val="single" w:color="auto" w:sz="6" w:space="0"/>
            </w:tcBorders>
          </w:tcPr>
          <w:p w14:paraId="5DF98D88">
            <w:pPr>
              <w:jc w:val="both"/>
              <w:rPr>
                <w:rStyle w:val="82"/>
                <w:rFonts w:ascii="Times New Roman" w:hAnsi="Times New Roman"/>
                <w:b/>
                <w:bCs/>
                <w:spacing w:val="-2"/>
                <w:sz w:val="24"/>
              </w:rPr>
            </w:pPr>
          </w:p>
        </w:tc>
      </w:tr>
      <w:tr w14:paraId="2F291D54">
        <w:tblPrEx>
          <w:tblCellMar>
            <w:top w:w="0" w:type="dxa"/>
            <w:left w:w="72" w:type="dxa"/>
            <w:bottom w:w="0" w:type="dxa"/>
            <w:right w:w="72" w:type="dxa"/>
          </w:tblCellMar>
        </w:tblPrEx>
        <w:trPr>
          <w:cantSplit/>
          <w:jc w:val="center"/>
        </w:trPr>
        <w:tc>
          <w:tcPr>
            <w:tcW w:w="1440" w:type="dxa"/>
            <w:tcBorders>
              <w:left w:val="single" w:color="auto" w:sz="6" w:space="0"/>
              <w:bottom w:val="single" w:color="auto" w:sz="6" w:space="0"/>
            </w:tcBorders>
          </w:tcPr>
          <w:p w14:paraId="1FF8CF48">
            <w:pPr>
              <w:jc w:val="both"/>
              <w:rPr>
                <w:rStyle w:val="82"/>
                <w:rFonts w:ascii="Times New Roman" w:hAnsi="Times New Roman"/>
                <w:b/>
                <w:bCs/>
                <w:spacing w:val="-2"/>
                <w:sz w:val="24"/>
              </w:rPr>
            </w:pPr>
          </w:p>
        </w:tc>
        <w:tc>
          <w:tcPr>
            <w:tcW w:w="8100" w:type="dxa"/>
            <w:gridSpan w:val="2"/>
            <w:tcBorders>
              <w:left w:val="single" w:color="auto" w:sz="6" w:space="0"/>
              <w:bottom w:val="single" w:color="auto" w:sz="6" w:space="0"/>
              <w:right w:val="single" w:color="auto" w:sz="6" w:space="0"/>
            </w:tcBorders>
          </w:tcPr>
          <w:p w14:paraId="2734C9A9">
            <w:pPr>
              <w:jc w:val="both"/>
              <w:rPr>
                <w:rStyle w:val="82"/>
                <w:rFonts w:ascii="Times New Roman" w:hAnsi="Times New Roman"/>
                <w:b/>
                <w:bCs/>
                <w:spacing w:val="-2"/>
                <w:sz w:val="24"/>
              </w:rPr>
            </w:pPr>
          </w:p>
        </w:tc>
      </w:tr>
    </w:tbl>
    <w:p w14:paraId="5756FD8D">
      <w:pPr>
        <w:rPr>
          <w:rFonts w:ascii="Arial" w:hAnsi="Arial" w:cs="Arial"/>
        </w:rPr>
      </w:pPr>
    </w:p>
    <w:p w14:paraId="3F49E27D">
      <w:pPr>
        <w:pStyle w:val="156"/>
      </w:pPr>
      <w:r>
        <w:br w:type="page"/>
      </w:r>
      <w:bookmarkStart w:id="418" w:name="_Toc178519595"/>
      <w:r>
        <w:t>Site Organization</w:t>
      </w:r>
      <w:bookmarkEnd w:id="418"/>
    </w:p>
    <w:p w14:paraId="0061BDBD">
      <w:pPr>
        <w:pStyle w:val="152"/>
        <w:tabs>
          <w:tab w:val="left" w:pos="3500"/>
        </w:tabs>
        <w:jc w:val="both"/>
        <w:rPr>
          <w:b w:val="0"/>
          <w:color w:val="000000"/>
          <w:sz w:val="24"/>
          <w:szCs w:val="24"/>
        </w:rPr>
      </w:pPr>
      <w:r>
        <w:rPr>
          <w:b w:val="0"/>
          <w:color w:val="000000"/>
          <w:sz w:val="28"/>
        </w:rPr>
        <w:t>Bidder to provide brief description of Site Organization, including Organization Chart showing lines of hierarchy and any sub-contractors. A brief description of duties and responsibilities of the Key Personnel in the Organization Chart should be given.</w:t>
      </w:r>
    </w:p>
    <w:p w14:paraId="40B89BA8">
      <w:pPr>
        <w:tabs>
          <w:tab w:val="left" w:pos="5238"/>
          <w:tab w:val="left" w:pos="5474"/>
          <w:tab w:val="left" w:pos="9468"/>
        </w:tabs>
        <w:ind w:left="-90"/>
        <w:rPr>
          <w:b/>
          <w:bCs/>
          <w:color w:val="000000"/>
          <w:sz w:val="28"/>
        </w:rPr>
      </w:pPr>
    </w:p>
    <w:p w14:paraId="05384504">
      <w:pPr>
        <w:pStyle w:val="54"/>
        <w:spacing w:after="120"/>
        <w:ind w:left="180" w:right="288"/>
        <w:jc w:val="left"/>
        <w:rPr>
          <w:rFonts w:cs="Arial"/>
          <w:sz w:val="20"/>
        </w:rPr>
      </w:pPr>
    </w:p>
    <w:p w14:paraId="5ABC692B">
      <w:pPr>
        <w:pStyle w:val="156"/>
        <w:rPr>
          <w:b w:val="0"/>
          <w:sz w:val="36"/>
        </w:rPr>
      </w:pPr>
      <w:r>
        <w:br w:type="page"/>
      </w:r>
      <w:bookmarkStart w:id="419" w:name="_Toc178519596"/>
      <w:r>
        <w:t>Method Statement</w:t>
      </w:r>
      <w:bookmarkEnd w:id="419"/>
    </w:p>
    <w:p w14:paraId="7CE70E56">
      <w:pPr>
        <w:tabs>
          <w:tab w:val="left" w:pos="5238"/>
          <w:tab w:val="left" w:pos="5474"/>
          <w:tab w:val="left" w:pos="9468"/>
        </w:tabs>
        <w:rPr>
          <w:b/>
          <w:bCs/>
          <w:color w:val="000000"/>
          <w:sz w:val="28"/>
        </w:rPr>
      </w:pPr>
    </w:p>
    <w:p w14:paraId="73F605BC">
      <w:r>
        <w:t>The Bidder shall provide a detailed and comprehensive Method Statement with his Bid showing how he proposes to execute the Works, including but not limited to:</w:t>
      </w:r>
    </w:p>
    <w:p w14:paraId="4046E573"/>
    <w:p w14:paraId="7ADD32D5">
      <w:pPr>
        <w:pStyle w:val="176"/>
        <w:numPr>
          <w:ilvl w:val="0"/>
          <w:numId w:val="49"/>
        </w:numPr>
        <w:spacing w:after="120"/>
        <w:contextualSpacing w:val="0"/>
        <w:rPr>
          <w:szCs w:val="24"/>
        </w:rPr>
      </w:pPr>
      <w:r>
        <w:rPr>
          <w:szCs w:val="24"/>
        </w:rPr>
        <w:t>Project Planning and Management including details of number(s) and location(s) of Proposed Contractor’s Camp(s) and Store(s).</w:t>
      </w:r>
    </w:p>
    <w:p w14:paraId="12F40F37">
      <w:pPr>
        <w:pStyle w:val="176"/>
        <w:numPr>
          <w:ilvl w:val="0"/>
          <w:numId w:val="49"/>
        </w:numPr>
        <w:spacing w:after="120"/>
        <w:contextualSpacing w:val="0"/>
        <w:rPr>
          <w:szCs w:val="24"/>
        </w:rPr>
      </w:pPr>
      <w:r>
        <w:t>Statement of Commitment and Bidder’s proposed Procedures to comply with the labour standards of the International Labour Organization (ILO).</w:t>
      </w:r>
    </w:p>
    <w:p w14:paraId="37F871F2">
      <w:pPr>
        <w:pStyle w:val="176"/>
        <w:numPr>
          <w:ilvl w:val="0"/>
          <w:numId w:val="49"/>
        </w:numPr>
        <w:spacing w:after="120"/>
        <w:contextualSpacing w:val="0"/>
      </w:pPr>
      <w:r>
        <w:t>Method Statement of the Bidder’s proposed Operational Safety and Health (OSH) Procedures and CV of designated person(s) in charge.</w:t>
      </w:r>
    </w:p>
    <w:p w14:paraId="513816E5">
      <w:pPr>
        <w:pStyle w:val="176"/>
        <w:numPr>
          <w:ilvl w:val="0"/>
          <w:numId w:val="49"/>
        </w:numPr>
        <w:spacing w:after="120"/>
        <w:contextualSpacing w:val="0"/>
      </w:pPr>
      <w:r>
        <w:t>Description of the Bidder’s proposed Quality Assurance System and CV of designated person(s) in charge.</w:t>
      </w:r>
    </w:p>
    <w:p w14:paraId="6FD3420E">
      <w:pPr>
        <w:pStyle w:val="176"/>
        <w:numPr>
          <w:ilvl w:val="0"/>
          <w:numId w:val="49"/>
        </w:numPr>
        <w:spacing w:after="120"/>
        <w:contextualSpacing w:val="0"/>
      </w:pPr>
      <w:r>
        <w:t>Method Statement of the Bidder’s proposed Environmental Management System at the construction site(s), including the organizational structure thereof and an outline of the resources to ensure compliance with the requirements and conditions of the project’s Environmental Management Plan, relative to at least:</w:t>
      </w:r>
    </w:p>
    <w:p w14:paraId="1699FE63">
      <w:pPr>
        <w:pStyle w:val="176"/>
        <w:numPr>
          <w:ilvl w:val="0"/>
          <w:numId w:val="50"/>
        </w:numPr>
        <w:spacing w:line="276" w:lineRule="auto"/>
        <w:contextualSpacing w:val="0"/>
      </w:pPr>
      <w:r>
        <w:t>Waste management,</w:t>
      </w:r>
    </w:p>
    <w:p w14:paraId="2CC0D3A3">
      <w:pPr>
        <w:pStyle w:val="176"/>
        <w:numPr>
          <w:ilvl w:val="0"/>
          <w:numId w:val="50"/>
        </w:numPr>
        <w:spacing w:line="276" w:lineRule="auto"/>
        <w:contextualSpacing w:val="0"/>
      </w:pPr>
      <w:r>
        <w:t>Noise and excessive vibrations pollution control, and air pollution control,</w:t>
      </w:r>
    </w:p>
    <w:p w14:paraId="7C83EC7A">
      <w:pPr>
        <w:pStyle w:val="176"/>
        <w:numPr>
          <w:ilvl w:val="0"/>
          <w:numId w:val="50"/>
        </w:numPr>
        <w:spacing w:line="276" w:lineRule="auto"/>
        <w:contextualSpacing w:val="0"/>
      </w:pPr>
      <w:r>
        <w:t>Water quality,</w:t>
      </w:r>
    </w:p>
    <w:p w14:paraId="6C140379">
      <w:pPr>
        <w:pStyle w:val="176"/>
        <w:numPr>
          <w:ilvl w:val="0"/>
          <w:numId w:val="50"/>
        </w:numPr>
        <w:spacing w:line="276" w:lineRule="auto"/>
        <w:contextualSpacing w:val="0"/>
      </w:pPr>
      <w:r>
        <w:t>Operational Safety and Health (OSH) measures, Personal Protection Equipment (PPE) and related training, and sanitary facilities for workers,</w:t>
      </w:r>
    </w:p>
    <w:p w14:paraId="56D61C3C">
      <w:pPr>
        <w:pStyle w:val="176"/>
        <w:numPr>
          <w:ilvl w:val="0"/>
          <w:numId w:val="50"/>
        </w:numPr>
        <w:spacing w:line="276" w:lineRule="auto"/>
        <w:contextualSpacing w:val="0"/>
      </w:pPr>
      <w:r>
        <w:t>Traffic Management Plan.</w:t>
      </w:r>
    </w:p>
    <w:p w14:paraId="6F061D8F">
      <w:pPr>
        <w:pStyle w:val="176"/>
        <w:ind w:left="1440"/>
        <w:contextualSpacing w:val="0"/>
        <w:rPr>
          <w:sz w:val="14"/>
        </w:rPr>
      </w:pPr>
    </w:p>
    <w:p w14:paraId="58A8E924">
      <w:pPr>
        <w:pStyle w:val="176"/>
        <w:numPr>
          <w:ilvl w:val="0"/>
          <w:numId w:val="49"/>
        </w:numPr>
        <w:spacing w:after="120"/>
        <w:contextualSpacing w:val="0"/>
      </w:pPr>
      <w:r>
        <w:t>Method Statement for Rock Excavation in areas where blasting is not allowed.</w:t>
      </w:r>
    </w:p>
    <w:p w14:paraId="6304DD06">
      <w:pPr>
        <w:pStyle w:val="176"/>
        <w:numPr>
          <w:ilvl w:val="0"/>
          <w:numId w:val="49"/>
        </w:numPr>
        <w:spacing w:after="120"/>
        <w:contextualSpacing w:val="0"/>
      </w:pPr>
      <w:r>
        <w:t>Method Statement for Public Safety / Public Relations.</w:t>
      </w:r>
    </w:p>
    <w:p w14:paraId="4CA00BF1">
      <w:pPr>
        <w:tabs>
          <w:tab w:val="left" w:pos="5238"/>
          <w:tab w:val="left" w:pos="5474"/>
          <w:tab w:val="left" w:pos="9468"/>
        </w:tabs>
        <w:rPr>
          <w:color w:val="000000"/>
          <w:sz w:val="28"/>
        </w:rPr>
      </w:pPr>
      <w:r>
        <w:t>Any other Method Statement required by specific items in the Bills of Quantities.</w:t>
      </w:r>
    </w:p>
    <w:p w14:paraId="02BBAF77">
      <w:pPr>
        <w:pStyle w:val="156"/>
        <w:tabs>
          <w:tab w:val="left" w:pos="3320"/>
        </w:tabs>
        <w:jc w:val="left"/>
      </w:pPr>
    </w:p>
    <w:p w14:paraId="471DFFAA">
      <w:pPr>
        <w:pStyle w:val="156"/>
        <w:rPr>
          <w:b w:val="0"/>
          <w:sz w:val="36"/>
        </w:rPr>
      </w:pPr>
      <w:r>
        <w:br w:type="page"/>
      </w:r>
      <w:bookmarkStart w:id="420" w:name="_Toc178519597"/>
      <w:r>
        <w:t>Mobilization Schedule</w:t>
      </w:r>
      <w:bookmarkEnd w:id="420"/>
    </w:p>
    <w:p w14:paraId="20C58D9F">
      <w:pPr>
        <w:tabs>
          <w:tab w:val="left" w:pos="5238"/>
          <w:tab w:val="left" w:pos="5474"/>
          <w:tab w:val="left" w:pos="9468"/>
        </w:tabs>
        <w:ind w:left="450"/>
        <w:jc w:val="center"/>
        <w:rPr>
          <w:i/>
        </w:rPr>
      </w:pPr>
    </w:p>
    <w:p w14:paraId="64E5F180">
      <w:pPr>
        <w:tabs>
          <w:tab w:val="left" w:pos="5238"/>
          <w:tab w:val="left" w:pos="5474"/>
          <w:tab w:val="left" w:pos="9468"/>
        </w:tabs>
        <w:ind w:left="450"/>
        <w:jc w:val="both"/>
        <w:rPr>
          <w:b/>
          <w:iCs/>
          <w:sz w:val="36"/>
        </w:rPr>
      </w:pPr>
      <w:r>
        <w:rPr>
          <w:iCs/>
        </w:rPr>
        <w:t xml:space="preserve">The Bidder shall indicate the times required for mobilization including, where necessary, importation into Kenya of Key Items of plant and equipment to be used in the Works, Establishment of Site Offices and other Facilities, Mobilization of Staff and Labour, etc. </w:t>
      </w:r>
      <w:r>
        <w:rPr>
          <w:b/>
          <w:iCs/>
          <w:sz w:val="36"/>
        </w:rPr>
        <w:br w:type="page"/>
      </w:r>
    </w:p>
    <w:p w14:paraId="646EA60C">
      <w:pPr>
        <w:pStyle w:val="156"/>
      </w:pPr>
      <w:bookmarkStart w:id="421" w:name="_Toc178519598"/>
      <w:bookmarkStart w:id="422" w:name="_Toc454652790"/>
      <w:r>
        <w:t>Construction Schedule</w:t>
      </w:r>
      <w:bookmarkEnd w:id="421"/>
      <w:bookmarkEnd w:id="422"/>
    </w:p>
    <w:p w14:paraId="03E4FF71">
      <w:pPr>
        <w:jc w:val="center"/>
        <w:rPr>
          <w:i/>
        </w:rPr>
      </w:pPr>
      <w:r>
        <w:rPr>
          <w:i/>
        </w:rPr>
        <w:t xml:space="preserve"> </w:t>
      </w:r>
    </w:p>
    <w:p w14:paraId="032846CE">
      <w:pPr>
        <w:pStyle w:val="199"/>
        <w:jc w:val="left"/>
        <w:rPr>
          <w:sz w:val="24"/>
        </w:rPr>
      </w:pPr>
      <w:r>
        <w:rPr>
          <w:b w:val="0"/>
          <w:color w:val="000000"/>
          <w:sz w:val="24"/>
        </w:rPr>
        <w:t xml:space="preserve">The outline program for the execution of the entire Works should be presented in the form of a </w:t>
      </w:r>
      <w:r>
        <w:rPr>
          <w:bCs/>
          <w:color w:val="000000"/>
          <w:sz w:val="24"/>
        </w:rPr>
        <w:t>Gantt Chart</w:t>
      </w:r>
      <w:r>
        <w:rPr>
          <w:b w:val="0"/>
          <w:color w:val="000000"/>
          <w:sz w:val="24"/>
        </w:rPr>
        <w:t>. This chart will detail the timeline, key activities, and milestones, providing a clear and structured plan for the completion of the project.</w:t>
      </w:r>
      <w:r>
        <w:rPr>
          <w:bCs/>
          <w:color w:val="000000"/>
          <w:sz w:val="24"/>
        </w:rPr>
        <w:br w:type="page"/>
      </w:r>
      <w:bookmarkStart w:id="423" w:name="_Toc473887080"/>
      <w:bookmarkStart w:id="424" w:name="_Toc473814129"/>
    </w:p>
    <w:p w14:paraId="3B30FB84">
      <w:pPr>
        <w:pStyle w:val="156"/>
      </w:pPr>
      <w:bookmarkStart w:id="425" w:name="_Toc178519599"/>
      <w:r>
        <w:t>ES Management Strategies and Implementation Plans</w:t>
      </w:r>
      <w:bookmarkEnd w:id="423"/>
      <w:bookmarkEnd w:id="425"/>
      <w:r>
        <w:t xml:space="preserve"> </w:t>
      </w:r>
    </w:p>
    <w:p w14:paraId="612DD703">
      <w:pPr>
        <w:pStyle w:val="191"/>
        <w:spacing w:before="0" w:after="0"/>
        <w:rPr>
          <w:color w:val="000000"/>
          <w:szCs w:val="24"/>
          <w:lang w:val="en-US"/>
        </w:rPr>
      </w:pPr>
    </w:p>
    <w:p w14:paraId="369E79B0">
      <w:pPr>
        <w:pStyle w:val="191"/>
        <w:spacing w:before="0" w:after="0"/>
        <w:rPr>
          <w:bCs/>
          <w:sz w:val="24"/>
          <w:szCs w:val="24"/>
          <w:lang w:val="en-US"/>
        </w:rPr>
      </w:pPr>
      <w:r>
        <w:rPr>
          <w:bCs/>
          <w:sz w:val="24"/>
          <w:szCs w:val="24"/>
          <w:lang w:val="en-US"/>
        </w:rPr>
        <w:t>(ES-MSIP)</w:t>
      </w:r>
    </w:p>
    <w:bookmarkEnd w:id="424"/>
    <w:p w14:paraId="78AF287B">
      <w:pPr>
        <w:autoSpaceDE w:val="0"/>
        <w:autoSpaceDN w:val="0"/>
        <w:adjustRightInd w:val="0"/>
        <w:ind w:left="1080"/>
      </w:pPr>
    </w:p>
    <w:p w14:paraId="72B0E4D3">
      <w:pPr>
        <w:pStyle w:val="5"/>
        <w:numPr>
          <w:ilvl w:val="0"/>
          <w:numId w:val="0"/>
        </w:numPr>
        <w:ind w:left="965"/>
        <w:rPr>
          <w:rFonts w:ascii="Times New Roman" w:hAnsi="Times New Roman" w:cs="Times New Roman"/>
          <w:sz w:val="24"/>
          <w:szCs w:val="24"/>
        </w:rPr>
      </w:pPr>
      <w:r>
        <w:rPr>
          <w:rFonts w:ascii="Times New Roman" w:hAnsi="Times New Roman" w:cs="Times New Roman"/>
          <w:sz w:val="24"/>
          <w:szCs w:val="24"/>
        </w:rPr>
        <w:t xml:space="preserve">The Bidder shall submit comprehensive and concise Environmental and Social Management Strategies and Implementation Plans (ES-MSIP) as required by ITB 11.1 (h) of the Bid Data Sheet. These strategies and plans shall describe in detail the actions, materials, equipment, management processes etc. that will be implemented by the Contractor, and its subcontractors. </w:t>
      </w:r>
    </w:p>
    <w:p w14:paraId="07477375">
      <w:pPr>
        <w:pStyle w:val="5"/>
        <w:numPr>
          <w:ilvl w:val="0"/>
          <w:numId w:val="0"/>
        </w:numPr>
        <w:ind w:left="965"/>
        <w:rPr>
          <w:rFonts w:ascii="Times New Roman" w:hAnsi="Times New Roman" w:cs="Times New Roman"/>
          <w:sz w:val="24"/>
          <w:szCs w:val="24"/>
        </w:rPr>
      </w:pPr>
      <w:r>
        <w:rPr>
          <w:rFonts w:ascii="Times New Roman" w:hAnsi="Times New Roman" w:cs="Times New Roman"/>
          <w:sz w:val="24"/>
          <w:szCs w:val="24"/>
        </w:rPr>
        <w:t>In developing these strategies and plans, the Bidder shall have regard to the ES provisions of the contract including those as may be more fully described in the Works Requirements in Section VII.</w:t>
      </w:r>
    </w:p>
    <w:p w14:paraId="5B250C45">
      <w:pPr>
        <w:pStyle w:val="5"/>
        <w:numPr>
          <w:ilvl w:val="0"/>
          <w:numId w:val="0"/>
        </w:numPr>
        <w:ind w:left="965"/>
      </w:pPr>
      <w:r>
        <w:br w:type="page"/>
      </w:r>
      <w:bookmarkStart w:id="426" w:name="_Toc473814130"/>
      <w:bookmarkStart w:id="427" w:name="_Toc473887081"/>
    </w:p>
    <w:p w14:paraId="375498D2">
      <w:pPr>
        <w:pStyle w:val="156"/>
      </w:pPr>
      <w:bookmarkStart w:id="428" w:name="_Toc178519600"/>
      <w:r>
        <w:t>Code of Conduct for Contractor’s Personnel (ES)</w:t>
      </w:r>
      <w:bookmarkEnd w:id="426"/>
      <w:bookmarkEnd w:id="427"/>
      <w:r>
        <w:t xml:space="preserve"> Form</w:t>
      </w:r>
      <w:bookmarkEnd w:id="428"/>
    </w:p>
    <w:p w14:paraId="43777D64">
      <w:pPr>
        <w:autoSpaceDE w:val="0"/>
        <w:autoSpaceDN w:val="0"/>
        <w:adjustRightInd w:val="0"/>
        <w:jc w:val="center"/>
        <w:rPr>
          <w:b/>
        </w:rPr>
      </w:pPr>
      <w: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170815</wp:posOffset>
                </wp:positionV>
                <wp:extent cx="5925185" cy="1774825"/>
                <wp:effectExtent l="0" t="0" r="18415" b="15875"/>
                <wp:wrapTopAndBottom/>
                <wp:docPr id="15" name="Text Box 15"/>
                <wp:cNvGraphicFramePr/>
                <a:graphic xmlns:a="http://schemas.openxmlformats.org/drawingml/2006/main">
                  <a:graphicData uri="http://schemas.microsoft.com/office/word/2010/wordprocessingShape">
                    <wps:wsp>
                      <wps:cNvSpPr txBox="1"/>
                      <wps:spPr>
                        <a:xfrm>
                          <a:off x="0" y="0"/>
                          <a:ext cx="5925185" cy="1774825"/>
                        </a:xfrm>
                        <a:prstGeom prst="rect">
                          <a:avLst/>
                        </a:prstGeom>
                        <a:solidFill>
                          <a:sysClr val="window" lastClr="FFFFFF"/>
                        </a:solidFill>
                        <a:ln w="6350">
                          <a:solidFill>
                            <a:prstClr val="black"/>
                          </a:solidFill>
                        </a:ln>
                      </wps:spPr>
                      <wps:txbx>
                        <w:txbxContent>
                          <w:p w14:paraId="1A074E81">
                            <w:pPr>
                              <w:rPr>
                                <w:rFonts w:hint="default"/>
                                <w:b/>
                                <w:i/>
                                <w:lang w:val="en-US"/>
                              </w:rPr>
                            </w:pPr>
                            <w:r>
                              <w:rPr>
                                <w:rFonts w:hint="default"/>
                                <w:b/>
                                <w:i/>
                                <w:lang w:val="en-US"/>
                              </w:rPr>
                              <w:t>Wajir Water and Sewerage Company</w:t>
                            </w:r>
                          </w:p>
                          <w:p w14:paraId="3F36B787">
                            <w:pPr>
                              <w:numPr>
                                <w:ilvl w:val="0"/>
                                <w:numId w:val="51"/>
                              </w:numPr>
                              <w:rPr>
                                <w:rFonts w:hint="default"/>
                                <w:b/>
                                <w:i/>
                                <w:lang w:val="en-US"/>
                              </w:rPr>
                            </w:pPr>
                            <w:r>
                              <w:rPr>
                                <w:rFonts w:hint="default"/>
                                <w:b/>
                                <w:i/>
                                <w:lang w:val="en-US"/>
                              </w:rPr>
                              <w:t>O.Box 708-70200</w:t>
                            </w:r>
                          </w:p>
                          <w:p w14:paraId="25820CC6">
                            <w:pPr>
                              <w:numPr>
                                <w:numId w:val="0"/>
                              </w:numPr>
                              <w:rPr>
                                <w:rFonts w:hint="default"/>
                                <w:b/>
                                <w:i/>
                                <w:lang w:val="en-US"/>
                              </w:rPr>
                            </w:pPr>
                            <w:r>
                              <w:rPr>
                                <w:rFonts w:hint="default"/>
                                <w:b/>
                                <w:i/>
                                <w:lang w:val="en-US"/>
                              </w:rPr>
                              <w:t>Wajir</w:t>
                            </w:r>
                          </w:p>
                          <w:p w14:paraId="7628AD10">
                            <w:pPr>
                              <w:numPr>
                                <w:numId w:val="0"/>
                              </w:numPr>
                              <w:rPr>
                                <w:rFonts w:hint="default"/>
                                <w:b/>
                                <w:i/>
                                <w:lang w:val="en-US"/>
                              </w:rPr>
                            </w:pPr>
                          </w:p>
                          <w:p w14:paraId="0491D2C4">
                            <w:pPr>
                              <w:numPr>
                                <w:numId w:val="0"/>
                              </w:numPr>
                              <w:rPr>
                                <w:rFonts w:hint="default"/>
                                <w:b/>
                                <w:i/>
                                <w:lang w:val="en-US"/>
                              </w:rPr>
                            </w:pPr>
                            <w:r>
                              <w:rPr>
                                <w:rFonts w:hint="default"/>
                                <w:b/>
                                <w:i/>
                                <w:lang w:val="en-US"/>
                              </w:rPr>
                              <w:t>Contract Name:Construction of 1No.Feacal Sludge Treatment Plant at Wajirr.</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pt;margin-top:13.45pt;height:139.75pt;width:466.55pt;mso-wrap-distance-bottom:0pt;mso-wrap-distance-top:0pt;z-index:251663360;mso-width-relative:page;mso-height-relative:page;" fillcolor="#FFFFFF" filled="t" stroked="t" coordsize="21600,21600" o:gfxdata="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dW2AW1AAAAAcBAAAP&#10;AAAAAAAAAAEAIAAAACIAAABkcnMvZG93bnJldi54bWxQSwECFAAUAAAACACHTuJAF2xLflUCAADJ&#10;BAAADgAAAAAAAAABACAAAAAjAQAAZHJzL2Uyb0RvYy54bWxQSwUGAAAAAAYABgBZAQAA6gUAAAAA&#10;">
                <v:fill on="t" focussize="0,0"/>
                <v:stroke weight="0.5pt" color="#000000" joinstyle="round"/>
                <v:imagedata o:title=""/>
                <o:lock v:ext="edit" aspectratio="f"/>
                <v:textbox>
                  <w:txbxContent>
                    <w:p w14:paraId="1A074E81">
                      <w:pPr>
                        <w:rPr>
                          <w:rFonts w:hint="default"/>
                          <w:b/>
                          <w:i/>
                          <w:lang w:val="en-US"/>
                        </w:rPr>
                      </w:pPr>
                      <w:r>
                        <w:rPr>
                          <w:rFonts w:hint="default"/>
                          <w:b/>
                          <w:i/>
                          <w:lang w:val="en-US"/>
                        </w:rPr>
                        <w:t>Wajir Water and Sewerage Company</w:t>
                      </w:r>
                    </w:p>
                    <w:p w14:paraId="3F36B787">
                      <w:pPr>
                        <w:numPr>
                          <w:ilvl w:val="0"/>
                          <w:numId w:val="51"/>
                        </w:numPr>
                        <w:rPr>
                          <w:rFonts w:hint="default"/>
                          <w:b/>
                          <w:i/>
                          <w:lang w:val="en-US"/>
                        </w:rPr>
                      </w:pPr>
                      <w:r>
                        <w:rPr>
                          <w:rFonts w:hint="default"/>
                          <w:b/>
                          <w:i/>
                          <w:lang w:val="en-US"/>
                        </w:rPr>
                        <w:t>O.Box 708-70200</w:t>
                      </w:r>
                    </w:p>
                    <w:p w14:paraId="25820CC6">
                      <w:pPr>
                        <w:numPr>
                          <w:numId w:val="0"/>
                        </w:numPr>
                        <w:rPr>
                          <w:rFonts w:hint="default"/>
                          <w:b/>
                          <w:i/>
                          <w:lang w:val="en-US"/>
                        </w:rPr>
                      </w:pPr>
                      <w:r>
                        <w:rPr>
                          <w:rFonts w:hint="default"/>
                          <w:b/>
                          <w:i/>
                          <w:lang w:val="en-US"/>
                        </w:rPr>
                        <w:t>Wajir</w:t>
                      </w:r>
                    </w:p>
                    <w:p w14:paraId="7628AD10">
                      <w:pPr>
                        <w:numPr>
                          <w:numId w:val="0"/>
                        </w:numPr>
                        <w:rPr>
                          <w:rFonts w:hint="default"/>
                          <w:b/>
                          <w:i/>
                          <w:lang w:val="en-US"/>
                        </w:rPr>
                      </w:pPr>
                    </w:p>
                    <w:p w14:paraId="0491D2C4">
                      <w:pPr>
                        <w:numPr>
                          <w:numId w:val="0"/>
                        </w:numPr>
                        <w:rPr>
                          <w:rFonts w:hint="default"/>
                          <w:b/>
                          <w:i/>
                          <w:lang w:val="en-US"/>
                        </w:rPr>
                      </w:pPr>
                      <w:r>
                        <w:rPr>
                          <w:rFonts w:hint="default"/>
                          <w:b/>
                          <w:i/>
                          <w:lang w:val="en-US"/>
                        </w:rPr>
                        <w:t>Contract Name:Construction of 1No.Feacal Sludge Treatment Plant at Wajirr.</w:t>
                      </w:r>
                    </w:p>
                  </w:txbxContent>
                </v:textbox>
                <w10:wrap type="topAndBottom"/>
              </v:shape>
            </w:pict>
          </mc:Fallback>
        </mc:AlternateContent>
      </w:r>
    </w:p>
    <w:p w14:paraId="3FF273C6">
      <w:pPr>
        <w:spacing w:before="240" w:after="120" w:line="252" w:lineRule="auto"/>
        <w:jc w:val="both"/>
        <w:rPr>
          <w:bCs/>
          <w:i/>
        </w:rPr>
      </w:pPr>
      <w:r>
        <w:rPr>
          <w:color w:val="000000" w:themeColor="text1"/>
          <w:highlight w:val="green"/>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323215</wp:posOffset>
                </wp:positionV>
                <wp:extent cx="5913120" cy="1280795"/>
                <wp:effectExtent l="0" t="0" r="11430" b="14605"/>
                <wp:wrapTopAndBottom/>
                <wp:docPr id="16" name="Text Box 16"/>
                <wp:cNvGraphicFramePr/>
                <a:graphic xmlns:a="http://schemas.openxmlformats.org/drawingml/2006/main">
                  <a:graphicData uri="http://schemas.microsoft.com/office/word/2010/wordprocessingShape">
                    <wps:wsp>
                      <wps:cNvSpPr txBox="1"/>
                      <wps:spPr>
                        <a:xfrm>
                          <a:off x="0" y="0"/>
                          <a:ext cx="5913120" cy="1280795"/>
                        </a:xfrm>
                        <a:prstGeom prst="rect">
                          <a:avLst/>
                        </a:prstGeom>
                        <a:solidFill>
                          <a:sysClr val="window" lastClr="FFFFFF"/>
                        </a:solidFill>
                        <a:ln w="22225" cmpd="dbl">
                          <a:solidFill>
                            <a:prstClr val="black"/>
                          </a:solidFill>
                        </a:ln>
                      </wps:spPr>
                      <wps:txbx>
                        <w:txbxContent>
                          <w:p w14:paraId="3CD1C631">
                            <w:pPr>
                              <w:spacing w:after="120"/>
                            </w:pPr>
                            <w:r>
                              <w:rPr>
                                <w:b/>
                              </w:rPr>
                              <w:t>Note to the Bidder</w:t>
                            </w:r>
                            <w:r>
                              <w:t xml:space="preserve">: </w:t>
                            </w:r>
                          </w:p>
                          <w:p w14:paraId="56AD2256">
                            <w:pPr>
                              <w:spacing w:after="240"/>
                              <w:ind w:left="360"/>
                            </w:pPr>
                            <w:r>
                              <w:rPr>
                                <w:b/>
                              </w:rPr>
                              <w:t xml:space="preserve">The minimum content of the </w:t>
                            </w:r>
                            <w:bookmarkStart w:id="784" w:name="_Hlk536712236"/>
                            <w:r>
                              <w:rPr>
                                <w:b/>
                              </w:rPr>
                              <w:t xml:space="preserve">Code of Conduct form </w:t>
                            </w:r>
                            <w:bookmarkEnd w:id="784"/>
                            <w:r>
                              <w:rPr>
                                <w:b/>
                              </w:rPr>
                              <w:t>as set out by the Employer shall not be substantially modified</w:t>
                            </w:r>
                            <w:r>
                              <w:t xml:space="preserve">. However, the Bidder may add requirements as appropriate, including to take into account Contract-specific issues/risks.  </w:t>
                            </w:r>
                          </w:p>
                          <w:p w14:paraId="4B0B2398">
                            <w:pPr>
                              <w:spacing w:after="120"/>
                              <w:ind w:left="360"/>
                              <w:rPr>
                                <w:bCs/>
                              </w:rPr>
                            </w:pPr>
                            <w:r>
                              <w:t>The Bidder shall initial and submit the Code of Conduct form as part of its bid.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pt;margin-top:25.45pt;height:100.85pt;width:465.6pt;mso-wrap-distance-bottom:0pt;mso-wrap-distance-top:0pt;z-index:251664384;mso-width-relative:page;mso-height-relative:page;" fillcolor="#FFFFFF" filled="t" stroked="t" coordsize="21600,21600" o:gfxdata="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LVq+A1gAA&#10;AAcBAAAPAAAAAAAAAAEAIAAAACIAAABkcnMvZG93bnJldi54bWxQSwECFAAUAAAACACHTuJAFBkS&#10;mlkCAADVBAAADgAAAAAAAAABACAAAAAlAQAAZHJzL2Uyb0RvYy54bWxQSwUGAAAAAAYABgBZAQAA&#10;8AUAAAAA&#10;">
                <v:fill on="t" focussize="0,0"/>
                <v:stroke weight="1.75pt" color="#000000" linestyle="thinThin" joinstyle="round"/>
                <v:imagedata o:title=""/>
                <o:lock v:ext="edit" aspectratio="f"/>
                <v:textbox>
                  <w:txbxContent>
                    <w:p w14:paraId="3CD1C631">
                      <w:pPr>
                        <w:spacing w:after="120"/>
                      </w:pPr>
                      <w:r>
                        <w:rPr>
                          <w:b/>
                        </w:rPr>
                        <w:t>Note to the Bidder</w:t>
                      </w:r>
                      <w:r>
                        <w:t xml:space="preserve">: </w:t>
                      </w:r>
                    </w:p>
                    <w:p w14:paraId="56AD2256">
                      <w:pPr>
                        <w:spacing w:after="240"/>
                        <w:ind w:left="360"/>
                      </w:pPr>
                      <w:r>
                        <w:rPr>
                          <w:b/>
                        </w:rPr>
                        <w:t xml:space="preserve">The minimum content of the </w:t>
                      </w:r>
                      <w:bookmarkStart w:id="784" w:name="_Hlk536712236"/>
                      <w:r>
                        <w:rPr>
                          <w:b/>
                        </w:rPr>
                        <w:t xml:space="preserve">Code of Conduct form </w:t>
                      </w:r>
                      <w:bookmarkEnd w:id="784"/>
                      <w:r>
                        <w:rPr>
                          <w:b/>
                        </w:rPr>
                        <w:t>as set out by the Employer shall not be substantially modified</w:t>
                      </w:r>
                      <w:r>
                        <w:t xml:space="preserve">. However, the Bidder may add requirements as appropriate, including to take into account Contract-specific issues/risks.  </w:t>
                      </w:r>
                    </w:p>
                    <w:p w14:paraId="4B0B2398">
                      <w:pPr>
                        <w:spacing w:after="120"/>
                        <w:ind w:left="360"/>
                        <w:rPr>
                          <w:bCs/>
                        </w:rPr>
                      </w:pPr>
                      <w:r>
                        <w:t>The Bidder shall initial and submit the Code of Conduct form as part of its bid.</w:t>
                      </w:r>
                    </w:p>
                  </w:txbxContent>
                </v:textbox>
                <w10:wrap type="topAndBottom"/>
              </v:shape>
            </w:pict>
          </mc:Fallback>
        </mc:AlternateContent>
      </w:r>
      <w:r>
        <w:rPr>
          <w:b/>
          <w:sz w:val="28"/>
          <w:szCs w:val="28"/>
        </w:rPr>
        <w:t>CODE OF CONDUCT FOR CONTRACTOR’S PERSONNEL</w:t>
      </w:r>
    </w:p>
    <w:p w14:paraId="535055E9">
      <w:pPr>
        <w:spacing w:before="240" w:after="120" w:line="252" w:lineRule="auto"/>
        <w:jc w:val="both"/>
        <w:rPr>
          <w:bCs/>
        </w:rPr>
      </w:pPr>
      <w:r>
        <w:rPr>
          <w:bCs/>
        </w:rPr>
        <w:t>We are the Contractor, [</w:t>
      </w:r>
      <w:r>
        <w:rPr>
          <w:bCs/>
          <w:i/>
        </w:rPr>
        <w:t>enter name of Contractor</w:t>
      </w:r>
      <w:r>
        <w:rPr>
          <w:bCs/>
        </w:rPr>
        <w:t>].  We have signed a contract with [</w:t>
      </w:r>
      <w:r>
        <w:rPr>
          <w:bCs/>
          <w:i/>
        </w:rPr>
        <w:t>enter name of Employer</w:t>
      </w:r>
      <w:r>
        <w:rPr>
          <w:bCs/>
        </w:rPr>
        <w:t>] for [</w:t>
      </w:r>
      <w:r>
        <w:rPr>
          <w:bCs/>
          <w:i/>
        </w:rPr>
        <w:t>enter description of the Works</w:t>
      </w:r>
      <w:r>
        <w:rPr>
          <w:bCs/>
        </w:rPr>
        <w:t>]. These Works will be carried out at [</w:t>
      </w:r>
      <w:r>
        <w:rPr>
          <w:bCs/>
          <w:i/>
        </w:rPr>
        <w:t>enter the Site and other locations where the Works will be carried out</w:t>
      </w:r>
      <w:r>
        <w:rPr>
          <w:bCs/>
        </w:rPr>
        <w:t xml:space="preserve">]. Our contract requires us to implement measures to address environmental and social risks related to the Works, including the risks of sexual exploitation, </w:t>
      </w:r>
      <w:bookmarkStart w:id="429" w:name="_Hlk24712565"/>
      <w:r>
        <w:rPr>
          <w:bCs/>
        </w:rPr>
        <w:t>sexual abuse and sexual harassment</w:t>
      </w:r>
      <w:bookmarkEnd w:id="429"/>
      <w:r>
        <w:rPr>
          <w:bCs/>
        </w:rPr>
        <w:t xml:space="preserve">.  </w:t>
      </w:r>
    </w:p>
    <w:p w14:paraId="4BFCA376">
      <w:pPr>
        <w:spacing w:before="240" w:after="120" w:line="252" w:lineRule="auto"/>
        <w:jc w:val="both"/>
        <w:rPr>
          <w:bCs/>
        </w:rPr>
      </w:pPr>
      <w:r>
        <w:rPr>
          <w:bCs/>
        </w:rPr>
        <w:t>This Code of Conduct is part of our measures to deal with environmental and social risks related to the Works.  It applies to all our staff, laborers and other employees at the Works Site or other places where the Works are being carried out.  It also applies to the personnel of each subcontractor and any other personnel assisting us in the execution of the Works.  All such persons are referred to as “</w:t>
      </w:r>
      <w:r>
        <w:rPr>
          <w:b/>
          <w:bCs/>
        </w:rPr>
        <w:t>Contractor’s Personnel”</w:t>
      </w:r>
      <w:r>
        <w:rPr>
          <w:bCs/>
        </w:rPr>
        <w:t xml:space="preserve"> and are subject to this Code of Conduct.</w:t>
      </w:r>
    </w:p>
    <w:p w14:paraId="3617BB36">
      <w:pPr>
        <w:spacing w:before="240" w:after="120" w:line="252" w:lineRule="auto"/>
        <w:jc w:val="both"/>
        <w:rPr>
          <w:bCs/>
        </w:rPr>
      </w:pPr>
      <w:r>
        <w:rPr>
          <w:bCs/>
        </w:rPr>
        <w:t xml:space="preserve">This Code of Conduct identifies the behavior that we require from all Contractor’s Personnel. </w:t>
      </w:r>
    </w:p>
    <w:p w14:paraId="4775DC2F">
      <w:pPr>
        <w:spacing w:before="240" w:after="120" w:line="252" w:lineRule="auto"/>
        <w:jc w:val="both"/>
        <w:rPr>
          <w:bCs/>
        </w:rPr>
      </w:pPr>
      <w:r>
        <w:rPr>
          <w:bCs/>
        </w:rPr>
        <w:t>Our workplace is an environment where unsafe, offensive, abusive or violent behavior will not be tolerated and where all persons should feel comfortable raising issues or concerns without fear of retaliation.</w:t>
      </w:r>
    </w:p>
    <w:p w14:paraId="0F8CE18D">
      <w:pPr>
        <w:keepNext/>
        <w:spacing w:before="240" w:after="120" w:line="252" w:lineRule="auto"/>
        <w:rPr>
          <w:b/>
          <w:bCs/>
        </w:rPr>
      </w:pPr>
      <w:r>
        <w:rPr>
          <w:b/>
          <w:bCs/>
        </w:rPr>
        <w:t>REQUIRED CONDUCT</w:t>
      </w:r>
    </w:p>
    <w:p w14:paraId="2AB595F9">
      <w:pPr>
        <w:spacing w:after="120" w:line="252" w:lineRule="auto"/>
        <w:rPr>
          <w:bCs/>
        </w:rPr>
      </w:pPr>
      <w:r>
        <w:rPr>
          <w:bCs/>
        </w:rPr>
        <w:t>Contractor’s Personnel shall:</w:t>
      </w:r>
    </w:p>
    <w:p w14:paraId="13472A55">
      <w:pPr>
        <w:numPr>
          <w:ilvl w:val="0"/>
          <w:numId w:val="52"/>
        </w:numPr>
        <w:spacing w:after="120"/>
        <w:jc w:val="both"/>
        <w:rPr>
          <w:rFonts w:eastAsia="Arial Narrow"/>
          <w:color w:val="000000"/>
          <w:szCs w:val="20"/>
        </w:rPr>
      </w:pPr>
      <w:r>
        <w:rPr>
          <w:rFonts w:eastAsia="Arial Narrow"/>
          <w:color w:val="000000"/>
          <w:szCs w:val="20"/>
        </w:rPr>
        <w:t>carry out his/her duties competently and diligently;</w:t>
      </w:r>
    </w:p>
    <w:p w14:paraId="2C2FAD30">
      <w:pPr>
        <w:numPr>
          <w:ilvl w:val="0"/>
          <w:numId w:val="52"/>
        </w:numPr>
        <w:spacing w:after="120" w:line="240" w:lineRule="atLeast"/>
        <w:jc w:val="both"/>
        <w:rPr>
          <w:rFonts w:eastAsia="Calibri" w:cs="Arial"/>
          <w:szCs w:val="20"/>
        </w:rPr>
      </w:pPr>
      <w:r>
        <w:rPr>
          <w:rFonts w:eastAsia="Arial Narrow"/>
          <w:color w:val="000000"/>
          <w:szCs w:val="20"/>
        </w:rPr>
        <w:t xml:space="preserve">comply with this Code of Conduct and all applicable laws, regulations and other requirements, including requirements </w:t>
      </w:r>
      <w:r>
        <w:rPr>
          <w:szCs w:val="20"/>
        </w:rPr>
        <w:t>to protect the health, safety and well-being of other Contractor’s Personnel and any other person;</w:t>
      </w:r>
      <w:r>
        <w:rPr>
          <w:rFonts w:eastAsia="Calibri" w:cs="Arial"/>
          <w:szCs w:val="20"/>
        </w:rPr>
        <w:t xml:space="preserve"> </w:t>
      </w:r>
    </w:p>
    <w:p w14:paraId="3C13C7A8">
      <w:pPr>
        <w:numPr>
          <w:ilvl w:val="0"/>
          <w:numId w:val="52"/>
        </w:numPr>
        <w:spacing w:after="120" w:line="240" w:lineRule="atLeast"/>
        <w:jc w:val="both"/>
        <w:rPr>
          <w:rFonts w:eastAsia="Calibri" w:cs="Arial"/>
          <w:szCs w:val="20"/>
        </w:rPr>
      </w:pPr>
      <w:r>
        <w:rPr>
          <w:szCs w:val="20"/>
          <w:lang w:eastAsia="en-GB"/>
        </w:rPr>
        <w:t>maintain a safe working environment including by:</w:t>
      </w:r>
    </w:p>
    <w:p w14:paraId="5DDF3ADE">
      <w:pPr>
        <w:numPr>
          <w:ilvl w:val="1"/>
          <w:numId w:val="52"/>
        </w:numPr>
        <w:spacing w:after="120" w:line="240" w:lineRule="atLeast"/>
        <w:jc w:val="both"/>
        <w:rPr>
          <w:rFonts w:eastAsia="Calibri" w:cs="Arial"/>
          <w:szCs w:val="20"/>
        </w:rPr>
      </w:pPr>
      <w:r>
        <w:rPr>
          <w:szCs w:val="20"/>
          <w:lang w:eastAsia="en-GB"/>
        </w:rPr>
        <w:t xml:space="preserve">ensuring that workplaces, machinery, equipment and processes under each person’s control are safe and without risk to health; </w:t>
      </w:r>
    </w:p>
    <w:p w14:paraId="57E23163">
      <w:pPr>
        <w:numPr>
          <w:ilvl w:val="1"/>
          <w:numId w:val="52"/>
        </w:numPr>
        <w:spacing w:after="120" w:line="240" w:lineRule="atLeast"/>
        <w:jc w:val="both"/>
        <w:rPr>
          <w:rFonts w:eastAsia="Calibri" w:cs="Arial"/>
          <w:szCs w:val="20"/>
        </w:rPr>
      </w:pPr>
      <w:r>
        <w:rPr>
          <w:rFonts w:eastAsia="Calibri"/>
          <w:szCs w:val="20"/>
        </w:rPr>
        <w:t xml:space="preserve">wearing required personal protective equipment; </w:t>
      </w:r>
      <w:r>
        <w:rPr>
          <w:szCs w:val="20"/>
          <w:lang w:eastAsia="en-GB"/>
        </w:rPr>
        <w:t xml:space="preserve">  </w:t>
      </w:r>
    </w:p>
    <w:p w14:paraId="1B8D7B88">
      <w:pPr>
        <w:numPr>
          <w:ilvl w:val="1"/>
          <w:numId w:val="52"/>
        </w:numPr>
        <w:spacing w:after="120" w:line="240" w:lineRule="atLeast"/>
        <w:jc w:val="both"/>
        <w:rPr>
          <w:rFonts w:eastAsia="Calibri" w:cs="Arial"/>
          <w:szCs w:val="20"/>
        </w:rPr>
      </w:pPr>
      <w:r>
        <w:rPr>
          <w:szCs w:val="20"/>
          <w:lang w:eastAsia="en-GB"/>
        </w:rPr>
        <w:t xml:space="preserve">using appropriate measures relating to </w:t>
      </w:r>
      <w:r>
        <w:rPr>
          <w:szCs w:val="20"/>
        </w:rPr>
        <w:t>chemical, physical and biological substances and agents</w:t>
      </w:r>
      <w:r>
        <w:rPr>
          <w:szCs w:val="20"/>
          <w:lang w:eastAsia="en-GB"/>
        </w:rPr>
        <w:t>; and</w:t>
      </w:r>
    </w:p>
    <w:p w14:paraId="1DC8DEB5">
      <w:pPr>
        <w:numPr>
          <w:ilvl w:val="1"/>
          <w:numId w:val="52"/>
        </w:numPr>
        <w:spacing w:after="120" w:line="240" w:lineRule="atLeast"/>
        <w:jc w:val="both"/>
        <w:rPr>
          <w:rFonts w:eastAsia="Calibri" w:cs="Arial"/>
          <w:szCs w:val="20"/>
        </w:rPr>
      </w:pPr>
      <w:r>
        <w:rPr>
          <w:szCs w:val="20"/>
          <w:lang w:eastAsia="en-GB"/>
        </w:rPr>
        <w:t>following applicable emergency operating procedures.</w:t>
      </w:r>
    </w:p>
    <w:p w14:paraId="3E14987A">
      <w:pPr>
        <w:numPr>
          <w:ilvl w:val="0"/>
          <w:numId w:val="52"/>
        </w:numPr>
        <w:spacing w:after="120"/>
        <w:jc w:val="both"/>
        <w:rPr>
          <w:rFonts w:eastAsia="Arial Narrow"/>
          <w:color w:val="000000"/>
          <w:szCs w:val="20"/>
        </w:rPr>
      </w:pPr>
      <w:r>
        <w:rPr>
          <w:rFonts w:eastAsia="Arial Narrow"/>
          <w:color w:val="000000"/>
          <w:szCs w:val="20"/>
        </w:rPr>
        <w:t xml:space="preserve">report </w:t>
      </w:r>
      <w:r>
        <w:rPr>
          <w:szCs w:val="20"/>
          <w:lang w:eastAsia="en-GB"/>
        </w:rPr>
        <w:t>work situations that he/she believes are not safe or healthy and remove himself/herself from a work situation which he/she reasonably believes presents an imminent and serious danger to his/her life or health;</w:t>
      </w:r>
    </w:p>
    <w:p w14:paraId="372A482D">
      <w:pPr>
        <w:numPr>
          <w:ilvl w:val="0"/>
          <w:numId w:val="52"/>
        </w:numPr>
        <w:spacing w:after="120"/>
        <w:jc w:val="both"/>
        <w:rPr>
          <w:rFonts w:eastAsia="Arial Narrow"/>
          <w:color w:val="000000"/>
          <w:szCs w:val="20"/>
        </w:rPr>
      </w:pPr>
      <w:r>
        <w:rPr>
          <w:bCs/>
          <w:szCs w:val="20"/>
        </w:rPr>
        <w:t xml:space="preserve">treat other people with respect, and not discriminate against </w:t>
      </w:r>
      <w:r>
        <w:rPr>
          <w:rFonts w:eastAsia="Arial Narrow"/>
          <w:color w:val="000000"/>
          <w:szCs w:val="20"/>
        </w:rPr>
        <w:t>specific groups such as women, people with disabilities, migrant workers or children;</w:t>
      </w:r>
    </w:p>
    <w:p w14:paraId="6C1FC79A">
      <w:pPr>
        <w:numPr>
          <w:ilvl w:val="0"/>
          <w:numId w:val="52"/>
        </w:numPr>
        <w:spacing w:after="120" w:line="240" w:lineRule="atLeast"/>
        <w:jc w:val="both"/>
        <w:rPr>
          <w:rFonts w:eastAsia="Arial Narrow"/>
          <w:color w:val="000000"/>
          <w:szCs w:val="20"/>
        </w:rPr>
      </w:pPr>
      <w:r>
        <w:rPr>
          <w:bCs/>
          <w:szCs w:val="20"/>
        </w:rPr>
        <w:t>not engage</w:t>
      </w:r>
      <w:r>
        <w:rPr>
          <w:rFonts w:eastAsia="Arial Narrow"/>
          <w:color w:val="000000"/>
          <w:szCs w:val="20"/>
        </w:rPr>
        <w:t xml:space="preserve"> </w:t>
      </w:r>
      <w:r>
        <w:rPr>
          <w:bCs/>
          <w:szCs w:val="20"/>
        </w:rPr>
        <w:t>in</w:t>
      </w:r>
      <w:r>
        <w:rPr>
          <w:bCs/>
        </w:rPr>
        <w:t xml:space="preserve"> </w:t>
      </w:r>
      <w:bookmarkStart w:id="430" w:name="_Hlk24712629"/>
      <w:r>
        <w:rPr>
          <w:bCs/>
        </w:rPr>
        <w:t xml:space="preserve">Sexual Harassment, which means </w:t>
      </w:r>
      <w:r>
        <w:t>unwelcome sexual advances, requests for sexual favors, and other verbal or physical conduct of a sexual nature with other Contractor’s or Employer’s Personnel</w:t>
      </w:r>
      <w:bookmarkEnd w:id="430"/>
      <w:r>
        <w:rPr>
          <w:szCs w:val="20"/>
        </w:rPr>
        <w:t>;</w:t>
      </w:r>
    </w:p>
    <w:p w14:paraId="1A39564F">
      <w:pPr>
        <w:numPr>
          <w:ilvl w:val="0"/>
          <w:numId w:val="52"/>
        </w:numPr>
        <w:autoSpaceDE w:val="0"/>
        <w:autoSpaceDN w:val="0"/>
        <w:spacing w:after="120"/>
        <w:jc w:val="both"/>
        <w:rPr>
          <w:color w:val="000000" w:themeColor="text1"/>
          <w:szCs w:val="20"/>
          <w14:textFill>
            <w14:solidFill>
              <w14:schemeClr w14:val="tx1"/>
            </w14:solidFill>
          </w14:textFill>
        </w:rPr>
      </w:pPr>
      <w:bookmarkStart w:id="431" w:name="_Hlk11663505"/>
      <w:r>
        <w:rPr>
          <w:szCs w:val="20"/>
        </w:rPr>
        <w:t xml:space="preserve">not engage in </w:t>
      </w:r>
      <w:bookmarkStart w:id="432" w:name="_Hlk10196619"/>
      <w:r>
        <w:rPr>
          <w:szCs w:val="20"/>
        </w:rPr>
        <w:t>Sexual Exploitation, which means any actual or attempted abuse of position of vulnerability, differential power or trust, for sexual purposes, including, but not limited to, profiting monetarily, socially or politically from the sexual exploitation of another</w:t>
      </w:r>
      <w:r>
        <w:rPr>
          <w:color w:val="000000" w:themeColor="text1"/>
          <w:szCs w:val="20"/>
          <w14:textFill>
            <w14:solidFill>
              <w14:schemeClr w14:val="tx1"/>
            </w14:solidFill>
          </w14:textFill>
        </w:rPr>
        <w:t>;</w:t>
      </w:r>
      <w:bookmarkEnd w:id="432"/>
    </w:p>
    <w:p w14:paraId="24B0D5D0">
      <w:pPr>
        <w:numPr>
          <w:ilvl w:val="0"/>
          <w:numId w:val="52"/>
        </w:numPr>
        <w:spacing w:after="120" w:line="240" w:lineRule="atLeast"/>
        <w:jc w:val="both"/>
        <w:rPr>
          <w:rFonts w:eastAsia="Calibri" w:cs="Arial"/>
          <w:szCs w:val="20"/>
        </w:rPr>
      </w:pPr>
      <w:bookmarkStart w:id="433" w:name="_Hlk10196916"/>
      <w:r>
        <w:rPr>
          <w:szCs w:val="20"/>
        </w:rPr>
        <w:t>not engage in</w:t>
      </w:r>
      <w:bookmarkStart w:id="434" w:name="_Hlk24712684"/>
      <w:r>
        <w:rPr>
          <w:szCs w:val="20"/>
        </w:rPr>
        <w:t xml:space="preserve"> </w:t>
      </w:r>
      <w:r>
        <w:t>Sexual Abuse, which means the actual or threatened physical intrusion of a sexual nature, whether by force or under unequal or coercive conditions</w:t>
      </w:r>
      <w:bookmarkEnd w:id="434"/>
      <w:r>
        <w:t>;</w:t>
      </w:r>
      <w:r>
        <w:rPr>
          <w:szCs w:val="20"/>
        </w:rPr>
        <w:t xml:space="preserve"> </w:t>
      </w:r>
    </w:p>
    <w:bookmarkEnd w:id="433"/>
    <w:p w14:paraId="2F07607C">
      <w:pPr>
        <w:numPr>
          <w:ilvl w:val="0"/>
          <w:numId w:val="52"/>
        </w:numPr>
        <w:spacing w:after="120" w:line="240" w:lineRule="atLeast"/>
        <w:jc w:val="both"/>
        <w:rPr>
          <w:bCs/>
          <w:szCs w:val="20"/>
        </w:rPr>
      </w:pPr>
      <w:bookmarkStart w:id="435" w:name="_Hlk10196970"/>
      <w:r>
        <w:rPr>
          <w:bCs/>
          <w:szCs w:val="20"/>
        </w:rPr>
        <w:t xml:space="preserve">not engage in any form of sexual activity with individuals under the age of 18, except in case of pre-existing marriage; </w:t>
      </w:r>
      <w:bookmarkEnd w:id="431"/>
      <w:bookmarkEnd w:id="435"/>
    </w:p>
    <w:p w14:paraId="490D394E">
      <w:pPr>
        <w:numPr>
          <w:ilvl w:val="0"/>
          <w:numId w:val="52"/>
        </w:numPr>
        <w:spacing w:after="120" w:line="240" w:lineRule="atLeast"/>
        <w:jc w:val="both"/>
        <w:rPr>
          <w:bCs/>
          <w:szCs w:val="20"/>
        </w:rPr>
      </w:pPr>
      <w:r>
        <w:rPr>
          <w:bCs/>
          <w:color w:val="000000"/>
          <w:szCs w:val="20"/>
        </w:rPr>
        <w:t xml:space="preserve">complete relevant training courses that will be provided related to the environmental and social aspects of the Contract, including on health and safety matters, </w:t>
      </w:r>
      <w:bookmarkStart w:id="436" w:name="_Hlk10197034"/>
      <w:r>
        <w:rPr>
          <w:bCs/>
          <w:color w:val="000000"/>
          <w:szCs w:val="20"/>
        </w:rPr>
        <w:t xml:space="preserve">and Sexual Exploitation and Abuse (SEA), and </w:t>
      </w:r>
      <w:bookmarkStart w:id="437" w:name="_Hlk24712770"/>
      <w:r>
        <w:rPr>
          <w:bCs/>
          <w:color w:val="000000"/>
          <w:szCs w:val="20"/>
        </w:rPr>
        <w:t>Sexual Harassment (SH)</w:t>
      </w:r>
      <w:bookmarkEnd w:id="437"/>
      <w:r>
        <w:rPr>
          <w:bCs/>
          <w:color w:val="000000"/>
          <w:szCs w:val="20"/>
        </w:rPr>
        <w:t>;</w:t>
      </w:r>
      <w:bookmarkEnd w:id="436"/>
    </w:p>
    <w:p w14:paraId="1B5C5163">
      <w:pPr>
        <w:numPr>
          <w:ilvl w:val="0"/>
          <w:numId w:val="52"/>
        </w:numPr>
        <w:spacing w:after="120" w:line="240" w:lineRule="atLeast"/>
        <w:jc w:val="both"/>
        <w:rPr>
          <w:rFonts w:eastAsia="Calibri" w:cs="Arial"/>
          <w:szCs w:val="20"/>
        </w:rPr>
      </w:pPr>
      <w:r>
        <w:rPr>
          <w:rFonts w:eastAsia="Calibri" w:cs="Arial"/>
          <w:szCs w:val="20"/>
        </w:rPr>
        <w:t xml:space="preserve"> report violations of this Code of Conduct; and</w:t>
      </w:r>
    </w:p>
    <w:p w14:paraId="3FAAF398">
      <w:pPr>
        <w:numPr>
          <w:ilvl w:val="0"/>
          <w:numId w:val="52"/>
        </w:numPr>
        <w:spacing w:after="120" w:line="240" w:lineRule="atLeast"/>
        <w:jc w:val="both"/>
        <w:rPr>
          <w:rFonts w:eastAsia="Calibri" w:cs="Arial"/>
          <w:szCs w:val="20"/>
        </w:rPr>
      </w:pPr>
      <w:r>
        <w:rPr>
          <w:rFonts w:eastAsia="Calibri" w:cs="Arial"/>
          <w:szCs w:val="20"/>
        </w:rPr>
        <w:t xml:space="preserve">not retaliate against any person who reports violations of this Code of Conduct, whether to us or the Employer, or who makes use of the </w:t>
      </w:r>
      <w:r>
        <w:rPr>
          <w:rFonts w:eastAsia="Arial Narrow"/>
          <w:color w:val="000000"/>
        </w:rPr>
        <w:t>grievance mechanism for Contractor’s Personnel</w:t>
      </w:r>
      <w:r>
        <w:rPr>
          <w:rFonts w:eastAsia="Calibri" w:cs="Arial"/>
        </w:rPr>
        <w:t xml:space="preserve"> or the project’s Grievance Redress Mechanism</w:t>
      </w:r>
      <w:r>
        <w:rPr>
          <w:rFonts w:eastAsia="Calibri"/>
          <w:szCs w:val="20"/>
        </w:rPr>
        <w:t xml:space="preserve">. </w:t>
      </w:r>
    </w:p>
    <w:p w14:paraId="1C4FE3A4">
      <w:pPr>
        <w:keepNext/>
        <w:spacing w:after="120" w:line="240" w:lineRule="atLeast"/>
        <w:rPr>
          <w:rFonts w:eastAsia="Calibri" w:cs="Arial"/>
          <w:b/>
        </w:rPr>
      </w:pPr>
      <w:r>
        <w:rPr>
          <w:rFonts w:eastAsia="Calibri" w:cs="Arial"/>
          <w:b/>
        </w:rPr>
        <w:t xml:space="preserve">RAISING CONCERNS </w:t>
      </w:r>
    </w:p>
    <w:p w14:paraId="3FDCC0C0">
      <w:pPr>
        <w:spacing w:after="120" w:line="240" w:lineRule="atLeast"/>
        <w:rPr>
          <w:rFonts w:eastAsia="Calibri" w:cs="Arial"/>
        </w:rPr>
      </w:pPr>
      <w:r>
        <w:rPr>
          <w:rFonts w:eastAsia="Calibri" w:cs="Arial"/>
        </w:rPr>
        <w:t>If any person observes behavior that he/she believes may represent a violation of this Code of Conduct, or that otherwise concerns him/her, he/she should raise the issue promptly. This can be done in either of the following ways:</w:t>
      </w:r>
    </w:p>
    <w:p w14:paraId="12DB6C1B">
      <w:pPr>
        <w:numPr>
          <w:ilvl w:val="0"/>
          <w:numId w:val="53"/>
        </w:numPr>
        <w:spacing w:after="120" w:line="240" w:lineRule="atLeast"/>
        <w:ind w:left="446"/>
        <w:jc w:val="both"/>
        <w:rPr>
          <w:rFonts w:eastAsia="Calibri" w:cs="Arial"/>
          <w:szCs w:val="20"/>
        </w:rPr>
      </w:pPr>
      <w:r>
        <w:rPr>
          <w:rFonts w:eastAsia="Calibri" w:cs="Arial"/>
          <w:szCs w:val="20"/>
        </w:rPr>
        <w:t>Contact [</w:t>
      </w:r>
      <w:r>
        <w:rPr>
          <w:rFonts w:eastAsia="Calibri" w:cs="Arial"/>
          <w:i/>
          <w:szCs w:val="20"/>
        </w:rPr>
        <w:t>enter name of the Contractor’s Social Expert with relevant experience in handling gender-based violence, or if such person is not required under the Contract, another individual designated by the Contractor to handle these matters</w:t>
      </w:r>
      <w:r>
        <w:rPr>
          <w:rFonts w:eastAsia="Calibri" w:cs="Arial"/>
          <w:szCs w:val="20"/>
        </w:rPr>
        <w:t>] in writing at this address [   ] or by telephone at [   ] or in person at [   ]; or</w:t>
      </w:r>
    </w:p>
    <w:p w14:paraId="06CEFFEF">
      <w:pPr>
        <w:numPr>
          <w:ilvl w:val="0"/>
          <w:numId w:val="53"/>
        </w:numPr>
        <w:spacing w:after="120" w:line="240" w:lineRule="atLeast"/>
        <w:ind w:left="446"/>
        <w:jc w:val="both"/>
        <w:rPr>
          <w:rFonts w:eastAsia="Calibri" w:cs="Arial"/>
          <w:szCs w:val="20"/>
        </w:rPr>
      </w:pPr>
      <w:r>
        <w:rPr>
          <w:rFonts w:eastAsia="Calibri" w:cs="Arial"/>
          <w:szCs w:val="20"/>
        </w:rPr>
        <w:t xml:space="preserve">Call [  ]  to reach the Contractor’s hotline </w:t>
      </w:r>
      <w:r>
        <w:rPr>
          <w:rFonts w:eastAsia="Calibri" w:cs="Arial"/>
          <w:i/>
          <w:szCs w:val="20"/>
        </w:rPr>
        <w:t>(if any)</w:t>
      </w:r>
      <w:r>
        <w:rPr>
          <w:rFonts w:eastAsia="Calibri" w:cs="Arial"/>
          <w:szCs w:val="20"/>
        </w:rPr>
        <w:t xml:space="preserve"> and leave a message.</w:t>
      </w:r>
    </w:p>
    <w:p w14:paraId="4E3D292C">
      <w:pPr>
        <w:spacing w:after="120" w:line="240" w:lineRule="atLeast"/>
        <w:ind w:left="720"/>
        <w:contextualSpacing/>
        <w:rPr>
          <w:rFonts w:eastAsia="Calibri" w:cs="Arial"/>
          <w:szCs w:val="20"/>
        </w:rPr>
      </w:pPr>
    </w:p>
    <w:p w14:paraId="1B61636A">
      <w:pPr>
        <w:spacing w:after="120" w:line="240" w:lineRule="atLeast"/>
        <w:contextualSpacing/>
        <w:jc w:val="both"/>
        <w:rPr>
          <w:rFonts w:eastAsia="Calibri" w:cs="Arial"/>
          <w:szCs w:val="20"/>
        </w:rPr>
      </w:pPr>
      <w:bookmarkStart w:id="438" w:name="_Hlk11663640"/>
      <w:r>
        <w:rPr>
          <w:rFonts w:eastAsia="Calibri" w:cs="Arial"/>
          <w:szCs w:val="20"/>
        </w:rPr>
        <w:t xml:space="preserve">The person’s identity will be kept confidential, unless reporting of allegations is mandated by the country law. Anonymous complaints or allegations may also be submitted and will be given all due and appropriate consideration. We take seriously all reports of possible misconduct and will investigate and take appropriate action. </w:t>
      </w:r>
      <w:bookmarkStart w:id="439" w:name="_Hlk11686596"/>
      <w:r>
        <w:rPr>
          <w:rFonts w:eastAsia="Calibri" w:cs="Arial"/>
          <w:szCs w:val="20"/>
        </w:rPr>
        <w:t xml:space="preserve">We will provide warm referrals to service providers that may help support the person who experienced the alleged incident, as appropriate. </w:t>
      </w:r>
      <w:bookmarkEnd w:id="439"/>
    </w:p>
    <w:bookmarkEnd w:id="438"/>
    <w:p w14:paraId="022F989A">
      <w:pPr>
        <w:spacing w:after="120" w:line="240" w:lineRule="atLeast"/>
        <w:rPr>
          <w:rFonts w:eastAsia="Calibri" w:cs="Arial"/>
        </w:rPr>
      </w:pPr>
      <w:r>
        <w:rPr>
          <w:rFonts w:eastAsia="Calibri" w:cs="Arial"/>
        </w:rPr>
        <w:t xml:space="preserve">There will be no retaliation against any person who raises a concern in good faith about any behavior prohibited by this Code of Conduct.  Such retaliation would be a violation of this Code of Conduct.  </w:t>
      </w:r>
    </w:p>
    <w:p w14:paraId="76FDFD2C">
      <w:pPr>
        <w:spacing w:after="120" w:line="240" w:lineRule="atLeast"/>
        <w:jc w:val="center"/>
        <w:rPr>
          <w:rFonts w:eastAsia="Calibri" w:cs="Arial"/>
        </w:rPr>
      </w:pPr>
      <w:r>
        <w:rPr>
          <w:rFonts w:eastAsia="Calibri" w:cs="Arial"/>
          <w:b/>
        </w:rPr>
        <w:t>CONSEQUENCES OF VIOLATING THE CODE OF CONDUCT</w:t>
      </w:r>
    </w:p>
    <w:p w14:paraId="08E667CB">
      <w:pPr>
        <w:spacing w:after="120" w:line="240" w:lineRule="atLeast"/>
        <w:jc w:val="both"/>
        <w:rPr>
          <w:rFonts w:eastAsia="Calibri" w:cs="Arial"/>
        </w:rPr>
      </w:pPr>
      <w:r>
        <w:rPr>
          <w:rFonts w:eastAsia="Calibri" w:cs="Arial"/>
        </w:rPr>
        <w:t>Any violation of this Code of Conduct by Contractor’s Personnel may result in serious consequences, up to and including termination and possible referral to legal authorities.</w:t>
      </w:r>
    </w:p>
    <w:p w14:paraId="0A288308">
      <w:pPr>
        <w:spacing w:before="240" w:after="120" w:line="252" w:lineRule="auto"/>
        <w:rPr>
          <w:bCs/>
        </w:rPr>
      </w:pPr>
      <w:r>
        <w:rPr>
          <w:bCs/>
        </w:rPr>
        <w:t>FOR CONTRACTOR’S PERSONNEL:</w:t>
      </w:r>
    </w:p>
    <w:p w14:paraId="4F378ACB">
      <w:pPr>
        <w:spacing w:before="240" w:after="120" w:line="252" w:lineRule="auto"/>
        <w:jc w:val="both"/>
        <w:rPr>
          <w:bCs/>
        </w:rPr>
      </w:pPr>
      <w:r>
        <w:rPr>
          <w:bCs/>
        </w:rPr>
        <w:t>I have received a copy of this Code of Conduct written in a language that I comprehend.  I understand that if I have any questions about this Code of Conduct, I can contact [</w:t>
      </w:r>
      <w:r>
        <w:rPr>
          <w:bCs/>
          <w:i/>
        </w:rPr>
        <w:t>enter name of Contractor’s contact person with relevant experience</w:t>
      </w:r>
      <w:r>
        <w:rPr>
          <w:bCs/>
        </w:rPr>
        <w:t xml:space="preserve">] requesting an explanation.  </w:t>
      </w:r>
    </w:p>
    <w:p w14:paraId="20D47320">
      <w:pPr>
        <w:spacing w:line="252" w:lineRule="auto"/>
        <w:rPr>
          <w:bCs/>
        </w:rPr>
      </w:pPr>
    </w:p>
    <w:p w14:paraId="11516340">
      <w:pPr>
        <w:spacing w:after="160" w:line="252" w:lineRule="auto"/>
        <w:rPr>
          <w:bCs/>
        </w:rPr>
      </w:pPr>
      <w:r>
        <w:rPr>
          <w:bCs/>
        </w:rPr>
        <w:t>Name of Contractor’s Personnel: [insert name]</w:t>
      </w:r>
      <w:r>
        <w:rPr>
          <w:bCs/>
        </w:rPr>
        <w:tab/>
      </w:r>
      <w:r>
        <w:rPr>
          <w:bCs/>
        </w:rPr>
        <w:tab/>
      </w:r>
      <w:r>
        <w:rPr>
          <w:bCs/>
        </w:rPr>
        <w:tab/>
      </w:r>
      <w:r>
        <w:rPr>
          <w:bCs/>
        </w:rPr>
        <w:tab/>
      </w:r>
    </w:p>
    <w:p w14:paraId="7A5952CE">
      <w:pPr>
        <w:spacing w:before="360" w:after="120"/>
        <w:rPr>
          <w:bCs/>
        </w:rPr>
      </w:pPr>
      <w:r>
        <w:rPr>
          <w:bCs/>
        </w:rPr>
        <w:t>Signature: __________________________________________________________</w:t>
      </w:r>
    </w:p>
    <w:p w14:paraId="4FCAB0C1">
      <w:pPr>
        <w:spacing w:before="360" w:after="120"/>
        <w:rPr>
          <w:bCs/>
        </w:rPr>
      </w:pPr>
      <w:r>
        <w:rPr>
          <w:bCs/>
        </w:rPr>
        <w:t>Date: (day month year): _______________________________________________</w:t>
      </w:r>
    </w:p>
    <w:p w14:paraId="2DEBC923">
      <w:pPr>
        <w:spacing w:after="120"/>
        <w:rPr>
          <w:bCs/>
        </w:rPr>
      </w:pPr>
    </w:p>
    <w:p w14:paraId="49900234">
      <w:pPr>
        <w:spacing w:after="120"/>
        <w:rPr>
          <w:bCs/>
        </w:rPr>
      </w:pPr>
      <w:r>
        <w:rPr>
          <w:bCs/>
        </w:rPr>
        <w:t>Countersignature of authorized representative of the Contractor:</w:t>
      </w:r>
    </w:p>
    <w:p w14:paraId="34B17176">
      <w:pPr>
        <w:spacing w:after="120"/>
        <w:rPr>
          <w:bCs/>
        </w:rPr>
      </w:pPr>
      <w:r>
        <w:rPr>
          <w:bCs/>
        </w:rPr>
        <w:t>Signature: ________________________________________________________</w:t>
      </w:r>
    </w:p>
    <w:p w14:paraId="165A9D47">
      <w:pPr>
        <w:pStyle w:val="193"/>
        <w:jc w:val="left"/>
        <w:rPr>
          <w:b w:val="0"/>
          <w:bCs/>
          <w:sz w:val="24"/>
          <w:szCs w:val="24"/>
        </w:rPr>
      </w:pPr>
      <w:r>
        <w:rPr>
          <w:b w:val="0"/>
          <w:bCs/>
          <w:sz w:val="24"/>
          <w:szCs w:val="24"/>
        </w:rPr>
        <w:t>Date: (day month year): ______________________________________________</w:t>
      </w:r>
    </w:p>
    <w:p w14:paraId="2D50655E">
      <w:pPr>
        <w:rPr>
          <w:b/>
          <w:bCs/>
          <w:sz w:val="22"/>
          <w:szCs w:val="22"/>
        </w:rPr>
      </w:pPr>
      <w:r>
        <w:rPr>
          <w:b/>
          <w:bCs/>
        </w:rPr>
        <w:t xml:space="preserve">ATTACHMENT 1: </w:t>
      </w:r>
      <w:r>
        <w:rPr>
          <w:b/>
          <w:bCs/>
          <w:sz w:val="22"/>
          <w:szCs w:val="22"/>
        </w:rPr>
        <w:t>Behaviors constituting Sexual Exploitation and Abuse (SEA) and behaviors constituting Sexual Harassment (SH)</w:t>
      </w:r>
    </w:p>
    <w:p w14:paraId="004D7FF3">
      <w:pPr>
        <w:rPr>
          <w:b/>
          <w:bCs/>
          <w:sz w:val="22"/>
          <w:szCs w:val="22"/>
        </w:rPr>
      </w:pPr>
      <w:r>
        <w:rPr>
          <w:b/>
          <w:bCs/>
          <w:sz w:val="22"/>
          <w:szCs w:val="22"/>
        </w:rPr>
        <w:br w:type="page"/>
      </w:r>
    </w:p>
    <w:p w14:paraId="3832349E">
      <w:pPr>
        <w:spacing w:before="120" w:after="120"/>
        <w:jc w:val="center"/>
        <w:rPr>
          <w:b/>
          <w:bCs/>
        </w:rPr>
      </w:pPr>
      <w:r>
        <w:rPr>
          <w:b/>
          <w:bCs/>
        </w:rPr>
        <w:t>ATTACHMENT 1 TO THE CODE OF CONDUCT FORM</w:t>
      </w:r>
    </w:p>
    <w:p w14:paraId="791952BC">
      <w:pPr>
        <w:spacing w:before="120" w:after="120"/>
        <w:jc w:val="center"/>
        <w:rPr>
          <w:b/>
          <w:bCs/>
          <w:sz w:val="22"/>
          <w:szCs w:val="22"/>
        </w:rPr>
      </w:pPr>
      <w:r>
        <w:rPr>
          <w:b/>
          <w:bCs/>
          <w:sz w:val="22"/>
          <w:szCs w:val="22"/>
        </w:rPr>
        <w:t>BEHAVIORS CONSTITUTING SEXUAL EXPLOITATION AND ABUSE (SEA) AND BEHAVIORS CONSTITUTING SEXUAL HARASSMENT (SH)</w:t>
      </w:r>
    </w:p>
    <w:p w14:paraId="5B87ED82">
      <w:pPr>
        <w:spacing w:before="120" w:after="120"/>
        <w:rPr>
          <w:sz w:val="22"/>
          <w:szCs w:val="22"/>
        </w:rPr>
      </w:pPr>
      <w:r>
        <w:rPr>
          <w:sz w:val="22"/>
          <w:szCs w:val="22"/>
        </w:rPr>
        <w:t>The following non-exhaustive list is intended to illustrate types of prohibited behaviors:</w:t>
      </w:r>
    </w:p>
    <w:p w14:paraId="08AF6DC5">
      <w:pPr>
        <w:pStyle w:val="203"/>
        <w:numPr>
          <w:ilvl w:val="0"/>
          <w:numId w:val="54"/>
        </w:numPr>
        <w:spacing w:before="120" w:after="120"/>
        <w:rPr>
          <w:rFonts w:ascii="Times New Roman" w:hAnsi="Times New Roman"/>
          <w:color w:val="000000"/>
          <w:sz w:val="22"/>
          <w:szCs w:val="22"/>
        </w:rPr>
      </w:pPr>
      <w:r>
        <w:rPr>
          <w:rFonts w:ascii="Times New Roman" w:hAnsi="Times New Roman" w:eastAsia="Times New Roman"/>
          <w:b/>
          <w:iCs/>
          <w:sz w:val="22"/>
          <w:szCs w:val="22"/>
          <w:lang w:val="en-AU" w:eastAsia="ja-JP"/>
        </w:rPr>
        <w:t>Examples of sexual exploitation and abuse</w:t>
      </w:r>
      <w:r>
        <w:rPr>
          <w:rFonts w:ascii="Times New Roman" w:hAnsi="Times New Roman" w:eastAsia="Times New Roman"/>
          <w:iCs/>
          <w:sz w:val="22"/>
          <w:szCs w:val="22"/>
          <w:lang w:val="en-AU" w:eastAsia="ja-JP"/>
        </w:rPr>
        <w:t xml:space="preserve"> include, but are not limited to:</w:t>
      </w:r>
    </w:p>
    <w:p w14:paraId="4D12D45D">
      <w:pPr>
        <w:pStyle w:val="176"/>
        <w:numPr>
          <w:ilvl w:val="0"/>
          <w:numId w:val="55"/>
        </w:numPr>
        <w:spacing w:before="120" w:after="120"/>
        <w:ind w:left="720"/>
        <w:contextualSpacing w:val="0"/>
        <w:jc w:val="left"/>
        <w:rPr>
          <w:color w:val="000000"/>
          <w:sz w:val="22"/>
          <w:szCs w:val="22"/>
        </w:rPr>
      </w:pPr>
      <w:r>
        <w:rPr>
          <w:color w:val="000000"/>
          <w:sz w:val="22"/>
          <w:szCs w:val="22"/>
        </w:rPr>
        <w:t>A Contractor’s Personnel tells a member of the community that he/she can get them jobs related to the work site (e.g. cooking and cleaning) in exchange for sex.</w:t>
      </w:r>
    </w:p>
    <w:p w14:paraId="6669DDA8">
      <w:pPr>
        <w:pStyle w:val="176"/>
        <w:numPr>
          <w:ilvl w:val="0"/>
          <w:numId w:val="55"/>
        </w:numPr>
        <w:spacing w:before="120" w:after="120"/>
        <w:ind w:left="720"/>
        <w:contextualSpacing w:val="0"/>
        <w:jc w:val="left"/>
        <w:rPr>
          <w:color w:val="000000"/>
          <w:sz w:val="22"/>
          <w:szCs w:val="22"/>
        </w:rPr>
      </w:pPr>
      <w:r>
        <w:rPr>
          <w:color w:val="000000"/>
          <w:sz w:val="22"/>
          <w:szCs w:val="22"/>
        </w:rPr>
        <w:t>A Contractor’s Personnel that is connecting electricity input to households says that he can connect women headed households to the grid in exchange for sex.</w:t>
      </w:r>
    </w:p>
    <w:p w14:paraId="06696920">
      <w:pPr>
        <w:pStyle w:val="176"/>
        <w:numPr>
          <w:ilvl w:val="0"/>
          <w:numId w:val="55"/>
        </w:numPr>
        <w:spacing w:before="120" w:after="120"/>
        <w:ind w:left="720"/>
        <w:contextualSpacing w:val="0"/>
        <w:jc w:val="left"/>
        <w:rPr>
          <w:color w:val="000000"/>
          <w:sz w:val="22"/>
          <w:szCs w:val="22"/>
        </w:rPr>
      </w:pPr>
      <w:r>
        <w:rPr>
          <w:color w:val="000000"/>
          <w:sz w:val="22"/>
          <w:szCs w:val="22"/>
        </w:rPr>
        <w:t>A Contractor’s Personnel rapes, or otherwise sexually assaults a member of the community.</w:t>
      </w:r>
    </w:p>
    <w:p w14:paraId="14F2A41B">
      <w:pPr>
        <w:pStyle w:val="176"/>
        <w:numPr>
          <w:ilvl w:val="0"/>
          <w:numId w:val="55"/>
        </w:numPr>
        <w:spacing w:before="120" w:after="120"/>
        <w:ind w:left="720"/>
        <w:contextualSpacing w:val="0"/>
        <w:jc w:val="left"/>
        <w:rPr>
          <w:color w:val="000000"/>
          <w:sz w:val="22"/>
          <w:szCs w:val="22"/>
        </w:rPr>
      </w:pPr>
      <w:r>
        <w:rPr>
          <w:color w:val="000000"/>
          <w:sz w:val="22"/>
          <w:szCs w:val="22"/>
        </w:rPr>
        <w:t xml:space="preserve">A Contractor’s Personnel denies a person access to the Site unless he/she performs a sexual favor.  </w:t>
      </w:r>
    </w:p>
    <w:p w14:paraId="3B8E4B1E">
      <w:pPr>
        <w:pStyle w:val="176"/>
        <w:numPr>
          <w:ilvl w:val="0"/>
          <w:numId w:val="55"/>
        </w:numPr>
        <w:spacing w:before="120" w:after="120"/>
        <w:ind w:left="720"/>
        <w:jc w:val="left"/>
        <w:rPr>
          <w:color w:val="000000" w:themeColor="text1"/>
          <w:sz w:val="22"/>
          <w:szCs w:val="22"/>
          <w14:textFill>
            <w14:solidFill>
              <w14:schemeClr w14:val="tx1"/>
            </w14:solidFill>
          </w14:textFill>
        </w:rPr>
      </w:pPr>
      <w:r>
        <w:rPr>
          <w:color w:val="000000"/>
          <w:sz w:val="22"/>
          <w:szCs w:val="22"/>
        </w:rPr>
        <w:t xml:space="preserve">A Contractor’s Personnel tells a person applying for employment under the Contract that he/she will only hire him/her if he/she has sex with him/her. </w:t>
      </w:r>
    </w:p>
    <w:p w14:paraId="5CE49749">
      <w:pPr>
        <w:pStyle w:val="203"/>
        <w:numPr>
          <w:ilvl w:val="0"/>
          <w:numId w:val="54"/>
        </w:numPr>
        <w:spacing w:before="120" w:after="120"/>
        <w:rPr>
          <w:color w:val="000000"/>
          <w:sz w:val="22"/>
          <w:szCs w:val="22"/>
        </w:rPr>
      </w:pPr>
      <w:r>
        <w:rPr>
          <w:rFonts w:ascii="Times New Roman" w:hAnsi="Times New Roman"/>
          <w:b/>
          <w:color w:val="000000"/>
          <w:sz w:val="22"/>
          <w:szCs w:val="22"/>
        </w:rPr>
        <w:t>Examples of sexual harassment</w:t>
      </w:r>
      <w:r>
        <w:rPr>
          <w:rFonts w:ascii="Times New Roman" w:hAnsi="Times New Roman"/>
          <w:color w:val="000000"/>
          <w:sz w:val="22"/>
          <w:szCs w:val="22"/>
        </w:rPr>
        <w:t xml:space="preserve"> </w:t>
      </w:r>
      <w:r>
        <w:rPr>
          <w:rFonts w:ascii="Times New Roman" w:hAnsi="Times New Roman"/>
          <w:b/>
          <w:color w:val="000000"/>
          <w:sz w:val="22"/>
          <w:szCs w:val="22"/>
        </w:rPr>
        <w:t>in a work context</w:t>
      </w:r>
      <w:r>
        <w:rPr>
          <w:rFonts w:ascii="Times New Roman" w:hAnsi="Times New Roman"/>
          <w:color w:val="000000"/>
          <w:sz w:val="22"/>
          <w:szCs w:val="22"/>
        </w:rPr>
        <w:t xml:space="preserve"> </w:t>
      </w:r>
    </w:p>
    <w:p w14:paraId="488CC01C">
      <w:pPr>
        <w:pStyle w:val="176"/>
        <w:numPr>
          <w:ilvl w:val="0"/>
          <w:numId w:val="55"/>
        </w:numPr>
        <w:spacing w:before="120" w:after="120"/>
        <w:ind w:left="720"/>
        <w:contextualSpacing w:val="0"/>
        <w:jc w:val="left"/>
        <w:rPr>
          <w:color w:val="000000"/>
          <w:sz w:val="22"/>
          <w:szCs w:val="22"/>
        </w:rPr>
      </w:pPr>
      <w:r>
        <w:rPr>
          <w:color w:val="000000"/>
          <w:sz w:val="22"/>
          <w:szCs w:val="22"/>
        </w:rPr>
        <w:t xml:space="preserve">Contractor’s Personnel comment on the appearance of another Contractor’s Personnel (either positive or negative) and sexual desirability. </w:t>
      </w:r>
    </w:p>
    <w:p w14:paraId="5AB2BDEC">
      <w:pPr>
        <w:pStyle w:val="176"/>
        <w:numPr>
          <w:ilvl w:val="0"/>
          <w:numId w:val="55"/>
        </w:numPr>
        <w:spacing w:before="120" w:after="120"/>
        <w:ind w:left="720"/>
        <w:contextualSpacing w:val="0"/>
        <w:jc w:val="left"/>
        <w:rPr>
          <w:color w:val="000000"/>
          <w:sz w:val="22"/>
          <w:szCs w:val="22"/>
        </w:rPr>
      </w:pPr>
      <w:r>
        <w:rPr>
          <w:color w:val="000000"/>
          <w:sz w:val="22"/>
          <w:szCs w:val="22"/>
        </w:rPr>
        <w:t>When a Contractor’s Personnel complains about comments made by another Contractor’s Personnel on his/her appearance, the other Contractor’s Personnel comment that he/she is “asking for it” because of how he/she dresses.</w:t>
      </w:r>
    </w:p>
    <w:p w14:paraId="162CF914">
      <w:pPr>
        <w:pStyle w:val="176"/>
        <w:numPr>
          <w:ilvl w:val="0"/>
          <w:numId w:val="55"/>
        </w:numPr>
        <w:spacing w:before="120" w:after="120"/>
        <w:ind w:left="720"/>
        <w:contextualSpacing w:val="0"/>
        <w:jc w:val="left"/>
        <w:rPr>
          <w:color w:val="000000"/>
          <w:sz w:val="22"/>
          <w:szCs w:val="22"/>
        </w:rPr>
      </w:pPr>
      <w:r>
        <w:rPr>
          <w:color w:val="000000"/>
          <w:sz w:val="22"/>
          <w:szCs w:val="22"/>
        </w:rPr>
        <w:t xml:space="preserve">Unwelcome touching of a Contractor’s or Employer’s Personnel by another Contractor’s Personnel. </w:t>
      </w:r>
    </w:p>
    <w:p w14:paraId="565C2EC9">
      <w:pPr>
        <w:pStyle w:val="176"/>
        <w:numPr>
          <w:ilvl w:val="0"/>
          <w:numId w:val="55"/>
        </w:numPr>
        <w:spacing w:before="120" w:after="120"/>
        <w:ind w:left="720"/>
        <w:contextualSpacing w:val="0"/>
        <w:jc w:val="left"/>
        <w:rPr>
          <w:color w:val="000000"/>
          <w:sz w:val="22"/>
          <w:szCs w:val="22"/>
        </w:rPr>
      </w:pPr>
      <w:r>
        <w:rPr>
          <w:color w:val="000000"/>
          <w:sz w:val="22"/>
          <w:szCs w:val="22"/>
        </w:rPr>
        <w:t>A Contractor’s Personnel tells another Contractor’s Personnel that he/she will get him/her a salary raise, or promotion if he/she sends him/her naked photographs of himself/herself.</w:t>
      </w:r>
    </w:p>
    <w:p w14:paraId="297BA98A">
      <w:pPr>
        <w:pStyle w:val="199"/>
      </w:pPr>
      <w:r>
        <w:br w:type="page"/>
      </w:r>
      <w:r>
        <w:t>Others</w:t>
      </w:r>
    </w:p>
    <w:p w14:paraId="1FB5B06D">
      <w:pPr>
        <w:pStyle w:val="176"/>
        <w:tabs>
          <w:tab w:val="left" w:pos="1170"/>
          <w:tab w:val="left" w:pos="3960"/>
          <w:tab w:val="left" w:pos="4050"/>
          <w:tab w:val="left" w:pos="4320"/>
          <w:tab w:val="left" w:pos="4500"/>
          <w:tab w:val="left" w:pos="4950"/>
          <w:tab w:val="left" w:pos="5220"/>
        </w:tabs>
        <w:ind w:left="2430"/>
        <w:rPr>
          <w:b/>
          <w:sz w:val="28"/>
          <w:szCs w:val="28"/>
        </w:rPr>
      </w:pPr>
      <w:r>
        <w:rPr>
          <w:b/>
          <w:sz w:val="28"/>
          <w:szCs w:val="28"/>
        </w:rPr>
        <w:t>Schedule of Subcontractors</w:t>
      </w:r>
    </w:p>
    <w:p w14:paraId="183E10D4">
      <w:pPr>
        <w:pStyle w:val="176"/>
        <w:tabs>
          <w:tab w:val="left" w:pos="1170"/>
          <w:tab w:val="left" w:pos="3960"/>
          <w:tab w:val="left" w:pos="4050"/>
          <w:tab w:val="left" w:pos="4320"/>
          <w:tab w:val="left" w:pos="4500"/>
          <w:tab w:val="left" w:pos="4950"/>
          <w:tab w:val="left" w:pos="5220"/>
        </w:tabs>
        <w:ind w:left="2430"/>
        <w:jc w:val="center"/>
        <w:rPr>
          <w:b/>
          <w:sz w:val="28"/>
          <w:szCs w:val="28"/>
        </w:rPr>
      </w:pPr>
    </w:p>
    <w:p w14:paraId="20185695">
      <w:pPr>
        <w:jc w:val="both"/>
      </w:pPr>
      <w:r>
        <w:t>Bidder to provide schedule of Sub-Contractors, if any, including details of work for which the Sub-Contractor shall be employed, Value and % of Tender Price of Works sub-contracted and details of Sub-Contractor’s experience in that field of work.</w:t>
      </w:r>
    </w:p>
    <w:p w14:paraId="229626E4">
      <w:pPr>
        <w:jc w:val="both"/>
      </w:pPr>
    </w:p>
    <w:p w14:paraId="60BE4321">
      <w:pPr>
        <w:ind w:left="630" w:hanging="630"/>
        <w:jc w:val="both"/>
        <w:rPr>
          <w:b/>
        </w:rPr>
      </w:pPr>
      <w:r>
        <w:rPr>
          <w:b/>
          <w:u w:val="single"/>
        </w:rPr>
        <w:t>Note</w:t>
      </w:r>
      <w:r>
        <w:rPr>
          <w:b/>
        </w:rPr>
        <w:t>:</w:t>
      </w:r>
      <w:r>
        <w:t xml:space="preserve"> </w:t>
      </w:r>
      <w:r>
        <w:rPr>
          <w:b/>
        </w:rPr>
        <w:t>Bidder’s attention is drawn to Section II, Bid Data Sheet, and Clause ITB 34.3 which stipulates that maximum percentage of sub-contracting permitted is 20% of the total Contract amount or 20% of the volume of Work.</w:t>
      </w:r>
    </w:p>
    <w:p w14:paraId="7E22413F">
      <w:pPr>
        <w:ind w:left="630" w:hanging="630"/>
        <w:jc w:val="both"/>
      </w:pPr>
    </w:p>
    <w:p w14:paraId="032DFC2F">
      <w:pPr>
        <w:ind w:left="630" w:hanging="630"/>
        <w:jc w:val="both"/>
      </w:pPr>
    </w:p>
    <w:p w14:paraId="163058F0">
      <w:pPr>
        <w:pStyle w:val="176"/>
        <w:tabs>
          <w:tab w:val="left" w:pos="1170"/>
          <w:tab w:val="left" w:pos="3960"/>
          <w:tab w:val="left" w:pos="4050"/>
          <w:tab w:val="left" w:pos="4320"/>
          <w:tab w:val="left" w:pos="4500"/>
          <w:tab w:val="left" w:pos="4950"/>
          <w:tab w:val="left" w:pos="5220"/>
        </w:tabs>
        <w:ind w:left="2430"/>
        <w:rPr>
          <w:b/>
          <w:sz w:val="28"/>
          <w:szCs w:val="28"/>
        </w:rPr>
      </w:pPr>
      <w:r>
        <w:rPr>
          <w:b/>
          <w:sz w:val="28"/>
          <w:szCs w:val="28"/>
        </w:rPr>
        <w:t>Schedule of Projected Cash-Flow</w:t>
      </w:r>
    </w:p>
    <w:p w14:paraId="57D0BC11">
      <w:pPr>
        <w:tabs>
          <w:tab w:val="left" w:pos="1170"/>
          <w:tab w:val="left" w:pos="3960"/>
          <w:tab w:val="left" w:pos="4050"/>
          <w:tab w:val="left" w:pos="4320"/>
          <w:tab w:val="left" w:pos="4500"/>
          <w:tab w:val="left" w:pos="4950"/>
          <w:tab w:val="left" w:pos="5220"/>
        </w:tabs>
        <w:rPr>
          <w:b/>
          <w:sz w:val="28"/>
          <w:szCs w:val="28"/>
        </w:rPr>
      </w:pPr>
    </w:p>
    <w:p w14:paraId="7DCBB096">
      <w:pPr>
        <w:jc w:val="both"/>
      </w:pPr>
      <w:r>
        <w:t>Bidder to provide a schedule of Projected Cash-Flow which should be based on an Outline Programme for execution of the Works.</w:t>
      </w:r>
    </w:p>
    <w:p w14:paraId="0823E8C8">
      <w:pPr>
        <w:pStyle w:val="152"/>
        <w:rPr>
          <w:b w:val="0"/>
          <w:bCs/>
          <w:sz w:val="24"/>
          <w:szCs w:val="24"/>
        </w:rPr>
      </w:pPr>
    </w:p>
    <w:p w14:paraId="64A5E55F">
      <w:pPr>
        <w:pStyle w:val="152"/>
      </w:pPr>
      <w:r>
        <w:br w:type="page"/>
      </w:r>
      <w:bookmarkStart w:id="440" w:name="_Toc178519601"/>
      <w:r>
        <w:t>Bidder’s Qualification</w:t>
      </w:r>
      <w:bookmarkEnd w:id="440"/>
    </w:p>
    <w:p w14:paraId="4B5D4780">
      <w:pPr>
        <w:jc w:val="both"/>
      </w:pPr>
      <w:r>
        <w:t>To establish its qualifications to perform the contract in accordance with Section III (Evaluation and Qualification Criteria) the Bidder shall provide the information requested in the corresponding Information Sheets included hereunder</w:t>
      </w:r>
    </w:p>
    <w:p w14:paraId="548CD91C">
      <w:pPr>
        <w:pStyle w:val="80"/>
        <w:ind w:left="180"/>
        <w:jc w:val="left"/>
        <w:rPr>
          <w:sz w:val="20"/>
          <w:lang w:val="en-US"/>
        </w:rPr>
      </w:pPr>
    </w:p>
    <w:p w14:paraId="3A71D852">
      <w:pPr>
        <w:pStyle w:val="156"/>
      </w:pPr>
      <w:r>
        <w:br w:type="page"/>
      </w:r>
      <w:bookmarkEnd w:id="397"/>
      <w:bookmarkStart w:id="441" w:name="_Toc178519602"/>
      <w:bookmarkStart w:id="442" w:name="_Toc108950346"/>
      <w:bookmarkStart w:id="443" w:name="_Toc78273052"/>
      <w:r>
        <w:rPr>
          <w:szCs w:val="32"/>
        </w:rPr>
        <w:t xml:space="preserve">Form ELI -1.1: </w:t>
      </w:r>
      <w:bookmarkStart w:id="444" w:name="_Toc108424563"/>
      <w:r>
        <w:t>Bidder Information Form</w:t>
      </w:r>
      <w:bookmarkEnd w:id="441"/>
      <w:bookmarkEnd w:id="444"/>
    </w:p>
    <w:p w14:paraId="3C8490C4">
      <w:pPr>
        <w:jc w:val="right"/>
        <w:rPr>
          <w:spacing w:val="-2"/>
        </w:rPr>
      </w:pPr>
      <w:r>
        <w:rPr>
          <w:spacing w:val="-2"/>
        </w:rPr>
        <w:t xml:space="preserve">Date: </w:t>
      </w:r>
      <w:r>
        <w:rPr>
          <w:i/>
        </w:rPr>
        <w:t>_________________</w:t>
      </w:r>
      <w:r>
        <w:br w:type="textWrapping"/>
      </w:r>
      <w:r>
        <w:rPr>
          <w:rFonts w:hint="default"/>
          <w:lang w:val="en-US"/>
        </w:rPr>
        <w:t>N</w:t>
      </w:r>
      <w:r>
        <w:rPr>
          <w:spacing w:val="-2"/>
        </w:rPr>
        <w:t xml:space="preserve">CB No. and title: </w:t>
      </w:r>
      <w:r>
        <w:rPr>
          <w:i/>
          <w:spacing w:val="3"/>
        </w:rPr>
        <w:t>_________________</w:t>
      </w:r>
      <w:r>
        <w:rPr>
          <w:spacing w:val="3"/>
        </w:rPr>
        <w:br w:type="textWrapping"/>
      </w:r>
      <w:r>
        <w:rPr>
          <w:spacing w:val="-2"/>
        </w:rPr>
        <w:t>Page</w:t>
      </w:r>
      <w:r>
        <w:rPr>
          <w:i/>
          <w:spacing w:val="-2"/>
        </w:rPr>
        <w:t xml:space="preserve"> </w:t>
      </w:r>
      <w:r>
        <w:rPr>
          <w:i/>
        </w:rPr>
        <w:t>__________</w:t>
      </w:r>
      <w:r>
        <w:rPr>
          <w:spacing w:val="-2"/>
        </w:rPr>
        <w:t xml:space="preserve">of </w:t>
      </w:r>
      <w:r>
        <w:rPr>
          <w:i/>
          <w:spacing w:val="1"/>
        </w:rPr>
        <w:t>_______________</w:t>
      </w:r>
      <w:r>
        <w:rPr>
          <w:spacing w:val="-2"/>
        </w:rPr>
        <w:t>pages</w:t>
      </w:r>
    </w:p>
    <w:p w14:paraId="44B273EA">
      <w:pPr>
        <w:jc w:val="right"/>
        <w:rPr>
          <w:spacing w:val="-2"/>
        </w:rPr>
      </w:pPr>
    </w:p>
    <w:tbl>
      <w:tblPr>
        <w:tblStyle w:val="12"/>
        <w:tblW w:w="0" w:type="auto"/>
        <w:tblInd w:w="3" w:type="dxa"/>
        <w:tblLayout w:type="fixed"/>
        <w:tblCellMar>
          <w:top w:w="0" w:type="dxa"/>
          <w:left w:w="0" w:type="dxa"/>
          <w:bottom w:w="0" w:type="dxa"/>
          <w:right w:w="0" w:type="dxa"/>
        </w:tblCellMar>
      </w:tblPr>
      <w:tblGrid>
        <w:gridCol w:w="9279"/>
      </w:tblGrid>
      <w:tr w14:paraId="7EBB27A2">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0D15A124">
            <w:pPr>
              <w:spacing w:before="40" w:after="120"/>
              <w:ind w:left="90"/>
              <w:rPr>
                <w:spacing w:val="-2"/>
              </w:rPr>
            </w:pPr>
            <w:r>
              <w:rPr>
                <w:spacing w:val="-2"/>
              </w:rPr>
              <w:t>Bidder's name</w:t>
            </w:r>
          </w:p>
          <w:p w14:paraId="11D3A059">
            <w:pPr>
              <w:spacing w:before="40" w:after="120"/>
              <w:ind w:left="90"/>
              <w:rPr>
                <w:i/>
                <w:spacing w:val="3"/>
              </w:rPr>
            </w:pPr>
          </w:p>
        </w:tc>
      </w:tr>
      <w:tr w14:paraId="52798EB5">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6CEC5F9E">
            <w:pPr>
              <w:spacing w:before="40" w:after="120"/>
              <w:ind w:left="90"/>
              <w:rPr>
                <w:spacing w:val="-10"/>
              </w:rPr>
            </w:pPr>
            <w:r>
              <w:rPr>
                <w:spacing w:val="-2"/>
              </w:rPr>
              <w:t xml:space="preserve">In case of Joint Venture (JV), </w:t>
            </w:r>
            <w:r>
              <w:rPr>
                <w:spacing w:val="-10"/>
              </w:rPr>
              <w:t>name of each member:</w:t>
            </w:r>
          </w:p>
          <w:p w14:paraId="431D34A6">
            <w:pPr>
              <w:spacing w:before="40" w:after="120"/>
              <w:ind w:left="90"/>
              <w:rPr>
                <w:i/>
                <w:spacing w:val="4"/>
              </w:rPr>
            </w:pPr>
          </w:p>
        </w:tc>
      </w:tr>
      <w:tr w14:paraId="6330B08D">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1C649DC2">
            <w:pPr>
              <w:spacing w:before="40" w:after="120"/>
              <w:ind w:left="90"/>
              <w:rPr>
                <w:spacing w:val="-8"/>
              </w:rPr>
            </w:pPr>
            <w:r>
              <w:rPr>
                <w:spacing w:val="-8"/>
              </w:rPr>
              <w:t>Bidder's actual or intended country of registration:</w:t>
            </w:r>
          </w:p>
          <w:p w14:paraId="5B04D372">
            <w:pPr>
              <w:spacing w:before="40" w:after="120"/>
              <w:ind w:left="90"/>
              <w:rPr>
                <w:i/>
                <w:spacing w:val="6"/>
              </w:rPr>
            </w:pPr>
            <w:r>
              <w:rPr>
                <w:i/>
                <w:spacing w:val="6"/>
              </w:rPr>
              <w:t>[indicate country of Constitution]</w:t>
            </w:r>
          </w:p>
        </w:tc>
      </w:tr>
      <w:tr w14:paraId="27F2B289">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5DF1FFE4">
            <w:pPr>
              <w:spacing w:before="40" w:after="120"/>
              <w:ind w:left="90"/>
              <w:rPr>
                <w:spacing w:val="-8"/>
              </w:rPr>
            </w:pPr>
            <w:r>
              <w:rPr>
                <w:spacing w:val="-8"/>
              </w:rPr>
              <w:t>Bidder's actual or intended year of incorporation:</w:t>
            </w:r>
          </w:p>
        </w:tc>
      </w:tr>
      <w:tr w14:paraId="45128757">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24B7EA0B">
            <w:pPr>
              <w:spacing w:before="40" w:after="120"/>
              <w:ind w:left="90"/>
              <w:rPr>
                <w:spacing w:val="-2"/>
              </w:rPr>
            </w:pPr>
            <w:r>
              <w:rPr>
                <w:spacing w:val="-2"/>
              </w:rPr>
              <w:t>Bidder's legal address [in country of registration]:</w:t>
            </w:r>
          </w:p>
          <w:p w14:paraId="3E9A6B48">
            <w:pPr>
              <w:spacing w:before="40" w:after="120"/>
              <w:ind w:left="90"/>
              <w:rPr>
                <w:i/>
                <w:spacing w:val="1"/>
              </w:rPr>
            </w:pPr>
          </w:p>
        </w:tc>
      </w:tr>
      <w:tr w14:paraId="0BD24634">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72DEFACE">
            <w:pPr>
              <w:spacing w:before="40" w:after="120"/>
              <w:ind w:left="90"/>
              <w:rPr>
                <w:spacing w:val="-2"/>
              </w:rPr>
            </w:pPr>
            <w:r>
              <w:rPr>
                <w:spacing w:val="-2"/>
              </w:rPr>
              <w:t>Bidder's authorized representative information</w:t>
            </w:r>
          </w:p>
          <w:p w14:paraId="6F48A7BF">
            <w:pPr>
              <w:spacing w:before="40" w:after="120"/>
              <w:ind w:left="90"/>
              <w:rPr>
                <w:spacing w:val="6"/>
              </w:rPr>
            </w:pPr>
            <w:r>
              <w:rPr>
                <w:spacing w:val="-2"/>
              </w:rPr>
              <w:t>Name: _____________________________________</w:t>
            </w:r>
          </w:p>
          <w:p w14:paraId="51582E6A">
            <w:pPr>
              <w:spacing w:before="40" w:after="120"/>
              <w:ind w:left="90"/>
              <w:rPr>
                <w:i/>
                <w:spacing w:val="1"/>
              </w:rPr>
            </w:pPr>
            <w:r>
              <w:rPr>
                <w:spacing w:val="-2"/>
              </w:rPr>
              <w:t xml:space="preserve">Address: </w:t>
            </w:r>
            <w:r>
              <w:rPr>
                <w:i/>
                <w:spacing w:val="1"/>
              </w:rPr>
              <w:t>___________________________________</w:t>
            </w:r>
          </w:p>
          <w:p w14:paraId="3EF9853B">
            <w:pPr>
              <w:spacing w:before="40" w:after="120"/>
              <w:ind w:left="90"/>
            </w:pPr>
            <w:r>
              <w:rPr>
                <w:spacing w:val="-2"/>
              </w:rPr>
              <w:t xml:space="preserve">Telephone/Fax numbers: </w:t>
            </w:r>
            <w:r>
              <w:rPr>
                <w:i/>
              </w:rPr>
              <w:t>_______________________</w:t>
            </w:r>
          </w:p>
          <w:p w14:paraId="0578F16B">
            <w:pPr>
              <w:spacing w:before="40" w:after="120"/>
              <w:ind w:left="90"/>
            </w:pPr>
            <w:r>
              <w:rPr>
                <w:spacing w:val="-6"/>
              </w:rPr>
              <w:t xml:space="preserve">E-mail address: </w:t>
            </w:r>
            <w:r>
              <w:rPr>
                <w:i/>
              </w:rPr>
              <w:t>______________________________</w:t>
            </w:r>
          </w:p>
        </w:tc>
      </w:tr>
      <w:tr w14:paraId="71C998BC">
        <w:tblPrEx>
          <w:tblCellMar>
            <w:top w:w="0" w:type="dxa"/>
            <w:left w:w="0" w:type="dxa"/>
            <w:bottom w:w="0" w:type="dxa"/>
            <w:right w:w="0" w:type="dxa"/>
          </w:tblCellMar>
        </w:tblPrEx>
        <w:tc>
          <w:tcPr>
            <w:tcW w:w="9279" w:type="dxa"/>
            <w:tcBorders>
              <w:top w:val="single" w:color="auto" w:sz="2" w:space="0"/>
              <w:left w:val="single" w:color="auto" w:sz="2" w:space="0"/>
              <w:bottom w:val="single" w:color="auto" w:sz="2" w:space="0"/>
              <w:right w:val="single" w:color="auto" w:sz="2" w:space="0"/>
            </w:tcBorders>
          </w:tcPr>
          <w:p w14:paraId="1CDBF270">
            <w:pPr>
              <w:spacing w:before="40" w:after="120"/>
              <w:ind w:left="90"/>
              <w:rPr>
                <w:spacing w:val="-2"/>
              </w:rPr>
            </w:pPr>
            <w:r>
              <w:rPr>
                <w:spacing w:val="-2"/>
              </w:rPr>
              <w:t>1. Attached are copies of original documents of</w:t>
            </w:r>
          </w:p>
          <w:p w14:paraId="3CF07958">
            <w:pPr>
              <w:spacing w:before="40" w:after="120"/>
              <w:ind w:left="540" w:hanging="450"/>
              <w:rPr>
                <w:spacing w:val="-8"/>
              </w:rPr>
            </w:pPr>
            <w:r>
              <w:rPr>
                <w:rFonts w:ascii="MS Mincho" w:hAnsi="MS Mincho" w:eastAsia="MS Mincho" w:cs="MS Mincho"/>
                <w:spacing w:val="-2"/>
              </w:rPr>
              <w:sym w:font="Wingdings" w:char="F0A8"/>
            </w:r>
            <w:r>
              <w:rPr>
                <w:rFonts w:ascii="MS Mincho" w:hAnsi="MS Mincho" w:eastAsia="MS Mincho" w:cs="MS Mincho"/>
                <w:spacing w:val="-2"/>
              </w:rPr>
              <w:tab/>
            </w:r>
            <w:r>
              <w:rPr>
                <w:spacing w:val="-2"/>
              </w:rPr>
              <w:t xml:space="preserve">Articles of Incorporation (or equivalent documents of constitution or association), and/or documents of registration of </w:t>
            </w:r>
            <w:r>
              <w:rPr>
                <w:spacing w:val="-8"/>
              </w:rPr>
              <w:t>the legal entity named above, in accordance with ITB 4.3.</w:t>
            </w:r>
          </w:p>
          <w:p w14:paraId="706C09D2">
            <w:pPr>
              <w:spacing w:before="40" w:after="120"/>
              <w:ind w:left="540" w:hanging="450"/>
              <w:rPr>
                <w:spacing w:val="-2"/>
              </w:rPr>
            </w:pPr>
            <w:r>
              <w:rPr>
                <w:rFonts w:ascii="MS Mincho" w:hAnsi="MS Mincho" w:eastAsia="MS Mincho" w:cs="MS Mincho"/>
                <w:spacing w:val="-2"/>
              </w:rPr>
              <w:sym w:font="Wingdings" w:char="F0A8"/>
            </w:r>
            <w:r>
              <w:rPr>
                <w:spacing w:val="-2"/>
              </w:rPr>
              <w:tab/>
            </w:r>
            <w:r>
              <w:rPr>
                <w:spacing w:val="-2"/>
              </w:rPr>
              <w:t>In case of JV, letter of intent to form JV or JV agreement, in accordance with ITB 4.1.</w:t>
            </w:r>
          </w:p>
          <w:p w14:paraId="7BC1A9DB">
            <w:pPr>
              <w:spacing w:before="40" w:after="120"/>
              <w:ind w:left="540" w:hanging="450"/>
              <w:rPr>
                <w:spacing w:val="-2"/>
              </w:rPr>
            </w:pPr>
            <w:r>
              <w:rPr>
                <w:rFonts w:ascii="MS Mincho" w:hAnsi="MS Mincho" w:eastAsia="MS Mincho" w:cs="MS Mincho"/>
                <w:spacing w:val="-2"/>
              </w:rPr>
              <w:sym w:font="Wingdings" w:char="F0A8"/>
            </w:r>
            <w:r>
              <w:rPr>
                <w:rFonts w:ascii="MS Mincho" w:hAnsi="MS Mincho" w:eastAsia="MS Mincho" w:cs="MS Mincho"/>
                <w:spacing w:val="-2"/>
              </w:rPr>
              <w:tab/>
            </w:r>
            <w:r>
              <w:rPr>
                <w:spacing w:val="-2"/>
              </w:rPr>
              <w:t>In case of Government-owned enterprise or institution, in accordance with ITB 4.5 documents establishing:</w:t>
            </w:r>
          </w:p>
          <w:p w14:paraId="4F9E3E67">
            <w:pPr>
              <w:pStyle w:val="176"/>
              <w:widowControl w:val="0"/>
              <w:numPr>
                <w:ilvl w:val="0"/>
                <w:numId w:val="56"/>
              </w:numPr>
              <w:autoSpaceDE w:val="0"/>
              <w:autoSpaceDN w:val="0"/>
              <w:spacing w:before="40" w:after="120"/>
              <w:jc w:val="left"/>
              <w:rPr>
                <w:spacing w:val="-8"/>
              </w:rPr>
            </w:pPr>
            <w:r>
              <w:rPr>
                <w:spacing w:val="-2"/>
              </w:rPr>
              <w:t>Legal and financial autonomy</w:t>
            </w:r>
          </w:p>
          <w:p w14:paraId="04CCDB66">
            <w:pPr>
              <w:pStyle w:val="176"/>
              <w:widowControl w:val="0"/>
              <w:numPr>
                <w:ilvl w:val="0"/>
                <w:numId w:val="56"/>
              </w:numPr>
              <w:autoSpaceDE w:val="0"/>
              <w:autoSpaceDN w:val="0"/>
              <w:spacing w:before="40" w:after="120"/>
              <w:jc w:val="left"/>
              <w:rPr>
                <w:spacing w:val="-8"/>
              </w:rPr>
            </w:pPr>
            <w:r>
              <w:rPr>
                <w:spacing w:val="-2"/>
              </w:rPr>
              <w:t>Operation under commercial law</w:t>
            </w:r>
          </w:p>
          <w:p w14:paraId="420993B3">
            <w:pPr>
              <w:pStyle w:val="176"/>
              <w:widowControl w:val="0"/>
              <w:numPr>
                <w:ilvl w:val="0"/>
                <w:numId w:val="56"/>
              </w:numPr>
              <w:autoSpaceDE w:val="0"/>
              <w:autoSpaceDN w:val="0"/>
              <w:spacing w:before="40" w:after="120"/>
              <w:jc w:val="left"/>
              <w:rPr>
                <w:spacing w:val="-8"/>
              </w:rPr>
            </w:pPr>
            <w:r>
              <w:rPr>
                <w:spacing w:val="-2"/>
              </w:rPr>
              <w:t>Establishing that the Bidder is not dependent agency of the Employer</w:t>
            </w:r>
          </w:p>
          <w:p w14:paraId="047403FC">
            <w:pPr>
              <w:spacing w:before="40" w:after="120"/>
              <w:ind w:left="360" w:hanging="270"/>
              <w:rPr>
                <w:spacing w:val="-2"/>
              </w:rPr>
            </w:pPr>
            <w:r>
              <w:rPr>
                <w:spacing w:val="-2"/>
              </w:rPr>
              <w:t>2. Included are the organizational chart, a list of Board of Directors, and the beneficial ownership.</w:t>
            </w:r>
          </w:p>
        </w:tc>
      </w:tr>
      <w:bookmarkEnd w:id="442"/>
      <w:bookmarkEnd w:id="443"/>
    </w:tbl>
    <w:p w14:paraId="5DF55B5B">
      <w:pPr>
        <w:rPr>
          <w:rFonts w:ascii="Arial" w:hAnsi="Arial" w:cs="Arial"/>
          <w:sz w:val="20"/>
        </w:rPr>
      </w:pPr>
    </w:p>
    <w:p w14:paraId="28BEA407">
      <w:pPr>
        <w:pStyle w:val="156"/>
        <w:rPr>
          <w:lang w:val="da-DK"/>
        </w:rPr>
      </w:pPr>
      <w:r>
        <w:rPr>
          <w:rFonts w:cs="Arial"/>
          <w:sz w:val="20"/>
          <w:lang w:val="da-DK"/>
        </w:rPr>
        <w:br w:type="page"/>
      </w:r>
      <w:bookmarkStart w:id="445" w:name="_Toc178519603"/>
      <w:bookmarkStart w:id="446" w:name="_Toc78273053"/>
      <w:bookmarkStart w:id="447" w:name="_Toc108950347"/>
      <w:r>
        <w:rPr>
          <w:szCs w:val="32"/>
          <w:lang w:val="da-DK"/>
        </w:rPr>
        <w:t xml:space="preserve">Form ELI -1.2: </w:t>
      </w:r>
      <w:r>
        <w:rPr>
          <w:lang w:val="da-DK"/>
        </w:rPr>
        <w:t>Information Form for JV Bidders</w:t>
      </w:r>
      <w:bookmarkEnd w:id="445"/>
      <w:r>
        <w:rPr>
          <w:lang w:val="da-DK"/>
        </w:rPr>
        <w:t xml:space="preserve"> </w:t>
      </w:r>
    </w:p>
    <w:p w14:paraId="34A75E96">
      <w:pPr>
        <w:jc w:val="center"/>
      </w:pPr>
      <w:r>
        <w:t>(to be completed for each member of Joint Venture)</w:t>
      </w:r>
    </w:p>
    <w:p w14:paraId="13E46342">
      <w:pPr>
        <w:jc w:val="right"/>
        <w:rPr>
          <w:spacing w:val="-2"/>
          <w:sz w:val="22"/>
          <w:szCs w:val="22"/>
        </w:rPr>
      </w:pPr>
      <w:r>
        <w:rPr>
          <w:spacing w:val="-2"/>
          <w:sz w:val="22"/>
          <w:szCs w:val="22"/>
        </w:rPr>
        <w:t xml:space="preserve">Date: </w:t>
      </w:r>
      <w:r>
        <w:rPr>
          <w:i/>
          <w:iCs/>
          <w:spacing w:val="2"/>
          <w:sz w:val="22"/>
          <w:szCs w:val="22"/>
        </w:rPr>
        <w:t>_______________</w:t>
      </w:r>
      <w:r>
        <w:rPr>
          <w:i/>
          <w:iCs/>
          <w:spacing w:val="2"/>
          <w:sz w:val="22"/>
          <w:szCs w:val="22"/>
        </w:rPr>
        <w:br w:type="textWrapping"/>
      </w:r>
      <w:r>
        <w:rPr>
          <w:rFonts w:hint="default"/>
          <w:i/>
          <w:iCs/>
          <w:spacing w:val="2"/>
          <w:sz w:val="22"/>
          <w:szCs w:val="22"/>
          <w:lang w:val="en-US"/>
        </w:rPr>
        <w:t>N</w:t>
      </w:r>
      <w:r>
        <w:rPr>
          <w:spacing w:val="-2"/>
          <w:sz w:val="22"/>
          <w:szCs w:val="22"/>
        </w:rPr>
        <w:t xml:space="preserve">CB No. and title: </w:t>
      </w:r>
      <w:r>
        <w:rPr>
          <w:i/>
          <w:iCs/>
          <w:spacing w:val="2"/>
          <w:sz w:val="22"/>
          <w:szCs w:val="22"/>
        </w:rPr>
        <w:t>__________________</w:t>
      </w:r>
      <w:r>
        <w:rPr>
          <w:i/>
          <w:iCs/>
          <w:spacing w:val="2"/>
          <w:sz w:val="22"/>
          <w:szCs w:val="22"/>
        </w:rPr>
        <w:br w:type="textWrapping"/>
      </w:r>
      <w:r>
        <w:rPr>
          <w:spacing w:val="-2"/>
          <w:sz w:val="22"/>
          <w:szCs w:val="22"/>
        </w:rPr>
        <w:t xml:space="preserve">Page </w:t>
      </w:r>
      <w:r>
        <w:rPr>
          <w:i/>
          <w:iCs/>
          <w:spacing w:val="2"/>
          <w:sz w:val="22"/>
          <w:szCs w:val="22"/>
        </w:rPr>
        <w:t xml:space="preserve">_______________ </w:t>
      </w:r>
      <w:r>
        <w:rPr>
          <w:spacing w:val="-2"/>
          <w:sz w:val="22"/>
          <w:szCs w:val="22"/>
        </w:rPr>
        <w:t xml:space="preserve">of </w:t>
      </w:r>
      <w:r>
        <w:rPr>
          <w:i/>
          <w:iCs/>
          <w:spacing w:val="1"/>
          <w:sz w:val="22"/>
          <w:szCs w:val="22"/>
        </w:rPr>
        <w:t xml:space="preserve">____________ </w:t>
      </w:r>
      <w:r>
        <w:rPr>
          <w:spacing w:val="-2"/>
          <w:sz w:val="22"/>
          <w:szCs w:val="22"/>
        </w:rPr>
        <w:t>pages</w:t>
      </w:r>
    </w:p>
    <w:p w14:paraId="3BC08862">
      <w:pPr>
        <w:jc w:val="right"/>
        <w:rPr>
          <w:spacing w:val="-2"/>
          <w:sz w:val="22"/>
          <w:szCs w:val="22"/>
        </w:rPr>
      </w:pPr>
    </w:p>
    <w:tbl>
      <w:tblPr>
        <w:tblStyle w:val="12"/>
        <w:tblW w:w="9372" w:type="dxa"/>
        <w:tblInd w:w="3" w:type="dxa"/>
        <w:tblLayout w:type="fixed"/>
        <w:tblCellMar>
          <w:top w:w="0" w:type="dxa"/>
          <w:left w:w="0" w:type="dxa"/>
          <w:bottom w:w="0" w:type="dxa"/>
          <w:right w:w="0" w:type="dxa"/>
        </w:tblCellMar>
      </w:tblPr>
      <w:tblGrid>
        <w:gridCol w:w="9372"/>
      </w:tblGrid>
      <w:tr w14:paraId="3EB14371">
        <w:tc>
          <w:tcPr>
            <w:tcW w:w="9372" w:type="dxa"/>
            <w:tcBorders>
              <w:top w:val="single" w:color="auto" w:sz="2" w:space="0"/>
              <w:left w:val="single" w:color="auto" w:sz="2" w:space="0"/>
              <w:bottom w:val="single" w:color="auto" w:sz="2" w:space="0"/>
              <w:right w:val="single" w:color="auto" w:sz="2" w:space="0"/>
            </w:tcBorders>
          </w:tcPr>
          <w:p w14:paraId="643CF449">
            <w:pPr>
              <w:spacing w:before="40" w:after="120"/>
              <w:ind w:left="540" w:hanging="450"/>
              <w:rPr>
                <w:spacing w:val="-2"/>
                <w:sz w:val="22"/>
                <w:szCs w:val="22"/>
              </w:rPr>
            </w:pPr>
            <w:r>
              <w:rPr>
                <w:spacing w:val="-2"/>
                <w:sz w:val="22"/>
                <w:szCs w:val="22"/>
              </w:rPr>
              <w:t>Bidder’s Joint Venture name:</w:t>
            </w:r>
          </w:p>
          <w:p w14:paraId="117488D0">
            <w:pPr>
              <w:spacing w:before="40" w:after="120"/>
              <w:ind w:left="540" w:hanging="450"/>
              <w:rPr>
                <w:i/>
                <w:iCs/>
                <w:spacing w:val="2"/>
                <w:sz w:val="22"/>
                <w:szCs w:val="22"/>
              </w:rPr>
            </w:pPr>
          </w:p>
        </w:tc>
      </w:tr>
      <w:tr w14:paraId="7612650F">
        <w:tblPrEx>
          <w:tblCellMar>
            <w:top w:w="0" w:type="dxa"/>
            <w:left w:w="0" w:type="dxa"/>
            <w:bottom w:w="0" w:type="dxa"/>
            <w:right w:w="0" w:type="dxa"/>
          </w:tblCellMar>
        </w:tblPrEx>
        <w:tc>
          <w:tcPr>
            <w:tcW w:w="9372" w:type="dxa"/>
            <w:tcBorders>
              <w:top w:val="single" w:color="auto" w:sz="2" w:space="0"/>
              <w:left w:val="single" w:color="auto" w:sz="2" w:space="0"/>
              <w:bottom w:val="single" w:color="auto" w:sz="2" w:space="0"/>
              <w:right w:val="single" w:color="auto" w:sz="2" w:space="0"/>
            </w:tcBorders>
          </w:tcPr>
          <w:p w14:paraId="31752283">
            <w:pPr>
              <w:spacing w:before="40" w:after="120"/>
              <w:ind w:left="540" w:hanging="450"/>
              <w:rPr>
                <w:spacing w:val="-2"/>
                <w:sz w:val="22"/>
                <w:szCs w:val="22"/>
              </w:rPr>
            </w:pPr>
            <w:r>
              <w:rPr>
                <w:spacing w:val="-2"/>
                <w:sz w:val="22"/>
                <w:szCs w:val="22"/>
              </w:rPr>
              <w:t xml:space="preserve"> JV member’s  name:</w:t>
            </w:r>
          </w:p>
          <w:p w14:paraId="75B9DAF8">
            <w:pPr>
              <w:spacing w:before="40" w:after="120"/>
              <w:ind w:left="540" w:hanging="450"/>
              <w:rPr>
                <w:i/>
                <w:iCs/>
                <w:spacing w:val="2"/>
                <w:sz w:val="22"/>
                <w:szCs w:val="22"/>
              </w:rPr>
            </w:pPr>
          </w:p>
        </w:tc>
      </w:tr>
      <w:tr w14:paraId="212BF0AE">
        <w:tblPrEx>
          <w:tblCellMar>
            <w:top w:w="0" w:type="dxa"/>
            <w:left w:w="0" w:type="dxa"/>
            <w:bottom w:w="0" w:type="dxa"/>
            <w:right w:w="0" w:type="dxa"/>
          </w:tblCellMar>
        </w:tblPrEx>
        <w:tc>
          <w:tcPr>
            <w:tcW w:w="9372" w:type="dxa"/>
            <w:tcBorders>
              <w:top w:val="single" w:color="auto" w:sz="2" w:space="0"/>
              <w:left w:val="single" w:color="auto" w:sz="2" w:space="0"/>
              <w:bottom w:val="single" w:color="auto" w:sz="2" w:space="0"/>
              <w:right w:val="single" w:color="auto" w:sz="2" w:space="0"/>
            </w:tcBorders>
          </w:tcPr>
          <w:p w14:paraId="3ABBF227">
            <w:pPr>
              <w:spacing w:before="40" w:after="120"/>
              <w:ind w:left="540" w:hanging="450"/>
              <w:rPr>
                <w:spacing w:val="-2"/>
                <w:sz w:val="22"/>
                <w:szCs w:val="22"/>
              </w:rPr>
            </w:pPr>
            <w:r>
              <w:rPr>
                <w:spacing w:val="-2"/>
                <w:sz w:val="22"/>
                <w:szCs w:val="22"/>
              </w:rPr>
              <w:t xml:space="preserve"> JV member’s country of registration:</w:t>
            </w:r>
          </w:p>
          <w:p w14:paraId="574585D4">
            <w:pPr>
              <w:spacing w:before="40" w:after="120"/>
              <w:ind w:left="540" w:hanging="450"/>
              <w:rPr>
                <w:i/>
                <w:iCs/>
                <w:spacing w:val="2"/>
              </w:rPr>
            </w:pPr>
          </w:p>
        </w:tc>
      </w:tr>
      <w:tr w14:paraId="6934751B">
        <w:tblPrEx>
          <w:tblCellMar>
            <w:top w:w="0" w:type="dxa"/>
            <w:left w:w="0" w:type="dxa"/>
            <w:bottom w:w="0" w:type="dxa"/>
            <w:right w:w="0" w:type="dxa"/>
          </w:tblCellMar>
        </w:tblPrEx>
        <w:tc>
          <w:tcPr>
            <w:tcW w:w="9372" w:type="dxa"/>
            <w:tcBorders>
              <w:top w:val="single" w:color="auto" w:sz="2" w:space="0"/>
              <w:left w:val="single" w:color="auto" w:sz="2" w:space="0"/>
              <w:bottom w:val="single" w:color="auto" w:sz="2" w:space="0"/>
              <w:right w:val="single" w:color="auto" w:sz="2" w:space="0"/>
            </w:tcBorders>
          </w:tcPr>
          <w:p w14:paraId="2DBD14CF">
            <w:pPr>
              <w:spacing w:before="40" w:after="120"/>
              <w:ind w:left="540" w:hanging="450"/>
              <w:rPr>
                <w:spacing w:val="-2"/>
                <w:sz w:val="22"/>
                <w:szCs w:val="22"/>
              </w:rPr>
            </w:pPr>
            <w:r>
              <w:rPr>
                <w:spacing w:val="-2"/>
                <w:sz w:val="22"/>
                <w:szCs w:val="22"/>
              </w:rPr>
              <w:t xml:space="preserve"> JV member’s year of constitution:</w:t>
            </w:r>
          </w:p>
          <w:p w14:paraId="49D41B9F">
            <w:pPr>
              <w:spacing w:before="40" w:after="120"/>
              <w:ind w:left="540" w:hanging="450"/>
              <w:rPr>
                <w:i/>
                <w:iCs/>
                <w:spacing w:val="2"/>
              </w:rPr>
            </w:pPr>
          </w:p>
        </w:tc>
      </w:tr>
      <w:tr w14:paraId="06AAA656">
        <w:tblPrEx>
          <w:tblCellMar>
            <w:top w:w="0" w:type="dxa"/>
            <w:left w:w="0" w:type="dxa"/>
            <w:bottom w:w="0" w:type="dxa"/>
            <w:right w:w="0" w:type="dxa"/>
          </w:tblCellMar>
        </w:tblPrEx>
        <w:tc>
          <w:tcPr>
            <w:tcW w:w="9372" w:type="dxa"/>
            <w:tcBorders>
              <w:top w:val="single" w:color="auto" w:sz="2" w:space="0"/>
              <w:left w:val="single" w:color="auto" w:sz="2" w:space="0"/>
              <w:right w:val="single" w:color="auto" w:sz="2" w:space="0"/>
            </w:tcBorders>
          </w:tcPr>
          <w:p w14:paraId="1C7D7E8D">
            <w:pPr>
              <w:spacing w:before="40" w:after="120"/>
              <w:ind w:left="540" w:hanging="450"/>
              <w:rPr>
                <w:spacing w:val="-7"/>
                <w:sz w:val="22"/>
                <w:szCs w:val="22"/>
              </w:rPr>
            </w:pPr>
            <w:r>
              <w:rPr>
                <w:spacing w:val="-7"/>
                <w:sz w:val="22"/>
                <w:szCs w:val="22"/>
              </w:rPr>
              <w:t xml:space="preserve"> JV member’s legal address in country of constitution:</w:t>
            </w:r>
          </w:p>
          <w:p w14:paraId="156CB6B9">
            <w:pPr>
              <w:spacing w:before="40" w:after="120"/>
              <w:ind w:left="540" w:hanging="450"/>
              <w:rPr>
                <w:spacing w:val="-7"/>
                <w:sz w:val="22"/>
                <w:szCs w:val="22"/>
              </w:rPr>
            </w:pPr>
          </w:p>
        </w:tc>
      </w:tr>
      <w:tr w14:paraId="4CFCBC54">
        <w:tblPrEx>
          <w:tblCellMar>
            <w:top w:w="0" w:type="dxa"/>
            <w:left w:w="0" w:type="dxa"/>
            <w:bottom w:w="0" w:type="dxa"/>
            <w:right w:w="0" w:type="dxa"/>
          </w:tblCellMar>
        </w:tblPrEx>
        <w:tc>
          <w:tcPr>
            <w:tcW w:w="9372" w:type="dxa"/>
            <w:tcBorders>
              <w:top w:val="single" w:color="auto" w:sz="2" w:space="0"/>
              <w:left w:val="single" w:color="auto" w:sz="2" w:space="0"/>
              <w:bottom w:val="single" w:color="auto" w:sz="2" w:space="0"/>
              <w:right w:val="single" w:color="auto" w:sz="2" w:space="0"/>
            </w:tcBorders>
          </w:tcPr>
          <w:p w14:paraId="5BBBDD86">
            <w:pPr>
              <w:spacing w:before="40" w:after="120"/>
              <w:ind w:left="540" w:hanging="450"/>
              <w:rPr>
                <w:spacing w:val="-6"/>
                <w:sz w:val="22"/>
                <w:szCs w:val="22"/>
              </w:rPr>
            </w:pPr>
            <w:r>
              <w:rPr>
                <w:spacing w:val="-6"/>
                <w:sz w:val="22"/>
                <w:szCs w:val="22"/>
              </w:rPr>
              <w:t xml:space="preserve"> JV member’s authorized representative information</w:t>
            </w:r>
          </w:p>
          <w:p w14:paraId="512E44EE">
            <w:pPr>
              <w:spacing w:before="40" w:after="120"/>
              <w:ind w:left="540" w:hanging="450"/>
              <w:rPr>
                <w:i/>
                <w:iCs/>
                <w:spacing w:val="2"/>
                <w:sz w:val="22"/>
                <w:szCs w:val="22"/>
              </w:rPr>
            </w:pPr>
            <w:r>
              <w:rPr>
                <w:spacing w:val="-2"/>
                <w:sz w:val="22"/>
                <w:szCs w:val="22"/>
              </w:rPr>
              <w:t>Name: ____________________________________</w:t>
            </w:r>
          </w:p>
          <w:p w14:paraId="771743D6">
            <w:pPr>
              <w:spacing w:before="40" w:after="120"/>
              <w:ind w:left="540" w:hanging="450"/>
              <w:rPr>
                <w:i/>
                <w:iCs/>
                <w:spacing w:val="1"/>
                <w:sz w:val="22"/>
                <w:szCs w:val="22"/>
              </w:rPr>
            </w:pPr>
            <w:r>
              <w:rPr>
                <w:spacing w:val="-2"/>
                <w:sz w:val="22"/>
                <w:szCs w:val="22"/>
              </w:rPr>
              <w:t>Address: __________________________________</w:t>
            </w:r>
          </w:p>
          <w:p w14:paraId="52925FBA">
            <w:pPr>
              <w:spacing w:before="40" w:after="120"/>
              <w:ind w:left="540" w:hanging="450"/>
              <w:rPr>
                <w:i/>
                <w:iCs/>
                <w:spacing w:val="2"/>
                <w:sz w:val="22"/>
                <w:szCs w:val="22"/>
              </w:rPr>
            </w:pPr>
            <w:r>
              <w:rPr>
                <w:spacing w:val="-2"/>
                <w:sz w:val="22"/>
                <w:szCs w:val="22"/>
              </w:rPr>
              <w:t>Telephone/Fax numbers: _____________________</w:t>
            </w:r>
          </w:p>
          <w:p w14:paraId="546F4D7E">
            <w:pPr>
              <w:spacing w:before="40" w:after="120"/>
              <w:ind w:left="540" w:hanging="450"/>
              <w:rPr>
                <w:i/>
                <w:iCs/>
                <w:spacing w:val="2"/>
                <w:sz w:val="22"/>
                <w:szCs w:val="22"/>
              </w:rPr>
            </w:pPr>
            <w:r>
              <w:rPr>
                <w:spacing w:val="-6"/>
                <w:sz w:val="22"/>
                <w:szCs w:val="22"/>
              </w:rPr>
              <w:t>E-mail address: _____________________________</w:t>
            </w:r>
          </w:p>
        </w:tc>
      </w:tr>
      <w:tr w14:paraId="78CD61B6">
        <w:tblPrEx>
          <w:tblCellMar>
            <w:top w:w="0" w:type="dxa"/>
            <w:left w:w="0" w:type="dxa"/>
            <w:bottom w:w="0" w:type="dxa"/>
            <w:right w:w="0" w:type="dxa"/>
          </w:tblCellMar>
        </w:tblPrEx>
        <w:tc>
          <w:tcPr>
            <w:tcW w:w="9372" w:type="dxa"/>
            <w:tcBorders>
              <w:top w:val="single" w:color="auto" w:sz="2" w:space="0"/>
              <w:left w:val="single" w:color="auto" w:sz="2" w:space="0"/>
              <w:bottom w:val="single" w:color="auto" w:sz="2" w:space="0"/>
              <w:right w:val="single" w:color="auto" w:sz="2" w:space="0"/>
            </w:tcBorders>
          </w:tcPr>
          <w:p w14:paraId="16D1CF64">
            <w:pPr>
              <w:spacing w:before="40" w:after="120"/>
              <w:ind w:left="540" w:hanging="450"/>
              <w:rPr>
                <w:spacing w:val="-2"/>
                <w:sz w:val="22"/>
                <w:szCs w:val="22"/>
              </w:rPr>
            </w:pPr>
            <w:r>
              <w:rPr>
                <w:spacing w:val="-2"/>
                <w:sz w:val="22"/>
                <w:szCs w:val="22"/>
              </w:rPr>
              <w:t>1. Attached are copies of original documents of</w:t>
            </w:r>
          </w:p>
          <w:p w14:paraId="0A0DDFE3">
            <w:pPr>
              <w:spacing w:before="40" w:after="120"/>
              <w:ind w:left="540" w:hanging="450"/>
              <w:rPr>
                <w:spacing w:val="-8"/>
                <w:sz w:val="22"/>
                <w:szCs w:val="22"/>
              </w:rPr>
            </w:pPr>
            <w:r>
              <w:rPr>
                <w:rFonts w:ascii="MS Mincho" w:hAnsi="MS Mincho" w:eastAsia="MS Mincho" w:cs="MS Mincho"/>
                <w:spacing w:val="-2"/>
              </w:rPr>
              <w:sym w:font="Wingdings" w:char="F0A8"/>
            </w:r>
            <w:r>
              <w:rPr>
                <w:rFonts w:ascii="MS Mincho" w:hAnsi="MS Mincho" w:eastAsia="MS Mincho" w:cs="MS Mincho"/>
                <w:spacing w:val="-2"/>
              </w:rPr>
              <w:tab/>
            </w:r>
            <w:r>
              <w:rPr>
                <w:spacing w:val="-2"/>
                <w:sz w:val="22"/>
                <w:szCs w:val="22"/>
              </w:rPr>
              <w:t xml:space="preserve">Articles of Incorporation (or equivalent documents of constitution or association), and/or registration documents of the </w:t>
            </w:r>
            <w:r>
              <w:rPr>
                <w:spacing w:val="-8"/>
                <w:sz w:val="22"/>
                <w:szCs w:val="22"/>
              </w:rPr>
              <w:t>legal entity named above, in accordance with ITB 4.3.</w:t>
            </w:r>
          </w:p>
          <w:p w14:paraId="5152AF8D">
            <w:pPr>
              <w:spacing w:before="40" w:after="120"/>
              <w:ind w:left="540" w:hanging="450"/>
              <w:rPr>
                <w:spacing w:val="-2"/>
                <w:sz w:val="22"/>
                <w:szCs w:val="22"/>
              </w:rPr>
            </w:pPr>
            <w:r>
              <w:rPr>
                <w:rFonts w:ascii="MS Mincho" w:hAnsi="MS Mincho" w:eastAsia="MS Mincho" w:cs="MS Mincho"/>
                <w:spacing w:val="-2"/>
              </w:rPr>
              <w:sym w:font="Wingdings" w:char="F0A8"/>
            </w:r>
            <w:r>
              <w:rPr>
                <w:spacing w:val="-2"/>
                <w:sz w:val="22"/>
                <w:szCs w:val="22"/>
              </w:rPr>
              <w:t xml:space="preserve"> </w:t>
            </w:r>
            <w:r>
              <w:rPr>
                <w:spacing w:val="-2"/>
                <w:sz w:val="22"/>
                <w:szCs w:val="22"/>
              </w:rPr>
              <w:tab/>
            </w:r>
            <w:r>
              <w:rPr>
                <w:spacing w:val="-2"/>
                <w:sz w:val="22"/>
                <w:szCs w:val="22"/>
              </w:rPr>
              <w:t>In case of a Government-owned enterprise or institution, documents establishing legal and financial autonomy, operation in accordance with commercial law, and absence of dependent status, in accordance with ITB 4.5.</w:t>
            </w:r>
          </w:p>
          <w:p w14:paraId="6C2594E1">
            <w:pPr>
              <w:spacing w:before="40" w:after="120"/>
              <w:ind w:left="540" w:hanging="450"/>
              <w:rPr>
                <w:spacing w:val="-2"/>
                <w:sz w:val="22"/>
                <w:szCs w:val="22"/>
              </w:rPr>
            </w:pPr>
            <w:r>
              <w:rPr>
                <w:spacing w:val="-2"/>
                <w:sz w:val="22"/>
                <w:szCs w:val="22"/>
              </w:rPr>
              <w:t>2. Included are the organizational chart, a list of Board of Directors, and the beneficial ownership.</w:t>
            </w:r>
          </w:p>
        </w:tc>
      </w:tr>
    </w:tbl>
    <w:p w14:paraId="7A2A8B8F">
      <w:pPr>
        <w:rPr>
          <w:b/>
          <w:sz w:val="28"/>
        </w:rPr>
      </w:pPr>
    </w:p>
    <w:bookmarkEnd w:id="446"/>
    <w:bookmarkEnd w:id="447"/>
    <w:p w14:paraId="4D38E44F"/>
    <w:p w14:paraId="1A9B922E">
      <w:pPr>
        <w:pStyle w:val="156"/>
        <w:rPr>
          <w:bCs/>
          <w:spacing w:val="10"/>
          <w:szCs w:val="32"/>
        </w:rPr>
      </w:pPr>
      <w:r>
        <w:br w:type="page"/>
      </w:r>
      <w:bookmarkStart w:id="448" w:name="_Toc178519604"/>
      <w:r>
        <w:rPr>
          <w:szCs w:val="32"/>
        </w:rPr>
        <w:t xml:space="preserve">Form CON – 2: </w:t>
      </w:r>
      <w:r>
        <w:t>Historical Contract Non-Performance, Pending Litigation and Litigation History</w:t>
      </w:r>
      <w:bookmarkEnd w:id="448"/>
    </w:p>
    <w:p w14:paraId="5D439C44">
      <w:pPr>
        <w:spacing w:before="288" w:after="324" w:line="264" w:lineRule="exact"/>
        <w:rPr>
          <w:spacing w:val="-4"/>
        </w:rPr>
      </w:pPr>
      <w:r>
        <w:rPr>
          <w:spacing w:val="-4"/>
        </w:rPr>
        <w:t xml:space="preserve">Bidder’s Name: </w:t>
      </w:r>
      <w:r>
        <w:rPr>
          <w:i/>
          <w:iCs/>
          <w:spacing w:val="-6"/>
        </w:rPr>
        <w:t>________________</w:t>
      </w:r>
      <w:r>
        <w:rPr>
          <w:i/>
          <w:iCs/>
          <w:spacing w:val="-6"/>
        </w:rPr>
        <w:br w:type="textWrapping"/>
      </w:r>
      <w:r>
        <w:rPr>
          <w:spacing w:val="-4"/>
        </w:rPr>
        <w:t xml:space="preserve">Date: </w:t>
      </w:r>
      <w:r>
        <w:rPr>
          <w:i/>
          <w:iCs/>
          <w:spacing w:val="-6"/>
        </w:rPr>
        <w:t>______________________</w:t>
      </w:r>
      <w:r>
        <w:rPr>
          <w:i/>
          <w:iCs/>
          <w:spacing w:val="-6"/>
        </w:rPr>
        <w:br w:type="textWrapping"/>
      </w:r>
      <w:r>
        <w:rPr>
          <w:spacing w:val="-4"/>
        </w:rPr>
        <w:t>Joint Venture Member’s Name_________________________</w:t>
      </w:r>
      <w:r>
        <w:rPr>
          <w:i/>
          <w:iCs/>
          <w:spacing w:val="-6"/>
        </w:rPr>
        <w:br w:type="textWrapping"/>
      </w:r>
      <w:r>
        <w:rPr>
          <w:rFonts w:hint="default"/>
          <w:i/>
          <w:iCs/>
          <w:spacing w:val="-6"/>
          <w:lang w:val="en-US"/>
        </w:rPr>
        <w:t>N</w:t>
      </w:r>
      <w:r>
        <w:rPr>
          <w:spacing w:val="-4"/>
        </w:rPr>
        <w:t xml:space="preserve">CB No. and title: </w:t>
      </w:r>
      <w:r>
        <w:rPr>
          <w:i/>
          <w:iCs/>
          <w:spacing w:val="-6"/>
        </w:rPr>
        <w:t>___________________________</w:t>
      </w:r>
      <w:r>
        <w:rPr>
          <w:i/>
          <w:iCs/>
          <w:spacing w:val="-6"/>
        </w:rPr>
        <w:br w:type="textWrapping"/>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tbl>
      <w:tblPr>
        <w:tblStyle w:val="12"/>
        <w:tblW w:w="9389" w:type="dxa"/>
        <w:tblInd w:w="3" w:type="dxa"/>
        <w:tblLayout w:type="fixed"/>
        <w:tblCellMar>
          <w:top w:w="0" w:type="dxa"/>
          <w:left w:w="0" w:type="dxa"/>
          <w:bottom w:w="0" w:type="dxa"/>
          <w:right w:w="0" w:type="dxa"/>
        </w:tblCellMar>
      </w:tblPr>
      <w:tblGrid>
        <w:gridCol w:w="968"/>
        <w:gridCol w:w="1530"/>
        <w:gridCol w:w="5128"/>
        <w:gridCol w:w="1763"/>
      </w:tblGrid>
      <w:tr w14:paraId="68C1A732">
        <w:tblPrEx>
          <w:tblCellMar>
            <w:top w:w="0" w:type="dxa"/>
            <w:left w:w="0" w:type="dxa"/>
            <w:bottom w:w="0" w:type="dxa"/>
            <w:right w:w="0" w:type="dxa"/>
          </w:tblCellMar>
        </w:tblPrEx>
        <w:tc>
          <w:tcPr>
            <w:tcW w:w="9389" w:type="dxa"/>
            <w:gridSpan w:val="4"/>
            <w:tcBorders>
              <w:top w:val="single" w:color="auto" w:sz="2" w:space="0"/>
              <w:left w:val="single" w:color="auto" w:sz="2" w:space="0"/>
              <w:bottom w:val="single" w:color="auto" w:sz="2" w:space="0"/>
              <w:right w:val="single" w:color="auto" w:sz="2" w:space="0"/>
            </w:tcBorders>
          </w:tcPr>
          <w:p w14:paraId="05CEC754">
            <w:pPr>
              <w:spacing w:before="60" w:after="60"/>
              <w:rPr>
                <w:spacing w:val="-4"/>
              </w:rPr>
            </w:pPr>
            <w:bookmarkStart w:id="449" w:name="_Hlk29818968"/>
            <w:r>
              <w:rPr>
                <w:spacing w:val="-4"/>
              </w:rPr>
              <w:t xml:space="preserve">Non-Performed Contracts in accordance with Section III, Evaluation and Qualification Criteria </w:t>
            </w:r>
          </w:p>
        </w:tc>
      </w:tr>
      <w:tr w14:paraId="7525B5D5">
        <w:tblPrEx>
          <w:tblCellMar>
            <w:top w:w="0" w:type="dxa"/>
            <w:left w:w="0" w:type="dxa"/>
            <w:bottom w:w="0" w:type="dxa"/>
            <w:right w:w="0" w:type="dxa"/>
          </w:tblCellMar>
        </w:tblPrEx>
        <w:tc>
          <w:tcPr>
            <w:tcW w:w="9389" w:type="dxa"/>
            <w:gridSpan w:val="4"/>
            <w:tcBorders>
              <w:top w:val="single" w:color="auto" w:sz="2" w:space="0"/>
              <w:left w:val="single" w:color="auto" w:sz="2" w:space="0"/>
              <w:bottom w:val="single" w:color="auto" w:sz="2" w:space="0"/>
              <w:right w:val="single" w:color="auto" w:sz="2" w:space="0"/>
            </w:tcBorders>
          </w:tcPr>
          <w:p w14:paraId="68382684">
            <w:pPr>
              <w:spacing w:before="60" w:after="60"/>
              <w:ind w:left="540" w:hanging="441"/>
              <w:rPr>
                <w:spacing w:val="-4"/>
              </w:rPr>
            </w:pPr>
            <w:r>
              <w:rPr>
                <w:rFonts w:ascii="Wingdings" w:hAnsi="Wingdings" w:eastAsia="Wingdings" w:cs="Wingdings"/>
                <w:spacing w:val="-2"/>
              </w:rPr>
              <w:t></w:t>
            </w:r>
            <w:r>
              <w:rPr>
                <w:rFonts w:eastAsia="MS Mincho"/>
                <w:spacing w:val="-2"/>
              </w:rPr>
              <w:tab/>
            </w:r>
            <w:r>
              <w:rPr>
                <w:spacing w:val="-6"/>
              </w:rPr>
              <w:t>Contract non-performance did not occur since 1</w:t>
            </w:r>
            <w:r>
              <w:rPr>
                <w:spacing w:val="-6"/>
                <w:vertAlign w:val="superscript"/>
              </w:rPr>
              <w:t>st</w:t>
            </w:r>
            <w:r>
              <w:rPr>
                <w:spacing w:val="-6"/>
              </w:rPr>
              <w:t xml:space="preserve"> January </w:t>
            </w:r>
            <w:r>
              <w:rPr>
                <w:i/>
                <w:spacing w:val="-6"/>
              </w:rPr>
              <w:t>[insert year]</w:t>
            </w:r>
            <w:r>
              <w:rPr>
                <w:i/>
                <w:iCs/>
                <w:spacing w:val="-6"/>
              </w:rPr>
              <w:t xml:space="preserve"> </w:t>
            </w:r>
            <w:r>
              <w:rPr>
                <w:spacing w:val="-4"/>
              </w:rPr>
              <w:t xml:space="preserve">specified in Section III, Evaluation and </w:t>
            </w:r>
            <w:r>
              <w:rPr>
                <w:spacing w:val="-7"/>
              </w:rPr>
              <w:t xml:space="preserve">Qualification Criteria, Sub-Factor </w:t>
            </w:r>
            <w:r>
              <w:rPr>
                <w:spacing w:val="-4"/>
              </w:rPr>
              <w:t>2.1.</w:t>
            </w:r>
          </w:p>
          <w:p w14:paraId="4D2A91BC">
            <w:pPr>
              <w:spacing w:before="60" w:after="60"/>
              <w:ind w:left="540" w:hanging="441"/>
              <w:rPr>
                <w:spacing w:val="-4"/>
              </w:rPr>
            </w:pPr>
            <w:r>
              <w:rPr>
                <w:rFonts w:ascii="Wingdings" w:hAnsi="Wingdings" w:eastAsia="Wingdings" w:cs="Wingdings"/>
                <w:spacing w:val="-2"/>
              </w:rPr>
              <w:t></w:t>
            </w:r>
            <w:r>
              <w:rPr>
                <w:spacing w:val="-4"/>
              </w:rPr>
              <w:tab/>
            </w:r>
            <w:r>
              <w:rPr>
                <w:spacing w:val="-4"/>
              </w:rPr>
              <w:t xml:space="preserve">Contract(s) not performed </w:t>
            </w:r>
            <w:r>
              <w:rPr>
                <w:spacing w:val="-6"/>
              </w:rPr>
              <w:t>since 1</w:t>
            </w:r>
            <w:r>
              <w:rPr>
                <w:spacing w:val="-6"/>
                <w:vertAlign w:val="superscript"/>
              </w:rPr>
              <w:t>st</w:t>
            </w:r>
            <w:r>
              <w:rPr>
                <w:spacing w:val="-6"/>
              </w:rPr>
              <w:t xml:space="preserve"> January </w:t>
            </w:r>
            <w:r>
              <w:rPr>
                <w:i/>
                <w:spacing w:val="-6"/>
              </w:rPr>
              <w:t>[insert year]</w:t>
            </w:r>
            <w:r>
              <w:rPr>
                <w:spacing w:val="-4"/>
              </w:rPr>
              <w:t xml:space="preserve"> specified in Section III, Evaluation and Qualification Criteria, requirement 2.1</w:t>
            </w:r>
          </w:p>
        </w:tc>
      </w:tr>
      <w:tr w14:paraId="6BF67EE4">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42BD92BB">
            <w:pPr>
              <w:spacing w:before="60" w:after="60"/>
              <w:ind w:left="102"/>
              <w:rPr>
                <w:b/>
                <w:bCs/>
                <w:color w:val="000000" w:themeColor="text1"/>
                <w:spacing w:val="-4"/>
                <w14:textFill>
                  <w14:solidFill>
                    <w14:schemeClr w14:val="tx1"/>
                  </w14:solidFill>
                </w14:textFill>
              </w:rPr>
            </w:pPr>
            <w:r>
              <w:rPr>
                <w:b/>
                <w:bCs/>
                <w:color w:val="000000" w:themeColor="text1"/>
                <w:spacing w:val="-4"/>
                <w14:textFill>
                  <w14:solidFill>
                    <w14:schemeClr w14:val="tx1"/>
                  </w14:solidFill>
                </w14:textFill>
              </w:rPr>
              <w:t>Year</w:t>
            </w:r>
          </w:p>
        </w:tc>
        <w:tc>
          <w:tcPr>
            <w:tcW w:w="1530" w:type="dxa"/>
            <w:tcBorders>
              <w:top w:val="single" w:color="auto" w:sz="2" w:space="0"/>
              <w:left w:val="single" w:color="auto" w:sz="2" w:space="0"/>
              <w:bottom w:val="single" w:color="auto" w:sz="2" w:space="0"/>
              <w:right w:val="single" w:color="auto" w:sz="2" w:space="0"/>
            </w:tcBorders>
          </w:tcPr>
          <w:p w14:paraId="7DB2EE91">
            <w:pPr>
              <w:spacing w:before="60" w:after="60"/>
              <w:ind w:left="112"/>
              <w:jc w:val="center"/>
              <w:rPr>
                <w:b/>
                <w:bCs/>
                <w:color w:val="000000" w:themeColor="text1"/>
                <w:spacing w:val="-4"/>
                <w14:textFill>
                  <w14:solidFill>
                    <w14:schemeClr w14:val="tx1"/>
                  </w14:solidFill>
                </w14:textFill>
              </w:rPr>
            </w:pPr>
            <w:r>
              <w:rPr>
                <w:b/>
                <w:bCs/>
                <w:color w:val="000000" w:themeColor="text1"/>
                <w:spacing w:val="-4"/>
                <w14:textFill>
                  <w14:solidFill>
                    <w14:schemeClr w14:val="tx1"/>
                  </w14:solidFill>
                </w14:textFill>
              </w:rPr>
              <w:t>Non- performed portion of contract</w:t>
            </w:r>
          </w:p>
        </w:tc>
        <w:tc>
          <w:tcPr>
            <w:tcW w:w="5128" w:type="dxa"/>
            <w:tcBorders>
              <w:top w:val="single" w:color="auto" w:sz="2" w:space="0"/>
              <w:left w:val="single" w:color="auto" w:sz="2" w:space="0"/>
              <w:bottom w:val="single" w:color="auto" w:sz="2" w:space="0"/>
              <w:right w:val="single" w:color="auto" w:sz="2" w:space="0"/>
            </w:tcBorders>
          </w:tcPr>
          <w:p w14:paraId="54771A53">
            <w:pPr>
              <w:spacing w:before="60" w:after="60"/>
              <w:ind w:left="1323"/>
              <w:rPr>
                <w:b/>
                <w:bCs/>
                <w:color w:val="000000" w:themeColor="text1"/>
                <w:spacing w:val="-4"/>
                <w14:textFill>
                  <w14:solidFill>
                    <w14:schemeClr w14:val="tx1"/>
                  </w14:solidFill>
                </w14:textFill>
              </w:rPr>
            </w:pPr>
            <w:r>
              <w:rPr>
                <w:b/>
                <w:bCs/>
                <w:color w:val="000000" w:themeColor="text1"/>
                <w:spacing w:val="-4"/>
                <w14:textFill>
                  <w14:solidFill>
                    <w14:schemeClr w14:val="tx1"/>
                  </w14:solidFill>
                </w14:textFill>
              </w:rPr>
              <w:t>Contract Identification</w:t>
            </w:r>
          </w:p>
          <w:p w14:paraId="7839C07C">
            <w:pPr>
              <w:spacing w:before="60" w:after="60"/>
              <w:ind w:left="60"/>
              <w:rPr>
                <w:i/>
                <w:iCs/>
                <w:color w:val="000000" w:themeColor="text1"/>
                <w:spacing w:val="-6"/>
                <w14:textFill>
                  <w14:solidFill>
                    <w14:schemeClr w14:val="tx1"/>
                  </w14:solidFill>
                </w14:textFill>
              </w:rPr>
            </w:pPr>
          </w:p>
        </w:tc>
        <w:tc>
          <w:tcPr>
            <w:tcW w:w="1763" w:type="dxa"/>
            <w:tcBorders>
              <w:top w:val="single" w:color="auto" w:sz="2" w:space="0"/>
              <w:left w:val="single" w:color="auto" w:sz="2" w:space="0"/>
              <w:bottom w:val="single" w:color="auto" w:sz="2" w:space="0"/>
              <w:right w:val="single" w:color="auto" w:sz="2" w:space="0"/>
            </w:tcBorders>
          </w:tcPr>
          <w:p w14:paraId="5A9A492F">
            <w:pPr>
              <w:spacing w:before="60" w:after="60"/>
              <w:jc w:val="center"/>
              <w:rPr>
                <w:i/>
                <w:iCs/>
                <w:color w:val="000000" w:themeColor="text1"/>
                <w:spacing w:val="-6"/>
                <w14:textFill>
                  <w14:solidFill>
                    <w14:schemeClr w14:val="tx1"/>
                  </w14:solidFill>
                </w14:textFill>
              </w:rPr>
            </w:pPr>
            <w:r>
              <w:rPr>
                <w:b/>
                <w:bCs/>
                <w:color w:val="000000" w:themeColor="text1"/>
                <w:spacing w:val="-4"/>
                <w14:textFill>
                  <w14:solidFill>
                    <w14:schemeClr w14:val="tx1"/>
                  </w14:solidFill>
                </w14:textFill>
              </w:rPr>
              <w:t>Total Contract Amount (current value, currency, exchange rate and US$ equivalent)</w:t>
            </w:r>
          </w:p>
        </w:tc>
      </w:tr>
      <w:tr w14:paraId="017FA84B">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6A6EE377">
            <w:pPr>
              <w:spacing w:before="60" w:after="60"/>
              <w:rPr>
                <w:color w:val="000000" w:themeColor="text1"/>
                <w14:textFill>
                  <w14:solidFill>
                    <w14:schemeClr w14:val="tx1"/>
                  </w14:solidFill>
                </w14:textFill>
              </w:rPr>
            </w:pPr>
            <w:r>
              <w:rPr>
                <w:i/>
                <w:iCs/>
                <w:color w:val="000000" w:themeColor="text1"/>
                <w:spacing w:val="-6"/>
                <w14:textFill>
                  <w14:solidFill>
                    <w14:schemeClr w14:val="tx1"/>
                  </w14:solidFill>
                </w14:textFill>
              </w:rPr>
              <w:t xml:space="preserve">[insert </w:t>
            </w:r>
            <w:r>
              <w:rPr>
                <w:i/>
                <w:iCs/>
                <w:color w:val="000000" w:themeColor="text1"/>
                <w:spacing w:val="-9"/>
                <w14:textFill>
                  <w14:solidFill>
                    <w14:schemeClr w14:val="tx1"/>
                  </w14:solidFill>
                </w14:textFill>
              </w:rPr>
              <w:t>year]</w:t>
            </w:r>
          </w:p>
        </w:tc>
        <w:tc>
          <w:tcPr>
            <w:tcW w:w="1530" w:type="dxa"/>
            <w:tcBorders>
              <w:top w:val="single" w:color="auto" w:sz="2" w:space="0"/>
              <w:left w:val="single" w:color="auto" w:sz="2" w:space="0"/>
              <w:bottom w:val="single" w:color="auto" w:sz="2" w:space="0"/>
              <w:right w:val="single" w:color="auto" w:sz="2" w:space="0"/>
            </w:tcBorders>
          </w:tcPr>
          <w:p w14:paraId="3B194923">
            <w:pPr>
              <w:spacing w:before="60" w:after="60"/>
              <w:rPr>
                <w:color w:val="000000" w:themeColor="text1"/>
                <w14:textFill>
                  <w14:solidFill>
                    <w14:schemeClr w14:val="tx1"/>
                  </w14:solidFill>
                </w14:textFill>
              </w:rPr>
            </w:pPr>
            <w:r>
              <w:rPr>
                <w:i/>
                <w:iCs/>
                <w:color w:val="000000" w:themeColor="text1"/>
                <w:spacing w:val="-6"/>
                <w14:textFill>
                  <w14:solidFill>
                    <w14:schemeClr w14:val="tx1"/>
                  </w14:solidFill>
                </w14:textFill>
              </w:rPr>
              <w:t>[insert amount and percentage]</w:t>
            </w:r>
          </w:p>
        </w:tc>
        <w:tc>
          <w:tcPr>
            <w:tcW w:w="5128" w:type="dxa"/>
            <w:tcBorders>
              <w:top w:val="single" w:color="auto" w:sz="2" w:space="0"/>
              <w:left w:val="single" w:color="auto" w:sz="2" w:space="0"/>
              <w:bottom w:val="single" w:color="auto" w:sz="2" w:space="0"/>
              <w:right w:val="single" w:color="auto" w:sz="2" w:space="0"/>
            </w:tcBorders>
          </w:tcPr>
          <w:p w14:paraId="541795AF">
            <w:pPr>
              <w:spacing w:before="60" w:after="60"/>
              <w:ind w:left="60"/>
              <w:rPr>
                <w:i/>
                <w:iCs/>
                <w:color w:val="000000" w:themeColor="text1"/>
                <w:spacing w:val="-6"/>
                <w14:textFill>
                  <w14:solidFill>
                    <w14:schemeClr w14:val="tx1"/>
                  </w14:solidFill>
                </w14:textFill>
              </w:rPr>
            </w:pPr>
            <w:r>
              <w:rPr>
                <w:color w:val="000000" w:themeColor="text1"/>
                <w:spacing w:val="-4"/>
                <w14:textFill>
                  <w14:solidFill>
                    <w14:schemeClr w14:val="tx1"/>
                  </w14:solidFill>
                </w14:textFill>
              </w:rPr>
              <w:t xml:space="preserve">Contract Identification: </w:t>
            </w:r>
            <w:r>
              <w:rPr>
                <w:i/>
                <w:iCs/>
                <w:color w:val="000000" w:themeColor="text1"/>
                <w:spacing w:val="-6"/>
                <w14:textFill>
                  <w14:solidFill>
                    <w14:schemeClr w14:val="tx1"/>
                  </w14:solidFill>
                </w14:textFill>
              </w:rPr>
              <w:t>[indicate complete contract name/ number, and any other identification]</w:t>
            </w:r>
          </w:p>
          <w:p w14:paraId="27D64FD7">
            <w:pPr>
              <w:spacing w:before="60" w:after="60"/>
              <w:ind w:left="60"/>
              <w:rPr>
                <w:i/>
                <w:iCs/>
                <w:color w:val="000000" w:themeColor="text1"/>
                <w:spacing w:val="-6"/>
                <w14:textFill>
                  <w14:solidFill>
                    <w14:schemeClr w14:val="tx1"/>
                  </w14:solidFill>
                </w14:textFill>
              </w:rPr>
            </w:pPr>
            <w:r>
              <w:rPr>
                <w:color w:val="000000" w:themeColor="text1"/>
                <w:spacing w:val="-4"/>
                <w14:textFill>
                  <w14:solidFill>
                    <w14:schemeClr w14:val="tx1"/>
                  </w14:solidFill>
                </w14:textFill>
              </w:rPr>
              <w:t xml:space="preserve">Name of Employer: </w:t>
            </w:r>
            <w:r>
              <w:rPr>
                <w:i/>
                <w:iCs/>
                <w:color w:val="000000" w:themeColor="text1"/>
                <w:spacing w:val="-6"/>
                <w14:textFill>
                  <w14:solidFill>
                    <w14:schemeClr w14:val="tx1"/>
                  </w14:solidFill>
                </w14:textFill>
              </w:rPr>
              <w:t>[insert full name]</w:t>
            </w:r>
          </w:p>
          <w:p w14:paraId="63C1A8D8">
            <w:pPr>
              <w:spacing w:before="60" w:after="60"/>
              <w:ind w:left="58"/>
              <w:rPr>
                <w:i/>
                <w:iCs/>
                <w:color w:val="000000" w:themeColor="text1"/>
                <w:spacing w:val="-6"/>
                <w14:textFill>
                  <w14:solidFill>
                    <w14:schemeClr w14:val="tx1"/>
                  </w14:solidFill>
                </w14:textFill>
              </w:rPr>
            </w:pPr>
            <w:r>
              <w:rPr>
                <w:color w:val="000000" w:themeColor="text1"/>
                <w:spacing w:val="-4"/>
                <w14:textFill>
                  <w14:solidFill>
                    <w14:schemeClr w14:val="tx1"/>
                  </w14:solidFill>
                </w14:textFill>
              </w:rPr>
              <w:t xml:space="preserve">Address of Employer: </w:t>
            </w:r>
            <w:r>
              <w:rPr>
                <w:i/>
                <w:iCs/>
                <w:color w:val="000000" w:themeColor="text1"/>
                <w:spacing w:val="-6"/>
                <w14:textFill>
                  <w14:solidFill>
                    <w14:schemeClr w14:val="tx1"/>
                  </w14:solidFill>
                </w14:textFill>
              </w:rPr>
              <w:t>[insert street/city/country]</w:t>
            </w:r>
          </w:p>
          <w:p w14:paraId="17775A16">
            <w:pPr>
              <w:spacing w:before="60" w:after="60"/>
              <w:ind w:left="58"/>
              <w:rPr>
                <w:color w:val="000000" w:themeColor="text1"/>
                <w14:textFill>
                  <w14:solidFill>
                    <w14:schemeClr w14:val="tx1"/>
                  </w14:solidFill>
                </w14:textFill>
              </w:rPr>
            </w:pPr>
            <w:r>
              <w:rPr>
                <w:color w:val="000000" w:themeColor="text1"/>
                <w:spacing w:val="-4"/>
                <w14:textFill>
                  <w14:solidFill>
                    <w14:schemeClr w14:val="tx1"/>
                  </w14:solidFill>
                </w14:textFill>
              </w:rPr>
              <w:t xml:space="preserve">Reason(s) for nonperformance: </w:t>
            </w:r>
            <w:r>
              <w:rPr>
                <w:i/>
                <w:iCs/>
                <w:color w:val="000000" w:themeColor="text1"/>
                <w:spacing w:val="-6"/>
                <w14:textFill>
                  <w14:solidFill>
                    <w14:schemeClr w14:val="tx1"/>
                  </w14:solidFill>
                </w14:textFill>
              </w:rPr>
              <w:t>[indicate main reason(s)]</w:t>
            </w:r>
          </w:p>
        </w:tc>
        <w:tc>
          <w:tcPr>
            <w:tcW w:w="1763" w:type="dxa"/>
            <w:tcBorders>
              <w:top w:val="single" w:color="auto" w:sz="2" w:space="0"/>
              <w:left w:val="single" w:color="auto" w:sz="2" w:space="0"/>
              <w:bottom w:val="single" w:color="auto" w:sz="2" w:space="0"/>
              <w:right w:val="single" w:color="auto" w:sz="2" w:space="0"/>
            </w:tcBorders>
          </w:tcPr>
          <w:p w14:paraId="58C7BBE2">
            <w:pPr>
              <w:spacing w:before="60" w:after="60"/>
              <w:rPr>
                <w:color w:val="000000" w:themeColor="text1"/>
                <w14:textFill>
                  <w14:solidFill>
                    <w14:schemeClr w14:val="tx1"/>
                  </w14:solidFill>
                </w14:textFill>
              </w:rPr>
            </w:pPr>
            <w:r>
              <w:rPr>
                <w:i/>
                <w:iCs/>
                <w:color w:val="000000" w:themeColor="text1"/>
                <w:spacing w:val="-6"/>
                <w14:textFill>
                  <w14:solidFill>
                    <w14:schemeClr w14:val="tx1"/>
                  </w14:solidFill>
                </w14:textFill>
              </w:rPr>
              <w:t>[insert amount]</w:t>
            </w:r>
          </w:p>
        </w:tc>
      </w:tr>
      <w:tr w14:paraId="4510FF21">
        <w:tblPrEx>
          <w:tblCellMar>
            <w:top w:w="0" w:type="dxa"/>
            <w:left w:w="0" w:type="dxa"/>
            <w:bottom w:w="0" w:type="dxa"/>
            <w:right w:w="0" w:type="dxa"/>
          </w:tblCellMar>
        </w:tblPrEx>
        <w:tc>
          <w:tcPr>
            <w:tcW w:w="9389" w:type="dxa"/>
            <w:gridSpan w:val="4"/>
            <w:tcBorders>
              <w:top w:val="single" w:color="auto" w:sz="2" w:space="0"/>
              <w:left w:val="single" w:color="auto" w:sz="2" w:space="0"/>
              <w:bottom w:val="single" w:color="auto" w:sz="2" w:space="0"/>
              <w:right w:val="single" w:color="auto" w:sz="2" w:space="0"/>
            </w:tcBorders>
          </w:tcPr>
          <w:p w14:paraId="1967FAE6">
            <w:pPr>
              <w:spacing w:before="60" w:after="60"/>
              <w:jc w:val="center"/>
              <w:rPr>
                <w:color w:val="000000" w:themeColor="text1"/>
                <w:spacing w:val="-4"/>
                <w14:textFill>
                  <w14:solidFill>
                    <w14:schemeClr w14:val="tx1"/>
                  </w14:solidFill>
                </w14:textFill>
              </w:rPr>
            </w:pPr>
            <w:r>
              <w:rPr>
                <w:color w:val="000000" w:themeColor="text1"/>
                <w:spacing w:val="-8"/>
                <w14:textFill>
                  <w14:solidFill>
                    <w14:schemeClr w14:val="tx1"/>
                  </w14:solidFill>
                </w14:textFill>
              </w:rPr>
              <w:t xml:space="preserve">Pending Litigation, in accordance with Section III, </w:t>
            </w:r>
            <w:r>
              <w:rPr>
                <w:bCs/>
              </w:rPr>
              <w:t>Evaluation and Qualification Criteria</w:t>
            </w:r>
          </w:p>
        </w:tc>
      </w:tr>
      <w:tr w14:paraId="1D5EF135">
        <w:tblPrEx>
          <w:tblCellMar>
            <w:top w:w="0" w:type="dxa"/>
            <w:left w:w="0" w:type="dxa"/>
            <w:bottom w:w="0" w:type="dxa"/>
            <w:right w:w="0" w:type="dxa"/>
          </w:tblCellMar>
        </w:tblPrEx>
        <w:tc>
          <w:tcPr>
            <w:tcW w:w="9389" w:type="dxa"/>
            <w:gridSpan w:val="4"/>
            <w:tcBorders>
              <w:top w:val="single" w:color="auto" w:sz="2" w:space="0"/>
              <w:left w:val="single" w:color="auto" w:sz="2" w:space="0"/>
              <w:right w:val="single" w:color="auto" w:sz="2" w:space="0"/>
            </w:tcBorders>
          </w:tcPr>
          <w:p w14:paraId="38187576">
            <w:pPr>
              <w:spacing w:before="60" w:after="60"/>
              <w:ind w:left="540" w:hanging="438"/>
              <w:rPr>
                <w:color w:val="000000" w:themeColor="text1"/>
                <w:spacing w:val="-4"/>
                <w14:textFill>
                  <w14:solidFill>
                    <w14:schemeClr w14:val="tx1"/>
                  </w14:solidFill>
                </w14:textFill>
              </w:rPr>
            </w:pPr>
            <w:r>
              <w:rPr>
                <w:rFonts w:ascii="Wingdings" w:hAnsi="Wingdings" w:eastAsia="Wingdings" w:cs="Wingdings"/>
                <w:color w:val="000000" w:themeColor="text1"/>
                <w:spacing w:val="-2"/>
                <w14:textFill>
                  <w14:solidFill>
                    <w14:schemeClr w14:val="tx1"/>
                  </w14:solidFill>
                </w14:textFill>
              </w:rPr>
              <w:t></w:t>
            </w:r>
            <w:r>
              <w:rPr>
                <w:color w:val="000000" w:themeColor="text1"/>
                <w:spacing w:val="-4"/>
                <w14:textFill>
                  <w14:solidFill>
                    <w14:schemeClr w14:val="tx1"/>
                  </w14:solidFill>
                </w14:textFill>
              </w:rPr>
              <w:t xml:space="preserve"> </w:t>
            </w:r>
            <w:r>
              <w:rPr>
                <w:color w:val="000000" w:themeColor="text1"/>
                <w:spacing w:val="-4"/>
                <w14:textFill>
                  <w14:solidFill>
                    <w14:schemeClr w14:val="tx1"/>
                  </w14:solidFill>
                </w14:textFill>
              </w:rPr>
              <w:tab/>
            </w:r>
            <w:r>
              <w:rPr>
                <w:color w:val="000000" w:themeColor="text1"/>
                <w:spacing w:val="-6"/>
                <w14:textFill>
                  <w14:solidFill>
                    <w14:schemeClr w14:val="tx1"/>
                  </w14:solidFill>
                </w14:textFill>
              </w:rPr>
              <w:t xml:space="preserve">No pending </w:t>
            </w:r>
            <w:r>
              <w:rPr>
                <w:color w:val="000000" w:themeColor="text1"/>
                <w:spacing w:val="-8"/>
                <w14:textFill>
                  <w14:solidFill>
                    <w14:schemeClr w14:val="tx1"/>
                  </w14:solidFill>
                </w14:textFill>
              </w:rPr>
              <w:t>litigation</w:t>
            </w:r>
            <w:r>
              <w:rPr>
                <w:color w:val="000000" w:themeColor="text1"/>
                <w:spacing w:val="-6"/>
                <w14:textFill>
                  <w14:solidFill>
                    <w14:schemeClr w14:val="tx1"/>
                  </w14:solidFill>
                </w14:textFill>
              </w:rPr>
              <w:t xml:space="preserve"> in accordance with Section </w:t>
            </w:r>
            <w:r>
              <w:rPr>
                <w:color w:val="000000" w:themeColor="text1"/>
                <w:spacing w:val="-4"/>
                <w14:textFill>
                  <w14:solidFill>
                    <w14:schemeClr w14:val="tx1"/>
                  </w14:solidFill>
                </w14:textFill>
              </w:rPr>
              <w:t xml:space="preserve">III, </w:t>
            </w:r>
            <w:r>
              <w:rPr>
                <w:bCs/>
              </w:rPr>
              <w:t>Evaluation and Qualification Criteria</w:t>
            </w:r>
            <w:r>
              <w:rPr>
                <w:color w:val="000000" w:themeColor="text1"/>
                <w:spacing w:val="-4"/>
                <w14:textFill>
                  <w14:solidFill>
                    <w14:schemeClr w14:val="tx1"/>
                  </w14:solidFill>
                </w14:textFill>
              </w:rPr>
              <w:t>, Sub-Factor 2.3.</w:t>
            </w:r>
          </w:p>
        </w:tc>
      </w:tr>
      <w:tr w14:paraId="7AB78ABD">
        <w:tblPrEx>
          <w:tblCellMar>
            <w:top w:w="0" w:type="dxa"/>
            <w:left w:w="0" w:type="dxa"/>
            <w:bottom w:w="0" w:type="dxa"/>
            <w:right w:w="0" w:type="dxa"/>
          </w:tblCellMar>
        </w:tblPrEx>
        <w:tc>
          <w:tcPr>
            <w:tcW w:w="9389" w:type="dxa"/>
            <w:gridSpan w:val="4"/>
            <w:tcBorders>
              <w:left w:val="single" w:color="auto" w:sz="2" w:space="0"/>
              <w:bottom w:val="single" w:color="auto" w:sz="2" w:space="0"/>
              <w:right w:val="single" w:color="auto" w:sz="2" w:space="0"/>
            </w:tcBorders>
          </w:tcPr>
          <w:p w14:paraId="5E5840B7">
            <w:pPr>
              <w:spacing w:before="60" w:after="60"/>
              <w:ind w:left="540" w:right="125" w:hanging="438"/>
              <w:rPr>
                <w:color w:val="000000" w:themeColor="text1"/>
                <w:spacing w:val="-4"/>
                <w14:textFill>
                  <w14:solidFill>
                    <w14:schemeClr w14:val="tx1"/>
                  </w14:solidFill>
                </w14:textFill>
              </w:rPr>
            </w:pPr>
            <w:r>
              <w:rPr>
                <w:rFonts w:ascii="Wingdings" w:hAnsi="Wingdings" w:eastAsia="Wingdings" w:cs="Wingdings"/>
                <w:color w:val="000000" w:themeColor="text1"/>
                <w:spacing w:val="-2"/>
                <w14:textFill>
                  <w14:solidFill>
                    <w14:schemeClr w14:val="tx1"/>
                  </w14:solidFill>
                </w14:textFill>
              </w:rPr>
              <w:t></w:t>
            </w:r>
            <w:r>
              <w:rPr>
                <w:color w:val="000000" w:themeColor="text1"/>
                <w:spacing w:val="-4"/>
                <w14:textFill>
                  <w14:solidFill>
                    <w14:schemeClr w14:val="tx1"/>
                  </w14:solidFill>
                </w14:textFill>
              </w:rPr>
              <w:t xml:space="preserve"> </w:t>
            </w:r>
            <w:r>
              <w:rPr>
                <w:color w:val="000000" w:themeColor="text1"/>
                <w:spacing w:val="-4"/>
                <w14:textFill>
                  <w14:solidFill>
                    <w14:schemeClr w14:val="tx1"/>
                  </w14:solidFill>
                </w14:textFill>
              </w:rPr>
              <w:tab/>
            </w:r>
            <w:r>
              <w:rPr>
                <w:color w:val="000000" w:themeColor="text1"/>
                <w:spacing w:val="-8"/>
                <w14:textFill>
                  <w14:solidFill>
                    <w14:schemeClr w14:val="tx1"/>
                  </w14:solidFill>
                </w14:textFill>
              </w:rPr>
              <w:t xml:space="preserve">Pending litigation in accordance with Section III, </w:t>
            </w:r>
            <w:r>
              <w:rPr>
                <w:color w:val="000000" w:themeColor="text1"/>
                <w:spacing w:val="-4"/>
                <w14:textFill>
                  <w14:solidFill>
                    <w14:schemeClr w14:val="tx1"/>
                  </w14:solidFill>
                </w14:textFill>
              </w:rPr>
              <w:t>Evaluation and Qualification Criteria, Sub-Factor 2.3 as indicated below.</w:t>
            </w:r>
          </w:p>
        </w:tc>
      </w:tr>
    </w:tbl>
    <w:p w14:paraId="6E5261D4">
      <w:pPr>
        <w:spacing w:line="468" w:lineRule="atLeast"/>
        <w:rPr>
          <w:b/>
          <w:bCs/>
          <w:color w:val="000000" w:themeColor="text1"/>
          <w:spacing w:val="8"/>
          <w14:textFill>
            <w14:solidFill>
              <w14:schemeClr w14:val="tx1"/>
            </w14:solidFill>
          </w14:textFill>
        </w:rPr>
      </w:pPr>
    </w:p>
    <w:p w14:paraId="697FF4E1">
      <w:pPr>
        <w:spacing w:line="468" w:lineRule="atLeast"/>
        <w:rPr>
          <w:b/>
          <w:bCs/>
          <w:color w:val="000000" w:themeColor="text1"/>
          <w:spacing w:val="8"/>
          <w14:textFill>
            <w14:solidFill>
              <w14:schemeClr w14:val="tx1"/>
            </w14:solidFill>
          </w14:textFill>
        </w:rPr>
      </w:pPr>
      <w:r>
        <w:rPr>
          <w:b/>
          <w:bCs/>
          <w:color w:val="000000" w:themeColor="text1"/>
          <w:spacing w:val="8"/>
          <w14:textFill>
            <w14:solidFill>
              <w14:schemeClr w14:val="tx1"/>
            </w14:solidFill>
          </w14:textFill>
        </w:rPr>
        <w:br w:type="page"/>
      </w:r>
    </w:p>
    <w:tbl>
      <w:tblPr>
        <w:tblStyle w:val="1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9"/>
        <w:gridCol w:w="264"/>
        <w:gridCol w:w="1805"/>
        <w:gridCol w:w="246"/>
        <w:gridCol w:w="3981"/>
        <w:gridCol w:w="1687"/>
      </w:tblGrid>
      <w:tr w14:paraId="74157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3" w:type="dxa"/>
            <w:gridSpan w:val="2"/>
          </w:tcPr>
          <w:p w14:paraId="6CE2471C">
            <w:pPr>
              <w:spacing w:before="60" w:after="60"/>
              <w:jc w:val="center"/>
              <w:rPr>
                <w:b/>
                <w:color w:val="000000" w:themeColor="text1"/>
                <w:spacing w:val="8"/>
                <w14:textFill>
                  <w14:solidFill>
                    <w14:schemeClr w14:val="tx1"/>
                  </w14:solidFill>
                </w14:textFill>
              </w:rPr>
            </w:pPr>
            <w:r>
              <w:rPr>
                <w:b/>
                <w:color w:val="000000" w:themeColor="text1"/>
                <w14:textFill>
                  <w14:solidFill>
                    <w14:schemeClr w14:val="tx1"/>
                  </w14:solidFill>
                </w14:textFill>
              </w:rPr>
              <w:t>Year of dispute</w:t>
            </w:r>
          </w:p>
        </w:tc>
        <w:tc>
          <w:tcPr>
            <w:tcW w:w="2051" w:type="dxa"/>
            <w:gridSpan w:val="2"/>
          </w:tcPr>
          <w:p w14:paraId="3FCEE22D">
            <w:pPr>
              <w:spacing w:before="60" w:after="60"/>
              <w:jc w:val="center"/>
              <w:rPr>
                <w:b/>
                <w:color w:val="000000" w:themeColor="text1"/>
                <w14:textFill>
                  <w14:solidFill>
                    <w14:schemeClr w14:val="tx1"/>
                  </w14:solidFill>
                </w14:textFill>
              </w:rPr>
            </w:pPr>
            <w:r>
              <w:rPr>
                <w:b/>
                <w:color w:val="000000" w:themeColor="text1"/>
                <w14:textFill>
                  <w14:solidFill>
                    <w14:schemeClr w14:val="tx1"/>
                  </w14:solidFill>
                </w14:textFill>
              </w:rPr>
              <w:t>Amount in dispute (</w:t>
            </w:r>
            <w:r>
              <w:rPr>
                <w:b/>
                <w:bCs/>
                <w:color w:val="000000" w:themeColor="text1"/>
                <w:spacing w:val="-4"/>
                <w14:textFill>
                  <w14:solidFill>
                    <w14:schemeClr w14:val="tx1"/>
                  </w14:solidFill>
                </w14:textFill>
              </w:rPr>
              <w:t>currency</w:t>
            </w:r>
            <w:r>
              <w:rPr>
                <w:b/>
                <w:color w:val="000000" w:themeColor="text1"/>
                <w14:textFill>
                  <w14:solidFill>
                    <w14:schemeClr w14:val="tx1"/>
                  </w14:solidFill>
                </w14:textFill>
              </w:rPr>
              <w:t>)</w:t>
            </w:r>
          </w:p>
        </w:tc>
        <w:tc>
          <w:tcPr>
            <w:tcW w:w="3981" w:type="dxa"/>
          </w:tcPr>
          <w:p w14:paraId="7EC7AC7D">
            <w:pPr>
              <w:spacing w:before="60" w:after="60"/>
              <w:jc w:val="center"/>
              <w:rPr>
                <w:b/>
                <w:color w:val="000000" w:themeColor="text1"/>
                <w:spacing w:val="8"/>
                <w14:textFill>
                  <w14:solidFill>
                    <w14:schemeClr w14:val="tx1"/>
                  </w14:solidFill>
                </w14:textFill>
              </w:rPr>
            </w:pPr>
            <w:r>
              <w:rPr>
                <w:b/>
                <w:color w:val="000000" w:themeColor="text1"/>
                <w14:textFill>
                  <w14:solidFill>
                    <w14:schemeClr w14:val="tx1"/>
                  </w14:solidFill>
                </w14:textFill>
              </w:rPr>
              <w:t>Contract Identification</w:t>
            </w:r>
          </w:p>
        </w:tc>
        <w:tc>
          <w:tcPr>
            <w:tcW w:w="1687" w:type="dxa"/>
          </w:tcPr>
          <w:p w14:paraId="4D3136F0">
            <w:pPr>
              <w:spacing w:before="60" w:after="60"/>
              <w:jc w:val="center"/>
              <w:rPr>
                <w:b/>
                <w:color w:val="000000" w:themeColor="text1"/>
                <w14:textFill>
                  <w14:solidFill>
                    <w14:schemeClr w14:val="tx1"/>
                  </w14:solidFill>
                </w14:textFill>
              </w:rPr>
            </w:pPr>
            <w:r>
              <w:rPr>
                <w:b/>
                <w:color w:val="000000" w:themeColor="text1"/>
                <w14:textFill>
                  <w14:solidFill>
                    <w14:schemeClr w14:val="tx1"/>
                  </w14:solidFill>
                </w14:textFill>
              </w:rPr>
              <w:t>Total Contract Amount (</w:t>
            </w:r>
            <w:r>
              <w:rPr>
                <w:b/>
                <w:bCs/>
                <w:color w:val="000000" w:themeColor="text1"/>
                <w:spacing w:val="-4"/>
                <w14:textFill>
                  <w14:solidFill>
                    <w14:schemeClr w14:val="tx1"/>
                  </w14:solidFill>
                </w14:textFill>
              </w:rPr>
              <w:t>currency</w:t>
            </w:r>
            <w:r>
              <w:rPr>
                <w:b/>
                <w:color w:val="000000" w:themeColor="text1"/>
                <w14:textFill>
                  <w14:solidFill>
                    <w14:schemeClr w14:val="tx1"/>
                  </w14:solidFill>
                </w14:textFill>
              </w:rPr>
              <w:t>), USD Equivalent (exchange rate)</w:t>
            </w:r>
          </w:p>
        </w:tc>
      </w:tr>
      <w:tr w14:paraId="736AB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23" w:type="dxa"/>
            <w:gridSpan w:val="2"/>
          </w:tcPr>
          <w:p w14:paraId="763726DE">
            <w:pPr>
              <w:spacing w:before="60" w:after="60"/>
              <w:rPr>
                <w:i/>
                <w:color w:val="000000" w:themeColor="text1"/>
                <w14:textFill>
                  <w14:solidFill>
                    <w14:schemeClr w14:val="tx1"/>
                  </w14:solidFill>
                </w14:textFill>
              </w:rPr>
            </w:pPr>
          </w:p>
        </w:tc>
        <w:tc>
          <w:tcPr>
            <w:tcW w:w="2051" w:type="dxa"/>
            <w:gridSpan w:val="2"/>
          </w:tcPr>
          <w:p w14:paraId="3CDAFBC6">
            <w:pPr>
              <w:spacing w:before="60" w:after="60"/>
              <w:rPr>
                <w:i/>
                <w:color w:val="000000" w:themeColor="text1"/>
                <w14:textFill>
                  <w14:solidFill>
                    <w14:schemeClr w14:val="tx1"/>
                  </w14:solidFill>
                </w14:textFill>
              </w:rPr>
            </w:pPr>
          </w:p>
        </w:tc>
        <w:tc>
          <w:tcPr>
            <w:tcW w:w="3981" w:type="dxa"/>
          </w:tcPr>
          <w:p w14:paraId="37F9AEC6">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Contract Identification: _________</w:t>
            </w:r>
          </w:p>
          <w:p w14:paraId="00B2C597">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Name of Employer: ____________</w:t>
            </w:r>
          </w:p>
          <w:p w14:paraId="6552D54B">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Address of Employer: __________</w:t>
            </w:r>
          </w:p>
          <w:p w14:paraId="35CD9B3B">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Matter in dispute: ______________</w:t>
            </w:r>
          </w:p>
          <w:p w14:paraId="2BC8E47A">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Party who initiated the dispute: ____</w:t>
            </w:r>
          </w:p>
          <w:p w14:paraId="54F1DF15">
            <w:pPr>
              <w:spacing w:before="60" w:after="60" w:line="480" w:lineRule="exact"/>
              <w:jc w:val="center"/>
              <w:rPr>
                <w:i/>
                <w:color w:val="000000" w:themeColor="text1"/>
                <w14:textFill>
                  <w14:solidFill>
                    <w14:schemeClr w14:val="tx1"/>
                  </w14:solidFill>
                </w14:textFill>
              </w:rPr>
            </w:pPr>
            <w:r>
              <w:rPr>
                <w:color w:val="000000" w:themeColor="text1"/>
                <w14:textFill>
                  <w14:solidFill>
                    <w14:schemeClr w14:val="tx1"/>
                  </w14:solidFill>
                </w14:textFill>
              </w:rPr>
              <w:t xml:space="preserve">Status of dispute: </w:t>
            </w:r>
            <w:r>
              <w:rPr>
                <w:i/>
                <w:color w:val="000000" w:themeColor="text1"/>
                <w14:textFill>
                  <w14:solidFill>
                    <w14:schemeClr w14:val="tx1"/>
                  </w14:solidFill>
                </w14:textFill>
              </w:rPr>
              <w:t>___________</w:t>
            </w:r>
          </w:p>
        </w:tc>
        <w:tc>
          <w:tcPr>
            <w:tcW w:w="1687" w:type="dxa"/>
          </w:tcPr>
          <w:p w14:paraId="5E07FC66">
            <w:pPr>
              <w:spacing w:before="60" w:after="60"/>
              <w:rPr>
                <w:i/>
                <w:color w:val="000000" w:themeColor="text1"/>
                <w14:textFill>
                  <w14:solidFill>
                    <w14:schemeClr w14:val="tx1"/>
                  </w14:solidFill>
                </w14:textFill>
              </w:rPr>
            </w:pPr>
          </w:p>
        </w:tc>
      </w:tr>
      <w:tr w14:paraId="53FFA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Pr>
        <w:tc>
          <w:tcPr>
            <w:tcW w:w="1523" w:type="dxa"/>
            <w:gridSpan w:val="2"/>
          </w:tcPr>
          <w:p w14:paraId="5F3193F3">
            <w:pPr>
              <w:spacing w:before="60" w:after="60"/>
              <w:rPr>
                <w:i/>
                <w:color w:val="000000" w:themeColor="text1"/>
                <w14:textFill>
                  <w14:solidFill>
                    <w14:schemeClr w14:val="tx1"/>
                  </w14:solidFill>
                </w14:textFill>
              </w:rPr>
            </w:pPr>
          </w:p>
        </w:tc>
        <w:tc>
          <w:tcPr>
            <w:tcW w:w="2051" w:type="dxa"/>
            <w:gridSpan w:val="2"/>
          </w:tcPr>
          <w:p w14:paraId="0C05A786">
            <w:pPr>
              <w:spacing w:before="60" w:after="60"/>
              <w:rPr>
                <w:i/>
                <w:color w:val="000000" w:themeColor="text1"/>
                <w14:textFill>
                  <w14:solidFill>
                    <w14:schemeClr w14:val="tx1"/>
                  </w14:solidFill>
                </w14:textFill>
              </w:rPr>
            </w:pPr>
          </w:p>
        </w:tc>
        <w:tc>
          <w:tcPr>
            <w:tcW w:w="3981" w:type="dxa"/>
          </w:tcPr>
          <w:p w14:paraId="4FF875C7">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 xml:space="preserve">Contract Identification: </w:t>
            </w:r>
          </w:p>
          <w:p w14:paraId="09CB32AE">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 xml:space="preserve">Name of Employer: </w:t>
            </w:r>
          </w:p>
          <w:p w14:paraId="5363F974">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 xml:space="preserve">Address of Employer: </w:t>
            </w:r>
          </w:p>
          <w:p w14:paraId="3D65B27B">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 xml:space="preserve">Matter in dispute: </w:t>
            </w:r>
          </w:p>
          <w:p w14:paraId="017CDC46">
            <w:pPr>
              <w:spacing w:before="60" w:after="60"/>
              <w:rPr>
                <w:color w:val="000000" w:themeColor="text1"/>
                <w14:textFill>
                  <w14:solidFill>
                    <w14:schemeClr w14:val="tx1"/>
                  </w14:solidFill>
                </w14:textFill>
              </w:rPr>
            </w:pPr>
            <w:r>
              <w:rPr>
                <w:color w:val="000000" w:themeColor="text1"/>
                <w14:textFill>
                  <w14:solidFill>
                    <w14:schemeClr w14:val="tx1"/>
                  </w14:solidFill>
                </w14:textFill>
              </w:rPr>
              <w:t xml:space="preserve">Party who initiated the dispute: </w:t>
            </w:r>
          </w:p>
          <w:p w14:paraId="2E1B16C3">
            <w:pPr>
              <w:spacing w:before="60" w:after="60"/>
              <w:rPr>
                <w:i/>
                <w:color w:val="000000" w:themeColor="text1"/>
                <w14:textFill>
                  <w14:solidFill>
                    <w14:schemeClr w14:val="tx1"/>
                  </w14:solidFill>
                </w14:textFill>
              </w:rPr>
            </w:pPr>
            <w:r>
              <w:rPr>
                <w:color w:val="000000" w:themeColor="text1"/>
                <w14:textFill>
                  <w14:solidFill>
                    <w14:schemeClr w14:val="tx1"/>
                  </w14:solidFill>
                </w14:textFill>
              </w:rPr>
              <w:t xml:space="preserve">Status of dispute: </w:t>
            </w:r>
          </w:p>
        </w:tc>
        <w:tc>
          <w:tcPr>
            <w:tcW w:w="1687" w:type="dxa"/>
          </w:tcPr>
          <w:p w14:paraId="60450C8F">
            <w:pPr>
              <w:spacing w:before="60" w:after="60"/>
              <w:rPr>
                <w:i/>
                <w:color w:val="000000" w:themeColor="text1"/>
                <w14:textFill>
                  <w14:solidFill>
                    <w14:schemeClr w14:val="tx1"/>
                  </w14:solidFill>
                </w14:textFill>
              </w:rPr>
            </w:pPr>
          </w:p>
        </w:tc>
      </w:tr>
      <w:tr w14:paraId="7DCD3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42" w:type="dxa"/>
            <w:gridSpan w:val="6"/>
          </w:tcPr>
          <w:p w14:paraId="11C997B2">
            <w:pPr>
              <w:jc w:val="center"/>
              <w:rPr>
                <w:rFonts w:eastAsia="MS Mincho"/>
                <w:spacing w:val="-2"/>
              </w:rPr>
            </w:pPr>
            <w:r>
              <w:t xml:space="preserve">Litigation History </w:t>
            </w:r>
            <w:r>
              <w:rPr>
                <w:spacing w:val="-4"/>
              </w:rPr>
              <w:t xml:space="preserve">in accordance with Section III, </w:t>
            </w:r>
            <w:r>
              <w:rPr>
                <w:bCs/>
              </w:rPr>
              <w:t>Evaluation and Qualification Criteria</w:t>
            </w:r>
          </w:p>
        </w:tc>
      </w:tr>
      <w:tr w14:paraId="7DB14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42" w:type="dxa"/>
            <w:gridSpan w:val="6"/>
          </w:tcPr>
          <w:p w14:paraId="4403F587">
            <w:r>
              <w:rPr>
                <w:rFonts w:ascii="Wingdings" w:hAnsi="Wingdings" w:eastAsia="Wingdings" w:cs="Wingdings"/>
                <w:spacing w:val="-2"/>
              </w:rPr>
              <w:t></w:t>
            </w:r>
            <w:r>
              <w:rPr>
                <w:spacing w:val="-4"/>
              </w:rPr>
              <w:t xml:space="preserve"> </w:t>
            </w:r>
            <w:r>
              <w:rPr>
                <w:spacing w:val="-4"/>
              </w:rPr>
              <w:tab/>
            </w:r>
            <w:r>
              <w:rPr>
                <w:spacing w:val="-6"/>
              </w:rPr>
              <w:t xml:space="preserve">No </w:t>
            </w:r>
            <w:r>
              <w:t xml:space="preserve">Litigation History </w:t>
            </w:r>
            <w:r>
              <w:rPr>
                <w:spacing w:val="-6"/>
              </w:rPr>
              <w:t xml:space="preserve">in accordance with Section </w:t>
            </w:r>
            <w:r>
              <w:rPr>
                <w:spacing w:val="-4"/>
              </w:rPr>
              <w:t xml:space="preserve">III, </w:t>
            </w:r>
            <w:r>
              <w:rPr>
                <w:bCs/>
              </w:rPr>
              <w:t>Evaluation and Qualification Criteria</w:t>
            </w:r>
            <w:r>
              <w:rPr>
                <w:spacing w:val="-4"/>
              </w:rPr>
              <w:t>, Sub-Factor 2.4.</w:t>
            </w:r>
          </w:p>
          <w:p w14:paraId="66EF197A">
            <w:r>
              <w:rPr>
                <w:rFonts w:ascii="Wingdings" w:hAnsi="Wingdings" w:eastAsia="Wingdings" w:cs="Wingdings"/>
                <w:spacing w:val="-2"/>
              </w:rPr>
              <w:t></w:t>
            </w:r>
            <w:r>
              <w:rPr>
                <w:spacing w:val="-4"/>
              </w:rPr>
              <w:t xml:space="preserve"> </w:t>
            </w:r>
            <w:r>
              <w:rPr>
                <w:spacing w:val="-4"/>
              </w:rPr>
              <w:tab/>
            </w:r>
            <w:r>
              <w:t>Litigation History</w:t>
            </w:r>
            <w:r>
              <w:rPr>
                <w:spacing w:val="-8"/>
              </w:rPr>
              <w:t xml:space="preserve"> in accordance with Section III, </w:t>
            </w:r>
            <w:r>
              <w:rPr>
                <w:bCs/>
              </w:rPr>
              <w:t>Evaluation and Qualification Criteria</w:t>
            </w:r>
            <w:r>
              <w:rPr>
                <w:spacing w:val="-4"/>
              </w:rPr>
              <w:t>, Sub-Factor 2.4 as indicated below.</w:t>
            </w:r>
          </w:p>
        </w:tc>
      </w:tr>
      <w:tr w14:paraId="088E2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9" w:type="dxa"/>
          </w:tcPr>
          <w:p w14:paraId="15867013">
            <w:pPr>
              <w:jc w:val="center"/>
              <w:rPr>
                <w:b/>
                <w:spacing w:val="8"/>
                <w:sz w:val="22"/>
                <w:szCs w:val="20"/>
              </w:rPr>
            </w:pPr>
            <w:r>
              <w:rPr>
                <w:b/>
                <w:sz w:val="22"/>
                <w:szCs w:val="20"/>
              </w:rPr>
              <w:t>Year of award</w:t>
            </w:r>
          </w:p>
        </w:tc>
        <w:tc>
          <w:tcPr>
            <w:tcW w:w="2069" w:type="dxa"/>
            <w:gridSpan w:val="2"/>
          </w:tcPr>
          <w:p w14:paraId="618642D2">
            <w:pPr>
              <w:jc w:val="center"/>
              <w:rPr>
                <w:b/>
                <w:sz w:val="22"/>
                <w:szCs w:val="20"/>
              </w:rPr>
            </w:pPr>
            <w:r>
              <w:rPr>
                <w:b/>
                <w:sz w:val="22"/>
                <w:szCs w:val="20"/>
              </w:rPr>
              <w:t xml:space="preserve">Outcome as percentage of Net Worth </w:t>
            </w:r>
          </w:p>
        </w:tc>
        <w:tc>
          <w:tcPr>
            <w:tcW w:w="4227" w:type="dxa"/>
            <w:gridSpan w:val="2"/>
          </w:tcPr>
          <w:p w14:paraId="76BE5BC9">
            <w:pPr>
              <w:jc w:val="center"/>
              <w:rPr>
                <w:b/>
                <w:spacing w:val="8"/>
                <w:sz w:val="22"/>
                <w:szCs w:val="20"/>
              </w:rPr>
            </w:pPr>
            <w:r>
              <w:rPr>
                <w:b/>
                <w:sz w:val="22"/>
                <w:szCs w:val="20"/>
              </w:rPr>
              <w:t>Contract Identification</w:t>
            </w:r>
          </w:p>
        </w:tc>
        <w:tc>
          <w:tcPr>
            <w:tcW w:w="1687" w:type="dxa"/>
          </w:tcPr>
          <w:p w14:paraId="7FD424A1">
            <w:pPr>
              <w:jc w:val="center"/>
              <w:rPr>
                <w:b/>
                <w:sz w:val="22"/>
                <w:szCs w:val="20"/>
              </w:rPr>
            </w:pPr>
            <w:r>
              <w:rPr>
                <w:b/>
                <w:sz w:val="22"/>
                <w:szCs w:val="20"/>
              </w:rPr>
              <w:t>Total Contract Amount (</w:t>
            </w:r>
            <w:r>
              <w:rPr>
                <w:b/>
                <w:bCs/>
                <w:spacing w:val="-4"/>
                <w:sz w:val="22"/>
                <w:szCs w:val="20"/>
              </w:rPr>
              <w:t>currency</w:t>
            </w:r>
            <w:r>
              <w:rPr>
                <w:b/>
                <w:sz w:val="22"/>
                <w:szCs w:val="20"/>
              </w:rPr>
              <w:t>), USD Equivalent (exchange rate)</w:t>
            </w:r>
          </w:p>
        </w:tc>
      </w:tr>
      <w:tr w14:paraId="2B98A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259" w:type="dxa"/>
          </w:tcPr>
          <w:p w14:paraId="4FE1DA91">
            <w:pPr>
              <w:rPr>
                <w:i/>
              </w:rPr>
            </w:pPr>
            <w:r>
              <w:rPr>
                <w:i/>
              </w:rPr>
              <w:t>[insert year]</w:t>
            </w:r>
          </w:p>
        </w:tc>
        <w:tc>
          <w:tcPr>
            <w:tcW w:w="2069" w:type="dxa"/>
            <w:gridSpan w:val="2"/>
          </w:tcPr>
          <w:p w14:paraId="268ADA86">
            <w:pPr>
              <w:rPr>
                <w:i/>
              </w:rPr>
            </w:pPr>
            <w:r>
              <w:rPr>
                <w:i/>
              </w:rPr>
              <w:t>[insert percentage]</w:t>
            </w:r>
          </w:p>
        </w:tc>
        <w:tc>
          <w:tcPr>
            <w:tcW w:w="4227" w:type="dxa"/>
            <w:gridSpan w:val="2"/>
          </w:tcPr>
          <w:p w14:paraId="37EE0519">
            <w:r>
              <w:t>Contract Identification: [indicate complete contract name, number, and any other identification]</w:t>
            </w:r>
          </w:p>
          <w:p w14:paraId="41464F52">
            <w:r>
              <w:t xml:space="preserve">Name of Employer: </w:t>
            </w:r>
            <w:r>
              <w:rPr>
                <w:i/>
              </w:rPr>
              <w:t>[insert full name]</w:t>
            </w:r>
          </w:p>
          <w:p w14:paraId="415DE251">
            <w:r>
              <w:t xml:space="preserve">Address of Employer: </w:t>
            </w:r>
            <w:r>
              <w:rPr>
                <w:i/>
              </w:rPr>
              <w:t>[insert street/city/country]</w:t>
            </w:r>
          </w:p>
          <w:p w14:paraId="49C01BFC">
            <w:r>
              <w:t xml:space="preserve">Matter in dispute: </w:t>
            </w:r>
            <w:r>
              <w:rPr>
                <w:i/>
              </w:rPr>
              <w:t>[indicate main issues in dispute]</w:t>
            </w:r>
          </w:p>
          <w:p w14:paraId="69FE753A">
            <w:r>
              <w:t xml:space="preserve">Party who initiated the dispute: </w:t>
            </w:r>
            <w:r>
              <w:rPr>
                <w:i/>
              </w:rPr>
              <w:t>[indicate “Employer” or “Contractor”]</w:t>
            </w:r>
          </w:p>
          <w:p w14:paraId="61E41460">
            <w:pPr>
              <w:rPr>
                <w:i/>
              </w:rPr>
            </w:pPr>
            <w:r>
              <w:rPr>
                <w:spacing w:val="-4"/>
              </w:rPr>
              <w:t xml:space="preserve">Reason(s) for Litigation and award decision </w:t>
            </w:r>
            <w:r>
              <w:rPr>
                <w:i/>
                <w:iCs/>
                <w:spacing w:val="-6"/>
              </w:rPr>
              <w:t>[indicate main reason(s)]</w:t>
            </w:r>
          </w:p>
        </w:tc>
        <w:tc>
          <w:tcPr>
            <w:tcW w:w="1687" w:type="dxa"/>
          </w:tcPr>
          <w:p w14:paraId="05EE8CB5">
            <w:pPr>
              <w:rPr>
                <w:i/>
              </w:rPr>
            </w:pPr>
            <w:r>
              <w:rPr>
                <w:i/>
              </w:rPr>
              <w:t>[insert amount]</w:t>
            </w:r>
          </w:p>
        </w:tc>
      </w:tr>
      <w:bookmarkEnd w:id="449"/>
    </w:tbl>
    <w:p w14:paraId="1AA9E611">
      <w:pPr>
        <w:spacing w:line="468" w:lineRule="atLeast"/>
        <w:rPr>
          <w:b/>
          <w:bCs/>
          <w:spacing w:val="8"/>
        </w:rPr>
      </w:pPr>
    </w:p>
    <w:p w14:paraId="02EBD79F">
      <w:pPr>
        <w:pStyle w:val="199"/>
        <w:rPr>
          <w:szCs w:val="32"/>
        </w:rPr>
      </w:pPr>
      <w:r>
        <w:rPr>
          <w:b w:val="0"/>
        </w:rPr>
        <w:br w:type="page"/>
      </w:r>
      <w:bookmarkStart w:id="450" w:name="_Toc473887087"/>
    </w:p>
    <w:p w14:paraId="2CBBA024">
      <w:pPr>
        <w:pStyle w:val="156"/>
      </w:pPr>
      <w:bookmarkStart w:id="451" w:name="_Toc178519605"/>
      <w:r>
        <w:t>Form CON – 3: Environmental and Social</w:t>
      </w:r>
      <w:bookmarkEnd w:id="451"/>
      <w:r>
        <w:t xml:space="preserve"> </w:t>
      </w:r>
      <w:bookmarkEnd w:id="450"/>
    </w:p>
    <w:p w14:paraId="34FB5375">
      <w:pPr>
        <w:pStyle w:val="180"/>
        <w:tabs>
          <w:tab w:val="clear" w:pos="8748"/>
        </w:tabs>
        <w:ind w:left="90"/>
      </w:pPr>
      <w:r>
        <w:t xml:space="preserve">Performance Declaration </w:t>
      </w:r>
    </w:p>
    <w:p w14:paraId="28BD79D6">
      <w:pPr>
        <w:spacing w:before="216" w:line="264" w:lineRule="exact"/>
        <w:ind w:left="72"/>
        <w:jc w:val="center"/>
        <w:rPr>
          <w:i/>
          <w:iCs/>
          <w:spacing w:val="-6"/>
        </w:rPr>
      </w:pPr>
      <w:r>
        <w:rPr>
          <w:bCs/>
          <w:i/>
          <w:spacing w:val="6"/>
        </w:rPr>
        <w:t>[</w:t>
      </w:r>
      <w:r>
        <w:rPr>
          <w:i/>
          <w:iCs/>
          <w:spacing w:val="-6"/>
        </w:rPr>
        <w:t>The following table shall be filled in for the Bidder, each member of a Joint Venture and each Specialized Subcontractor]</w:t>
      </w:r>
    </w:p>
    <w:p w14:paraId="07F7C16A">
      <w:pPr>
        <w:spacing w:before="216" w:line="264" w:lineRule="exact"/>
        <w:ind w:left="72"/>
        <w:jc w:val="center"/>
        <w:rPr>
          <w:i/>
          <w:iCs/>
          <w:spacing w:val="-6"/>
        </w:rPr>
      </w:pPr>
    </w:p>
    <w:p w14:paraId="46C3BB9A">
      <w:pPr>
        <w:pStyle w:val="180"/>
        <w:ind w:left="720"/>
        <w:jc w:val="right"/>
        <w:rPr>
          <w:spacing w:val="-4"/>
          <w:sz w:val="24"/>
        </w:rPr>
      </w:pPr>
      <w:r>
        <w:rPr>
          <w:b w:val="0"/>
          <w:spacing w:val="-4"/>
          <w:sz w:val="24"/>
        </w:rPr>
        <w:t xml:space="preserve">Bidder’s Name: </w:t>
      </w:r>
      <w:r>
        <w:rPr>
          <w:b w:val="0"/>
          <w:i/>
          <w:iCs/>
          <w:spacing w:val="-6"/>
          <w:sz w:val="24"/>
        </w:rPr>
        <w:t>[insert full name]</w:t>
      </w:r>
      <w:r>
        <w:rPr>
          <w:b w:val="0"/>
          <w:i/>
          <w:iCs/>
          <w:spacing w:val="-6"/>
          <w:sz w:val="24"/>
        </w:rPr>
        <w:br w:type="textWrapping"/>
      </w:r>
      <w:r>
        <w:rPr>
          <w:b w:val="0"/>
          <w:spacing w:val="-4"/>
          <w:sz w:val="24"/>
        </w:rPr>
        <w:t xml:space="preserve">Date: </w:t>
      </w:r>
      <w:r>
        <w:rPr>
          <w:b w:val="0"/>
          <w:i/>
          <w:iCs/>
          <w:spacing w:val="-6"/>
          <w:sz w:val="24"/>
        </w:rPr>
        <w:t>[insert day, month, year]</w:t>
      </w:r>
      <w:r>
        <w:rPr>
          <w:b w:val="0"/>
          <w:i/>
          <w:iCs/>
          <w:spacing w:val="-6"/>
          <w:sz w:val="24"/>
        </w:rPr>
        <w:br w:type="textWrapping"/>
      </w:r>
      <w:r>
        <w:rPr>
          <w:b w:val="0"/>
          <w:spacing w:val="-4"/>
          <w:sz w:val="24"/>
        </w:rPr>
        <w:t xml:space="preserve">Joint Venture Member’s or Specialized Subcontractor’s Name: </w:t>
      </w:r>
      <w:r>
        <w:rPr>
          <w:b w:val="0"/>
          <w:i/>
          <w:spacing w:val="-4"/>
          <w:sz w:val="24"/>
        </w:rPr>
        <w:t>[</w:t>
      </w:r>
      <w:r>
        <w:rPr>
          <w:b w:val="0"/>
          <w:i/>
          <w:iCs/>
          <w:spacing w:val="-6"/>
          <w:sz w:val="24"/>
        </w:rPr>
        <w:t>insert</w:t>
      </w:r>
      <w:r>
        <w:rPr>
          <w:b w:val="0"/>
          <w:spacing w:val="-4"/>
          <w:sz w:val="24"/>
        </w:rPr>
        <w:t xml:space="preserve"> </w:t>
      </w:r>
      <w:r>
        <w:rPr>
          <w:b w:val="0"/>
          <w:i/>
          <w:iCs/>
          <w:spacing w:val="-6"/>
          <w:sz w:val="24"/>
        </w:rPr>
        <w:t>full name]</w:t>
      </w:r>
      <w:r>
        <w:rPr>
          <w:b w:val="0"/>
          <w:i/>
          <w:iCs/>
          <w:spacing w:val="-6"/>
          <w:sz w:val="24"/>
        </w:rPr>
        <w:br w:type="textWrapping"/>
      </w:r>
      <w:r>
        <w:rPr>
          <w:rFonts w:hint="default"/>
          <w:b w:val="0"/>
          <w:i/>
          <w:iCs/>
          <w:spacing w:val="-6"/>
          <w:sz w:val="24"/>
          <w:lang w:val="en-US"/>
        </w:rPr>
        <w:t>N</w:t>
      </w:r>
      <w:r>
        <w:rPr>
          <w:b w:val="0"/>
          <w:spacing w:val="-4"/>
          <w:sz w:val="24"/>
        </w:rPr>
        <w:t xml:space="preserve">CB No. and title: </w:t>
      </w:r>
      <w:r>
        <w:rPr>
          <w:b w:val="0"/>
          <w:i/>
          <w:iCs/>
          <w:spacing w:val="-6"/>
          <w:sz w:val="24"/>
        </w:rPr>
        <w:t xml:space="preserve">[insert </w:t>
      </w:r>
      <w:r>
        <w:rPr>
          <w:rFonts w:hint="default"/>
          <w:b w:val="0"/>
          <w:i/>
          <w:iCs/>
          <w:spacing w:val="-6"/>
          <w:sz w:val="24"/>
          <w:lang w:val="en-US"/>
        </w:rPr>
        <w:t>N</w:t>
      </w:r>
      <w:r>
        <w:rPr>
          <w:b w:val="0"/>
          <w:i/>
          <w:iCs/>
          <w:spacing w:val="-6"/>
          <w:sz w:val="24"/>
        </w:rPr>
        <w:t>CB number and title]</w:t>
      </w:r>
      <w:r>
        <w:rPr>
          <w:b w:val="0"/>
          <w:i/>
          <w:iCs/>
          <w:spacing w:val="-6"/>
          <w:sz w:val="24"/>
        </w:rPr>
        <w:br w:type="textWrapping"/>
      </w:r>
      <w:r>
        <w:rPr>
          <w:b w:val="0"/>
          <w:spacing w:val="-4"/>
          <w:sz w:val="24"/>
        </w:rPr>
        <w:t xml:space="preserve">Page </w:t>
      </w:r>
      <w:r>
        <w:rPr>
          <w:b w:val="0"/>
          <w:i/>
          <w:iCs/>
          <w:spacing w:val="-6"/>
          <w:sz w:val="24"/>
        </w:rPr>
        <w:t xml:space="preserve">[insert page number] </w:t>
      </w:r>
      <w:r>
        <w:rPr>
          <w:b w:val="0"/>
          <w:spacing w:val="-4"/>
          <w:sz w:val="24"/>
        </w:rPr>
        <w:t xml:space="preserve">of </w:t>
      </w:r>
      <w:r>
        <w:rPr>
          <w:b w:val="0"/>
          <w:i/>
          <w:iCs/>
          <w:spacing w:val="-6"/>
          <w:sz w:val="24"/>
        </w:rPr>
        <w:t xml:space="preserve">[insert total number] </w:t>
      </w:r>
      <w:r>
        <w:rPr>
          <w:b w:val="0"/>
          <w:spacing w:val="-4"/>
          <w:sz w:val="24"/>
        </w:rPr>
        <w:t>pages</w:t>
      </w:r>
    </w:p>
    <w:tbl>
      <w:tblPr>
        <w:tblStyle w:val="12"/>
        <w:tblW w:w="9389" w:type="dxa"/>
        <w:tblInd w:w="3" w:type="dxa"/>
        <w:tblLayout w:type="fixed"/>
        <w:tblCellMar>
          <w:top w:w="0" w:type="dxa"/>
          <w:left w:w="0" w:type="dxa"/>
          <w:bottom w:w="0" w:type="dxa"/>
          <w:right w:w="0" w:type="dxa"/>
        </w:tblCellMar>
      </w:tblPr>
      <w:tblGrid>
        <w:gridCol w:w="968"/>
        <w:gridCol w:w="1530"/>
        <w:gridCol w:w="5128"/>
        <w:gridCol w:w="1763"/>
      </w:tblGrid>
      <w:tr w14:paraId="6CD0A1D6">
        <w:tblPrEx>
          <w:tblCellMar>
            <w:top w:w="0" w:type="dxa"/>
            <w:left w:w="0" w:type="dxa"/>
            <w:bottom w:w="0" w:type="dxa"/>
            <w:right w:w="0" w:type="dxa"/>
          </w:tblCellMar>
        </w:tblPrEx>
        <w:tc>
          <w:tcPr>
            <w:tcW w:w="9389" w:type="dxa"/>
            <w:gridSpan w:val="4"/>
            <w:tcBorders>
              <w:top w:val="single" w:color="auto" w:sz="2" w:space="0"/>
              <w:left w:val="single" w:color="auto" w:sz="2" w:space="0"/>
              <w:bottom w:val="single" w:color="auto" w:sz="2" w:space="0"/>
              <w:right w:val="single" w:color="auto" w:sz="2" w:space="0"/>
            </w:tcBorders>
          </w:tcPr>
          <w:p w14:paraId="5E00D058">
            <w:pPr>
              <w:spacing w:before="80"/>
              <w:jc w:val="center"/>
              <w:rPr>
                <w:spacing w:val="-4"/>
                <w:sz w:val="32"/>
                <w:szCs w:val="32"/>
              </w:rPr>
            </w:pPr>
            <w:r>
              <w:rPr>
                <w:spacing w:val="-4"/>
                <w:sz w:val="32"/>
                <w:szCs w:val="32"/>
              </w:rPr>
              <w:t xml:space="preserve">Environmental and Social Performance Declaration </w:t>
            </w:r>
          </w:p>
          <w:p w14:paraId="6045B228">
            <w:pPr>
              <w:spacing w:after="80"/>
              <w:jc w:val="center"/>
              <w:rPr>
                <w:spacing w:val="-4"/>
              </w:rPr>
            </w:pPr>
            <w:r>
              <w:rPr>
                <w:spacing w:val="-4"/>
              </w:rPr>
              <w:t>in accordance with Section III, Qualification Criteria, and Requirements</w:t>
            </w:r>
          </w:p>
        </w:tc>
      </w:tr>
      <w:tr w14:paraId="2DA0545C">
        <w:tblPrEx>
          <w:tblCellMar>
            <w:top w:w="0" w:type="dxa"/>
            <w:left w:w="0" w:type="dxa"/>
            <w:bottom w:w="0" w:type="dxa"/>
            <w:right w:w="0" w:type="dxa"/>
          </w:tblCellMar>
        </w:tblPrEx>
        <w:tc>
          <w:tcPr>
            <w:tcW w:w="9389" w:type="dxa"/>
            <w:gridSpan w:val="4"/>
            <w:tcBorders>
              <w:top w:val="single" w:color="auto" w:sz="2" w:space="0"/>
              <w:left w:val="single" w:color="auto" w:sz="2" w:space="0"/>
              <w:bottom w:val="single" w:color="auto" w:sz="2" w:space="0"/>
              <w:right w:val="single" w:color="auto" w:sz="2" w:space="0"/>
            </w:tcBorders>
          </w:tcPr>
          <w:p w14:paraId="1ADD91DF">
            <w:pPr>
              <w:spacing w:before="40" w:after="120"/>
              <w:ind w:left="540" w:hanging="441"/>
              <w:jc w:val="both"/>
              <w:rPr>
                <w:spacing w:val="-4"/>
              </w:rPr>
            </w:pPr>
            <w:r>
              <w:rPr>
                <w:rFonts w:eastAsia="MS Mincho"/>
                <w:spacing w:val="-2"/>
              </w:rPr>
              <w:sym w:font="Wingdings" w:char="F0A8"/>
            </w:r>
            <w:r>
              <w:rPr>
                <w:rFonts w:eastAsia="MS Mincho"/>
                <w:spacing w:val="-2"/>
              </w:rPr>
              <w:tab/>
            </w:r>
            <w:r>
              <w:rPr>
                <w:b/>
                <w:spacing w:val="-6"/>
              </w:rPr>
              <w:t>No suspension or termination of contract</w:t>
            </w:r>
            <w:r>
              <w:rPr>
                <w:spacing w:val="-6"/>
              </w:rPr>
              <w:t xml:space="preserve">: An employer has not suspended or terminated a contract and/or called the performance security for a contract for reasons related to </w:t>
            </w:r>
            <w:r>
              <w:rPr>
                <w:spacing w:val="-4"/>
              </w:rPr>
              <w:t xml:space="preserve">Environmental, or Social (ES) performance </w:t>
            </w:r>
            <w:r>
              <w:rPr>
                <w:spacing w:val="-6"/>
              </w:rPr>
              <w:t xml:space="preserve">since the date specified in Section III, </w:t>
            </w:r>
            <w:r>
              <w:rPr>
                <w:bCs/>
              </w:rPr>
              <w:t>Evaluation and Qualification Criteria</w:t>
            </w:r>
            <w:r>
              <w:rPr>
                <w:spacing w:val="-7"/>
              </w:rPr>
              <w:t xml:space="preserve">, Sub-Factor </w:t>
            </w:r>
            <w:r>
              <w:rPr>
                <w:spacing w:val="-4"/>
              </w:rPr>
              <w:t>2.5.</w:t>
            </w:r>
          </w:p>
          <w:p w14:paraId="4131C6B1">
            <w:pPr>
              <w:spacing w:before="40" w:after="120"/>
              <w:ind w:left="540" w:hanging="441"/>
              <w:jc w:val="both"/>
              <w:rPr>
                <w:spacing w:val="-4"/>
              </w:rPr>
            </w:pPr>
            <w:r>
              <w:rPr>
                <w:rFonts w:ascii="MS Mincho" w:hAnsi="MS Mincho" w:eastAsia="MS Mincho" w:cs="MS Mincho"/>
                <w:spacing w:val="-2"/>
              </w:rPr>
              <w:sym w:font="Wingdings" w:char="F0A8"/>
            </w:r>
            <w:r>
              <w:rPr>
                <w:spacing w:val="-4"/>
              </w:rPr>
              <w:tab/>
            </w:r>
            <w:r>
              <w:rPr>
                <w:b/>
                <w:spacing w:val="-4"/>
              </w:rPr>
              <w:t xml:space="preserve">Declaration of </w:t>
            </w:r>
            <w:r>
              <w:rPr>
                <w:b/>
                <w:spacing w:val="-6"/>
              </w:rPr>
              <w:t>suspension or termination of contract</w:t>
            </w:r>
            <w:r>
              <w:rPr>
                <w:spacing w:val="-6"/>
              </w:rPr>
              <w:t xml:space="preserve">:  The following contract(s) has/have been suspended or terminated and/or Performance Security called by an employer(s) for reasons related to </w:t>
            </w:r>
            <w:r>
              <w:rPr>
                <w:spacing w:val="-4"/>
              </w:rPr>
              <w:t xml:space="preserve">Environmental or Social (ES) performance </w:t>
            </w:r>
            <w:r>
              <w:rPr>
                <w:spacing w:val="-6"/>
              </w:rPr>
              <w:t xml:space="preserve">since the date specified in Section III, </w:t>
            </w:r>
            <w:r>
              <w:rPr>
                <w:bCs/>
              </w:rPr>
              <w:t>Evaluation and Qualification Criteria</w:t>
            </w:r>
            <w:r>
              <w:rPr>
                <w:spacing w:val="-7"/>
              </w:rPr>
              <w:t xml:space="preserve">, Sub-Factor </w:t>
            </w:r>
            <w:r>
              <w:rPr>
                <w:spacing w:val="-4"/>
              </w:rPr>
              <w:t>2.5. Details are described below:</w:t>
            </w:r>
          </w:p>
        </w:tc>
      </w:tr>
      <w:tr w14:paraId="10663696">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7AD12203">
            <w:pPr>
              <w:spacing w:before="40" w:after="120"/>
              <w:ind w:left="102"/>
              <w:rPr>
                <w:b/>
                <w:bCs/>
                <w:spacing w:val="-4"/>
              </w:rPr>
            </w:pPr>
            <w:r>
              <w:rPr>
                <w:b/>
                <w:bCs/>
                <w:spacing w:val="-4"/>
              </w:rPr>
              <w:t>Year</w:t>
            </w:r>
          </w:p>
        </w:tc>
        <w:tc>
          <w:tcPr>
            <w:tcW w:w="1530" w:type="dxa"/>
            <w:tcBorders>
              <w:top w:val="single" w:color="auto" w:sz="2" w:space="0"/>
              <w:left w:val="single" w:color="auto" w:sz="2" w:space="0"/>
              <w:bottom w:val="single" w:color="auto" w:sz="2" w:space="0"/>
              <w:right w:val="single" w:color="auto" w:sz="2" w:space="0"/>
            </w:tcBorders>
          </w:tcPr>
          <w:p w14:paraId="4412D011">
            <w:pPr>
              <w:spacing w:before="40" w:after="120"/>
              <w:ind w:left="112"/>
              <w:jc w:val="center"/>
              <w:rPr>
                <w:b/>
                <w:bCs/>
                <w:spacing w:val="-4"/>
              </w:rPr>
            </w:pPr>
            <w:r>
              <w:rPr>
                <w:b/>
                <w:bCs/>
                <w:spacing w:val="-4"/>
              </w:rPr>
              <w:t>Suspended or terminated portion of contract</w:t>
            </w:r>
          </w:p>
        </w:tc>
        <w:tc>
          <w:tcPr>
            <w:tcW w:w="5128" w:type="dxa"/>
            <w:tcBorders>
              <w:top w:val="single" w:color="auto" w:sz="2" w:space="0"/>
              <w:left w:val="single" w:color="auto" w:sz="2" w:space="0"/>
              <w:bottom w:val="single" w:color="auto" w:sz="2" w:space="0"/>
              <w:right w:val="single" w:color="auto" w:sz="2" w:space="0"/>
            </w:tcBorders>
          </w:tcPr>
          <w:p w14:paraId="20C4E323">
            <w:pPr>
              <w:spacing w:before="40" w:after="120"/>
              <w:ind w:left="1323"/>
              <w:rPr>
                <w:b/>
                <w:bCs/>
                <w:spacing w:val="-4"/>
              </w:rPr>
            </w:pPr>
            <w:r>
              <w:rPr>
                <w:b/>
                <w:bCs/>
                <w:spacing w:val="-4"/>
              </w:rPr>
              <w:t>Contract Identification</w:t>
            </w:r>
          </w:p>
          <w:p w14:paraId="3C4A69B7">
            <w:pPr>
              <w:spacing w:before="40" w:after="120"/>
              <w:ind w:left="60"/>
              <w:rPr>
                <w:i/>
                <w:iCs/>
                <w:spacing w:val="-6"/>
              </w:rPr>
            </w:pPr>
          </w:p>
        </w:tc>
        <w:tc>
          <w:tcPr>
            <w:tcW w:w="1763" w:type="dxa"/>
            <w:tcBorders>
              <w:top w:val="single" w:color="auto" w:sz="2" w:space="0"/>
              <w:left w:val="single" w:color="auto" w:sz="2" w:space="0"/>
              <w:bottom w:val="single" w:color="auto" w:sz="2" w:space="0"/>
              <w:right w:val="single" w:color="auto" w:sz="2" w:space="0"/>
            </w:tcBorders>
          </w:tcPr>
          <w:p w14:paraId="0DC66D92">
            <w:pPr>
              <w:spacing w:before="40" w:after="120"/>
              <w:jc w:val="center"/>
              <w:rPr>
                <w:i/>
                <w:iCs/>
                <w:spacing w:val="-6"/>
              </w:rPr>
            </w:pPr>
            <w:r>
              <w:rPr>
                <w:b/>
                <w:bCs/>
                <w:spacing w:val="-4"/>
              </w:rPr>
              <w:t>Total Contract Amount (current value, currency, exchange rate and US$ equivalent)</w:t>
            </w:r>
          </w:p>
        </w:tc>
      </w:tr>
      <w:tr w14:paraId="478161FA">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3C48C2FA">
            <w:pPr>
              <w:spacing w:before="40" w:after="120"/>
            </w:pPr>
            <w:r>
              <w:rPr>
                <w:i/>
                <w:iCs/>
                <w:spacing w:val="-6"/>
              </w:rPr>
              <w:t xml:space="preserve">[insert </w:t>
            </w:r>
            <w:r>
              <w:rPr>
                <w:i/>
                <w:iCs/>
                <w:spacing w:val="-9"/>
              </w:rPr>
              <w:t>year]</w:t>
            </w:r>
          </w:p>
        </w:tc>
        <w:tc>
          <w:tcPr>
            <w:tcW w:w="1530" w:type="dxa"/>
            <w:tcBorders>
              <w:top w:val="single" w:color="auto" w:sz="2" w:space="0"/>
              <w:left w:val="single" w:color="auto" w:sz="2" w:space="0"/>
              <w:bottom w:val="single" w:color="auto" w:sz="2" w:space="0"/>
              <w:right w:val="single" w:color="auto" w:sz="2" w:space="0"/>
            </w:tcBorders>
          </w:tcPr>
          <w:p w14:paraId="4E6CCA49">
            <w:pPr>
              <w:spacing w:before="40" w:after="120"/>
            </w:pPr>
            <w:r>
              <w:rPr>
                <w:i/>
                <w:iCs/>
                <w:spacing w:val="-6"/>
              </w:rPr>
              <w:t>[insert amount and percentage]</w:t>
            </w:r>
          </w:p>
        </w:tc>
        <w:tc>
          <w:tcPr>
            <w:tcW w:w="5128" w:type="dxa"/>
            <w:tcBorders>
              <w:top w:val="single" w:color="auto" w:sz="2" w:space="0"/>
              <w:left w:val="single" w:color="auto" w:sz="2" w:space="0"/>
              <w:bottom w:val="single" w:color="auto" w:sz="2" w:space="0"/>
              <w:right w:val="single" w:color="auto" w:sz="2" w:space="0"/>
            </w:tcBorders>
          </w:tcPr>
          <w:p w14:paraId="3E9927B7">
            <w:pPr>
              <w:spacing w:before="40" w:after="120"/>
              <w:ind w:left="60"/>
              <w:rPr>
                <w:i/>
                <w:iCs/>
                <w:spacing w:val="-6"/>
              </w:rPr>
            </w:pPr>
            <w:r>
              <w:rPr>
                <w:spacing w:val="-4"/>
              </w:rPr>
              <w:t xml:space="preserve">Contract Identification: </w:t>
            </w:r>
            <w:r>
              <w:rPr>
                <w:i/>
                <w:iCs/>
                <w:spacing w:val="-6"/>
              </w:rPr>
              <w:t>[indicate complete contract name/ number, and any other identification]</w:t>
            </w:r>
          </w:p>
          <w:p w14:paraId="14955F1D">
            <w:pPr>
              <w:spacing w:before="40" w:after="120"/>
              <w:ind w:left="60"/>
              <w:rPr>
                <w:i/>
                <w:iCs/>
                <w:spacing w:val="-6"/>
              </w:rPr>
            </w:pPr>
            <w:r>
              <w:rPr>
                <w:spacing w:val="-4"/>
              </w:rPr>
              <w:t xml:space="preserve">Name of Employer: </w:t>
            </w:r>
            <w:r>
              <w:rPr>
                <w:i/>
                <w:iCs/>
                <w:spacing w:val="-6"/>
              </w:rPr>
              <w:t>[insert full name]</w:t>
            </w:r>
          </w:p>
          <w:p w14:paraId="416EA7E3">
            <w:pPr>
              <w:spacing w:before="40" w:after="120"/>
              <w:ind w:left="58"/>
              <w:rPr>
                <w:i/>
                <w:iCs/>
                <w:spacing w:val="-6"/>
              </w:rPr>
            </w:pPr>
            <w:r>
              <w:rPr>
                <w:spacing w:val="-4"/>
              </w:rPr>
              <w:t xml:space="preserve">Address of Employer: </w:t>
            </w:r>
            <w:r>
              <w:rPr>
                <w:i/>
                <w:iCs/>
                <w:spacing w:val="-6"/>
              </w:rPr>
              <w:t>[insert street/city/country]</w:t>
            </w:r>
          </w:p>
          <w:p w14:paraId="4D2B8CD3">
            <w:pPr>
              <w:spacing w:before="40" w:after="120"/>
              <w:ind w:left="58"/>
            </w:pPr>
            <w:r>
              <w:rPr>
                <w:spacing w:val="-4"/>
              </w:rPr>
              <w:t xml:space="preserve">Reason(s) for suspension or termination: </w:t>
            </w:r>
            <w:r>
              <w:rPr>
                <w:i/>
                <w:iCs/>
                <w:spacing w:val="-6"/>
              </w:rPr>
              <w:t>[indicate main reason(s) e.g. for gender-based violence; sexual exploitation or sexual abuse breaches]</w:t>
            </w:r>
          </w:p>
        </w:tc>
        <w:tc>
          <w:tcPr>
            <w:tcW w:w="1763" w:type="dxa"/>
            <w:tcBorders>
              <w:top w:val="single" w:color="auto" w:sz="2" w:space="0"/>
              <w:left w:val="single" w:color="auto" w:sz="2" w:space="0"/>
              <w:bottom w:val="single" w:color="auto" w:sz="2" w:space="0"/>
              <w:right w:val="single" w:color="auto" w:sz="2" w:space="0"/>
            </w:tcBorders>
          </w:tcPr>
          <w:p w14:paraId="1AC660EF">
            <w:pPr>
              <w:spacing w:before="40" w:after="120"/>
            </w:pPr>
            <w:r>
              <w:rPr>
                <w:i/>
                <w:iCs/>
                <w:spacing w:val="-6"/>
              </w:rPr>
              <w:t>[insert amount]</w:t>
            </w:r>
          </w:p>
        </w:tc>
      </w:tr>
      <w:tr w14:paraId="5831D47C">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499893A7">
            <w:pPr>
              <w:spacing w:before="40" w:after="120"/>
              <w:rPr>
                <w:i/>
                <w:iCs/>
                <w:spacing w:val="-6"/>
              </w:rPr>
            </w:pPr>
            <w:r>
              <w:rPr>
                <w:i/>
                <w:iCs/>
                <w:spacing w:val="-6"/>
              </w:rPr>
              <w:t xml:space="preserve">[insert </w:t>
            </w:r>
            <w:r>
              <w:rPr>
                <w:i/>
                <w:iCs/>
                <w:spacing w:val="-9"/>
              </w:rPr>
              <w:t>year]</w:t>
            </w:r>
          </w:p>
        </w:tc>
        <w:tc>
          <w:tcPr>
            <w:tcW w:w="1530" w:type="dxa"/>
            <w:tcBorders>
              <w:top w:val="single" w:color="auto" w:sz="2" w:space="0"/>
              <w:left w:val="single" w:color="auto" w:sz="2" w:space="0"/>
              <w:bottom w:val="single" w:color="auto" w:sz="2" w:space="0"/>
              <w:right w:val="single" w:color="auto" w:sz="2" w:space="0"/>
            </w:tcBorders>
          </w:tcPr>
          <w:p w14:paraId="7D6553B8">
            <w:pPr>
              <w:spacing w:before="40" w:after="120"/>
              <w:rPr>
                <w:i/>
                <w:iCs/>
                <w:spacing w:val="-6"/>
              </w:rPr>
            </w:pPr>
            <w:r>
              <w:rPr>
                <w:i/>
                <w:iCs/>
                <w:spacing w:val="-6"/>
              </w:rPr>
              <w:t>[insert amount and percentage]</w:t>
            </w:r>
          </w:p>
        </w:tc>
        <w:tc>
          <w:tcPr>
            <w:tcW w:w="5128" w:type="dxa"/>
            <w:tcBorders>
              <w:top w:val="single" w:color="auto" w:sz="2" w:space="0"/>
              <w:left w:val="single" w:color="auto" w:sz="2" w:space="0"/>
              <w:bottom w:val="single" w:color="auto" w:sz="2" w:space="0"/>
              <w:right w:val="single" w:color="auto" w:sz="2" w:space="0"/>
            </w:tcBorders>
          </w:tcPr>
          <w:p w14:paraId="3349A2D2">
            <w:pPr>
              <w:spacing w:before="40" w:after="120"/>
              <w:ind w:left="60"/>
              <w:rPr>
                <w:i/>
                <w:iCs/>
                <w:spacing w:val="-6"/>
              </w:rPr>
            </w:pPr>
            <w:r>
              <w:rPr>
                <w:spacing w:val="-4"/>
              </w:rPr>
              <w:t xml:space="preserve">Contract Identification: </w:t>
            </w:r>
            <w:r>
              <w:rPr>
                <w:i/>
                <w:iCs/>
                <w:spacing w:val="-6"/>
              </w:rPr>
              <w:t>[indicate complete contract name/ number, and any other identification]</w:t>
            </w:r>
          </w:p>
          <w:p w14:paraId="2AF81833">
            <w:pPr>
              <w:spacing w:before="40" w:after="120"/>
              <w:ind w:left="60"/>
              <w:rPr>
                <w:i/>
                <w:iCs/>
                <w:spacing w:val="-6"/>
              </w:rPr>
            </w:pPr>
            <w:r>
              <w:rPr>
                <w:spacing w:val="-4"/>
              </w:rPr>
              <w:t xml:space="preserve">Name of Employer: </w:t>
            </w:r>
            <w:r>
              <w:rPr>
                <w:i/>
                <w:iCs/>
                <w:spacing w:val="-6"/>
              </w:rPr>
              <w:t>[insert full name]</w:t>
            </w:r>
          </w:p>
          <w:p w14:paraId="0AC52210">
            <w:pPr>
              <w:spacing w:before="40" w:after="120"/>
              <w:ind w:left="58"/>
              <w:rPr>
                <w:i/>
                <w:iCs/>
                <w:spacing w:val="-6"/>
              </w:rPr>
            </w:pPr>
            <w:r>
              <w:rPr>
                <w:spacing w:val="-4"/>
              </w:rPr>
              <w:t xml:space="preserve">Address of Employer: </w:t>
            </w:r>
            <w:r>
              <w:rPr>
                <w:i/>
                <w:iCs/>
                <w:spacing w:val="-6"/>
              </w:rPr>
              <w:t>[insert street/city/country]</w:t>
            </w:r>
          </w:p>
          <w:p w14:paraId="47B888DE">
            <w:pPr>
              <w:spacing w:before="40" w:after="120"/>
              <w:ind w:left="60"/>
              <w:rPr>
                <w:spacing w:val="-4"/>
              </w:rPr>
            </w:pPr>
            <w:r>
              <w:rPr>
                <w:spacing w:val="-4"/>
              </w:rPr>
              <w:t xml:space="preserve">Reason(s) for suspension or termination: </w:t>
            </w:r>
            <w:r>
              <w:rPr>
                <w:i/>
                <w:iCs/>
                <w:spacing w:val="-6"/>
              </w:rPr>
              <w:t>[indicate main reason(s)]</w:t>
            </w:r>
          </w:p>
        </w:tc>
        <w:tc>
          <w:tcPr>
            <w:tcW w:w="1763" w:type="dxa"/>
            <w:tcBorders>
              <w:top w:val="single" w:color="auto" w:sz="2" w:space="0"/>
              <w:left w:val="single" w:color="auto" w:sz="2" w:space="0"/>
              <w:bottom w:val="single" w:color="auto" w:sz="2" w:space="0"/>
              <w:right w:val="single" w:color="auto" w:sz="2" w:space="0"/>
            </w:tcBorders>
          </w:tcPr>
          <w:p w14:paraId="0D678A50">
            <w:pPr>
              <w:spacing w:before="40" w:after="120"/>
              <w:rPr>
                <w:i/>
                <w:iCs/>
                <w:spacing w:val="-6"/>
              </w:rPr>
            </w:pPr>
            <w:r>
              <w:rPr>
                <w:i/>
                <w:iCs/>
                <w:spacing w:val="-6"/>
              </w:rPr>
              <w:t>[insert amount]</w:t>
            </w:r>
          </w:p>
        </w:tc>
      </w:tr>
      <w:tr w14:paraId="18480255">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0AB18672">
            <w:pPr>
              <w:spacing w:before="40" w:after="120"/>
              <w:rPr>
                <w:i/>
                <w:iCs/>
                <w:spacing w:val="-6"/>
              </w:rPr>
            </w:pPr>
            <w:r>
              <w:rPr>
                <w:i/>
                <w:iCs/>
                <w:spacing w:val="-6"/>
              </w:rPr>
              <w:t>…</w:t>
            </w:r>
          </w:p>
        </w:tc>
        <w:tc>
          <w:tcPr>
            <w:tcW w:w="1530" w:type="dxa"/>
            <w:tcBorders>
              <w:top w:val="single" w:color="auto" w:sz="2" w:space="0"/>
              <w:left w:val="single" w:color="auto" w:sz="2" w:space="0"/>
              <w:bottom w:val="single" w:color="auto" w:sz="2" w:space="0"/>
              <w:right w:val="single" w:color="auto" w:sz="2" w:space="0"/>
            </w:tcBorders>
          </w:tcPr>
          <w:p w14:paraId="577F7E62">
            <w:pPr>
              <w:spacing w:before="40" w:after="120"/>
              <w:rPr>
                <w:i/>
                <w:iCs/>
                <w:spacing w:val="-6"/>
              </w:rPr>
            </w:pPr>
            <w:r>
              <w:rPr>
                <w:i/>
                <w:iCs/>
                <w:spacing w:val="-6"/>
              </w:rPr>
              <w:t>…</w:t>
            </w:r>
          </w:p>
        </w:tc>
        <w:tc>
          <w:tcPr>
            <w:tcW w:w="5128" w:type="dxa"/>
            <w:tcBorders>
              <w:top w:val="single" w:color="auto" w:sz="2" w:space="0"/>
              <w:left w:val="single" w:color="auto" w:sz="2" w:space="0"/>
              <w:bottom w:val="single" w:color="auto" w:sz="2" w:space="0"/>
              <w:right w:val="single" w:color="auto" w:sz="2" w:space="0"/>
            </w:tcBorders>
          </w:tcPr>
          <w:p w14:paraId="51204D91">
            <w:pPr>
              <w:spacing w:before="40" w:after="120"/>
              <w:ind w:left="60"/>
              <w:rPr>
                <w:i/>
                <w:spacing w:val="-4"/>
              </w:rPr>
            </w:pPr>
            <w:r>
              <w:rPr>
                <w:i/>
                <w:spacing w:val="-4"/>
              </w:rPr>
              <w:t>[list all applicable contracts]</w:t>
            </w:r>
          </w:p>
        </w:tc>
        <w:tc>
          <w:tcPr>
            <w:tcW w:w="1763" w:type="dxa"/>
            <w:tcBorders>
              <w:top w:val="single" w:color="auto" w:sz="2" w:space="0"/>
              <w:left w:val="single" w:color="auto" w:sz="2" w:space="0"/>
              <w:bottom w:val="single" w:color="auto" w:sz="2" w:space="0"/>
              <w:right w:val="single" w:color="auto" w:sz="2" w:space="0"/>
            </w:tcBorders>
          </w:tcPr>
          <w:p w14:paraId="5F4C96F4">
            <w:pPr>
              <w:spacing w:before="40" w:after="120"/>
              <w:rPr>
                <w:i/>
                <w:iCs/>
                <w:spacing w:val="-6"/>
              </w:rPr>
            </w:pPr>
            <w:r>
              <w:rPr>
                <w:i/>
                <w:iCs/>
                <w:spacing w:val="-6"/>
              </w:rPr>
              <w:t>…</w:t>
            </w:r>
          </w:p>
        </w:tc>
      </w:tr>
      <w:tr w14:paraId="749698B9">
        <w:tblPrEx>
          <w:tblCellMar>
            <w:top w:w="0" w:type="dxa"/>
            <w:left w:w="0" w:type="dxa"/>
            <w:bottom w:w="0" w:type="dxa"/>
            <w:right w:w="0" w:type="dxa"/>
          </w:tblCellMar>
        </w:tblPrEx>
        <w:tc>
          <w:tcPr>
            <w:tcW w:w="9389" w:type="dxa"/>
            <w:gridSpan w:val="4"/>
            <w:tcBorders>
              <w:top w:val="single" w:color="auto" w:sz="2" w:space="0"/>
              <w:left w:val="single" w:color="auto" w:sz="2" w:space="0"/>
              <w:bottom w:val="single" w:color="auto" w:sz="2" w:space="0"/>
              <w:right w:val="single" w:color="auto" w:sz="2" w:space="0"/>
            </w:tcBorders>
          </w:tcPr>
          <w:p w14:paraId="1D8E3BBE">
            <w:pPr>
              <w:spacing w:before="40" w:after="120"/>
              <w:rPr>
                <w:b/>
                <w:bCs/>
                <w:spacing w:val="-4"/>
              </w:rPr>
            </w:pPr>
            <w:r>
              <w:rPr>
                <w:b/>
                <w:spacing w:val="-6"/>
              </w:rPr>
              <w:t xml:space="preserve">Performance Security called by an employer(s) for reasons related to </w:t>
            </w:r>
            <w:r>
              <w:rPr>
                <w:b/>
                <w:spacing w:val="-4"/>
              </w:rPr>
              <w:t>ES performance</w:t>
            </w:r>
          </w:p>
        </w:tc>
      </w:tr>
      <w:tr w14:paraId="24808F3F">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506DF3F5">
            <w:pPr>
              <w:spacing w:before="40" w:after="120"/>
              <w:rPr>
                <w:i/>
                <w:iCs/>
                <w:spacing w:val="-6"/>
              </w:rPr>
            </w:pPr>
            <w:r>
              <w:rPr>
                <w:bCs/>
                <w:spacing w:val="-4"/>
              </w:rPr>
              <w:t>Year</w:t>
            </w:r>
          </w:p>
        </w:tc>
        <w:tc>
          <w:tcPr>
            <w:tcW w:w="6658" w:type="dxa"/>
            <w:gridSpan w:val="2"/>
            <w:tcBorders>
              <w:top w:val="single" w:color="auto" w:sz="2" w:space="0"/>
              <w:left w:val="single" w:color="auto" w:sz="2" w:space="0"/>
              <w:bottom w:val="single" w:color="auto" w:sz="2" w:space="0"/>
              <w:right w:val="single" w:color="auto" w:sz="2" w:space="0"/>
            </w:tcBorders>
          </w:tcPr>
          <w:p w14:paraId="2534D67F">
            <w:pPr>
              <w:spacing w:before="40" w:after="120"/>
              <w:ind w:left="1323"/>
              <w:rPr>
                <w:bCs/>
                <w:spacing w:val="-4"/>
              </w:rPr>
            </w:pPr>
            <w:r>
              <w:rPr>
                <w:bCs/>
                <w:spacing w:val="-4"/>
              </w:rPr>
              <w:t>Contract Identification</w:t>
            </w:r>
          </w:p>
          <w:p w14:paraId="77158D77">
            <w:pPr>
              <w:spacing w:before="40" w:after="120"/>
              <w:ind w:left="60"/>
              <w:rPr>
                <w:i/>
                <w:spacing w:val="-4"/>
              </w:rPr>
            </w:pPr>
          </w:p>
        </w:tc>
        <w:tc>
          <w:tcPr>
            <w:tcW w:w="1763" w:type="dxa"/>
            <w:tcBorders>
              <w:top w:val="single" w:color="auto" w:sz="2" w:space="0"/>
              <w:left w:val="single" w:color="auto" w:sz="2" w:space="0"/>
              <w:bottom w:val="single" w:color="auto" w:sz="2" w:space="0"/>
              <w:right w:val="single" w:color="auto" w:sz="2" w:space="0"/>
            </w:tcBorders>
          </w:tcPr>
          <w:p w14:paraId="10E10B70">
            <w:pPr>
              <w:spacing w:before="40" w:after="120"/>
              <w:rPr>
                <w:i/>
                <w:iCs/>
                <w:spacing w:val="-6"/>
              </w:rPr>
            </w:pPr>
            <w:r>
              <w:rPr>
                <w:bCs/>
                <w:spacing w:val="-4"/>
              </w:rPr>
              <w:t>Total Contract Amount (current value, currency, exchange rate and US$ equivalent)</w:t>
            </w:r>
          </w:p>
        </w:tc>
      </w:tr>
      <w:tr w14:paraId="26FCD8CA">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73042944">
            <w:pPr>
              <w:spacing w:before="40" w:after="120"/>
              <w:rPr>
                <w:bCs/>
                <w:spacing w:val="-4"/>
              </w:rPr>
            </w:pPr>
            <w:r>
              <w:rPr>
                <w:i/>
                <w:iCs/>
                <w:spacing w:val="-6"/>
              </w:rPr>
              <w:t xml:space="preserve">[insert </w:t>
            </w:r>
            <w:r>
              <w:rPr>
                <w:i/>
                <w:iCs/>
                <w:spacing w:val="-9"/>
              </w:rPr>
              <w:t>year]</w:t>
            </w:r>
          </w:p>
        </w:tc>
        <w:tc>
          <w:tcPr>
            <w:tcW w:w="6658" w:type="dxa"/>
            <w:gridSpan w:val="2"/>
            <w:tcBorders>
              <w:top w:val="single" w:color="auto" w:sz="2" w:space="0"/>
              <w:left w:val="single" w:color="auto" w:sz="2" w:space="0"/>
              <w:bottom w:val="single" w:color="auto" w:sz="2" w:space="0"/>
              <w:right w:val="single" w:color="auto" w:sz="2" w:space="0"/>
            </w:tcBorders>
          </w:tcPr>
          <w:p w14:paraId="01B01D8D">
            <w:pPr>
              <w:spacing w:before="40" w:after="120"/>
              <w:ind w:left="60"/>
              <w:rPr>
                <w:i/>
                <w:iCs/>
                <w:spacing w:val="-6"/>
              </w:rPr>
            </w:pPr>
            <w:r>
              <w:rPr>
                <w:spacing w:val="-4"/>
              </w:rPr>
              <w:t xml:space="preserve">Contract Identification: </w:t>
            </w:r>
            <w:r>
              <w:rPr>
                <w:i/>
                <w:iCs/>
                <w:spacing w:val="-6"/>
              </w:rPr>
              <w:t>[indicate complete contract name/ number, and any other identification]</w:t>
            </w:r>
          </w:p>
          <w:p w14:paraId="5C6A69D6">
            <w:pPr>
              <w:spacing w:before="40" w:after="120"/>
              <w:ind w:left="60"/>
              <w:rPr>
                <w:i/>
                <w:iCs/>
                <w:spacing w:val="-6"/>
              </w:rPr>
            </w:pPr>
            <w:r>
              <w:rPr>
                <w:spacing w:val="-4"/>
              </w:rPr>
              <w:t xml:space="preserve">Name of Employer: </w:t>
            </w:r>
            <w:r>
              <w:rPr>
                <w:i/>
                <w:iCs/>
                <w:spacing w:val="-6"/>
              </w:rPr>
              <w:t>[insert full name]</w:t>
            </w:r>
          </w:p>
          <w:p w14:paraId="796B18BF">
            <w:pPr>
              <w:spacing w:before="40" w:after="120"/>
              <w:ind w:left="58"/>
              <w:rPr>
                <w:i/>
                <w:iCs/>
                <w:spacing w:val="-6"/>
              </w:rPr>
            </w:pPr>
            <w:r>
              <w:rPr>
                <w:spacing w:val="-4"/>
              </w:rPr>
              <w:t xml:space="preserve">Address of Employer: </w:t>
            </w:r>
            <w:r>
              <w:rPr>
                <w:i/>
                <w:iCs/>
                <w:spacing w:val="-6"/>
              </w:rPr>
              <w:t>[insert street/city/country]</w:t>
            </w:r>
          </w:p>
          <w:p w14:paraId="1CA15EB6">
            <w:pPr>
              <w:spacing w:before="40" w:after="120"/>
              <w:ind w:left="23"/>
              <w:rPr>
                <w:bCs/>
                <w:spacing w:val="-4"/>
              </w:rPr>
            </w:pPr>
            <w:r>
              <w:rPr>
                <w:spacing w:val="-4"/>
              </w:rPr>
              <w:t xml:space="preserve">Reason(s) for calling of performance security: </w:t>
            </w:r>
            <w:r>
              <w:rPr>
                <w:i/>
                <w:iCs/>
                <w:spacing w:val="-6"/>
              </w:rPr>
              <w:t>[indicate main reason(s) e.g. for gender-based violence; sexual exploitation, or sexual abuse breaches]</w:t>
            </w:r>
          </w:p>
        </w:tc>
        <w:tc>
          <w:tcPr>
            <w:tcW w:w="1763" w:type="dxa"/>
            <w:tcBorders>
              <w:top w:val="single" w:color="auto" w:sz="2" w:space="0"/>
              <w:left w:val="single" w:color="auto" w:sz="2" w:space="0"/>
              <w:bottom w:val="single" w:color="auto" w:sz="2" w:space="0"/>
              <w:right w:val="single" w:color="auto" w:sz="2" w:space="0"/>
            </w:tcBorders>
          </w:tcPr>
          <w:p w14:paraId="75BB2163">
            <w:pPr>
              <w:spacing w:before="40" w:after="120"/>
              <w:rPr>
                <w:bCs/>
                <w:spacing w:val="-4"/>
              </w:rPr>
            </w:pPr>
            <w:r>
              <w:rPr>
                <w:i/>
                <w:iCs/>
                <w:spacing w:val="-6"/>
              </w:rPr>
              <w:t>[insert amount]</w:t>
            </w:r>
          </w:p>
        </w:tc>
      </w:tr>
      <w:tr w14:paraId="284ABAE3">
        <w:tblPrEx>
          <w:tblCellMar>
            <w:top w:w="0" w:type="dxa"/>
            <w:left w:w="0" w:type="dxa"/>
            <w:bottom w:w="0" w:type="dxa"/>
            <w:right w:w="0" w:type="dxa"/>
          </w:tblCellMar>
        </w:tblPrEx>
        <w:tc>
          <w:tcPr>
            <w:tcW w:w="968" w:type="dxa"/>
            <w:tcBorders>
              <w:top w:val="single" w:color="auto" w:sz="2" w:space="0"/>
              <w:left w:val="single" w:color="auto" w:sz="2" w:space="0"/>
              <w:bottom w:val="single" w:color="auto" w:sz="2" w:space="0"/>
              <w:right w:val="single" w:color="auto" w:sz="2" w:space="0"/>
            </w:tcBorders>
          </w:tcPr>
          <w:p w14:paraId="4D1580BE">
            <w:pPr>
              <w:spacing w:before="40" w:after="120"/>
              <w:rPr>
                <w:bCs/>
                <w:spacing w:val="-4"/>
              </w:rPr>
            </w:pPr>
          </w:p>
        </w:tc>
        <w:tc>
          <w:tcPr>
            <w:tcW w:w="6658" w:type="dxa"/>
            <w:gridSpan w:val="2"/>
            <w:tcBorders>
              <w:top w:val="single" w:color="auto" w:sz="2" w:space="0"/>
              <w:left w:val="single" w:color="auto" w:sz="2" w:space="0"/>
              <w:bottom w:val="single" w:color="auto" w:sz="2" w:space="0"/>
              <w:right w:val="single" w:color="auto" w:sz="2" w:space="0"/>
            </w:tcBorders>
          </w:tcPr>
          <w:p w14:paraId="4CF8DE2D">
            <w:pPr>
              <w:spacing w:before="40" w:after="120"/>
              <w:ind w:left="1323"/>
              <w:rPr>
                <w:bCs/>
                <w:spacing w:val="-4"/>
              </w:rPr>
            </w:pPr>
          </w:p>
        </w:tc>
        <w:tc>
          <w:tcPr>
            <w:tcW w:w="1763" w:type="dxa"/>
            <w:tcBorders>
              <w:top w:val="single" w:color="auto" w:sz="2" w:space="0"/>
              <w:left w:val="single" w:color="auto" w:sz="2" w:space="0"/>
              <w:bottom w:val="single" w:color="auto" w:sz="2" w:space="0"/>
              <w:right w:val="single" w:color="auto" w:sz="2" w:space="0"/>
            </w:tcBorders>
          </w:tcPr>
          <w:p w14:paraId="0270466F">
            <w:pPr>
              <w:spacing w:before="40" w:after="120"/>
              <w:rPr>
                <w:bCs/>
                <w:spacing w:val="-4"/>
              </w:rPr>
            </w:pPr>
          </w:p>
        </w:tc>
      </w:tr>
    </w:tbl>
    <w:p w14:paraId="229BD11D">
      <w:pPr>
        <w:rPr>
          <w:b/>
        </w:rPr>
      </w:pPr>
    </w:p>
    <w:p w14:paraId="21E63D7F">
      <w:pPr>
        <w:rPr>
          <w:b/>
        </w:rPr>
      </w:pPr>
      <w:r>
        <w:rPr>
          <w:b/>
        </w:rPr>
        <w:br w:type="page"/>
      </w:r>
    </w:p>
    <w:p w14:paraId="55F94BBE">
      <w:pPr>
        <w:rPr>
          <w:b/>
        </w:rPr>
      </w:pPr>
    </w:p>
    <w:p w14:paraId="7BF3928C">
      <w:pPr>
        <w:pStyle w:val="156"/>
        <w:rPr>
          <w:szCs w:val="32"/>
        </w:rPr>
      </w:pPr>
      <w:bookmarkStart w:id="452" w:name="_Toc178519606"/>
      <w:bookmarkStart w:id="453" w:name="_Toc63695905"/>
      <w:r>
        <w:rPr>
          <w:szCs w:val="32"/>
        </w:rPr>
        <w:t>Form CON – 4</w:t>
      </w:r>
      <w:bookmarkStart w:id="454" w:name="_Toc12371910"/>
      <w:bookmarkStart w:id="455" w:name="_Toc14180263"/>
      <w:bookmarkStart w:id="456" w:name="_Hlk54534220"/>
      <w:r>
        <w:rPr>
          <w:szCs w:val="32"/>
        </w:rPr>
        <w:br w:type="textWrapping"/>
      </w:r>
      <w:r>
        <w:rPr>
          <w:szCs w:val="32"/>
        </w:rPr>
        <w:t xml:space="preserve">Sexual Exploitation </w:t>
      </w:r>
      <w:bookmarkStart w:id="457" w:name="_Hlk10197725"/>
      <w:r>
        <w:rPr>
          <w:szCs w:val="32"/>
        </w:rPr>
        <w:t>and Abuse (SEA)</w:t>
      </w:r>
      <w:bookmarkEnd w:id="457"/>
      <w:r>
        <w:rPr>
          <w:szCs w:val="32"/>
        </w:rPr>
        <w:t xml:space="preserve"> and/or Sexual Harassment Performance Declaration</w:t>
      </w:r>
      <w:bookmarkEnd w:id="452"/>
      <w:bookmarkEnd w:id="453"/>
      <w:bookmarkEnd w:id="454"/>
      <w:bookmarkEnd w:id="455"/>
      <w:r>
        <w:rPr>
          <w:szCs w:val="32"/>
        </w:rPr>
        <w:t xml:space="preserve"> </w:t>
      </w:r>
    </w:p>
    <w:bookmarkEnd w:id="456"/>
    <w:p w14:paraId="4A49F58D">
      <w:pPr>
        <w:spacing w:before="120" w:after="120" w:line="264" w:lineRule="exact"/>
        <w:ind w:left="72"/>
        <w:jc w:val="center"/>
        <w:rPr>
          <w:i/>
          <w:iCs/>
          <w:spacing w:val="-6"/>
          <w:sz w:val="22"/>
          <w:szCs w:val="22"/>
        </w:rPr>
      </w:pPr>
      <w:r>
        <w:rPr>
          <w:bCs/>
          <w:i/>
          <w:spacing w:val="6"/>
          <w:sz w:val="22"/>
          <w:szCs w:val="22"/>
        </w:rPr>
        <w:t>[</w:t>
      </w:r>
      <w:r>
        <w:rPr>
          <w:i/>
          <w:iCs/>
          <w:spacing w:val="-6"/>
          <w:sz w:val="22"/>
          <w:szCs w:val="22"/>
        </w:rPr>
        <w:t>The following table shall be filled in by the Bidder, each member of a Joint Venture and each subcontractor proposed by the Bidder]</w:t>
      </w:r>
    </w:p>
    <w:p w14:paraId="125E0342">
      <w:pPr>
        <w:spacing w:before="120" w:after="120" w:line="264" w:lineRule="exact"/>
        <w:jc w:val="right"/>
        <w:rPr>
          <w:spacing w:val="-4"/>
          <w:sz w:val="22"/>
          <w:szCs w:val="22"/>
        </w:rPr>
      </w:pPr>
      <w:r>
        <w:rPr>
          <w:spacing w:val="-4"/>
          <w:sz w:val="22"/>
          <w:szCs w:val="22"/>
        </w:rPr>
        <w:t xml:space="preserve">Bidder’s Name: </w:t>
      </w:r>
      <w:r>
        <w:rPr>
          <w:i/>
          <w:iCs/>
          <w:spacing w:val="-6"/>
          <w:sz w:val="22"/>
          <w:szCs w:val="22"/>
        </w:rPr>
        <w:t>[insert full name]</w:t>
      </w:r>
      <w:r>
        <w:rPr>
          <w:i/>
          <w:iCs/>
          <w:spacing w:val="-6"/>
          <w:sz w:val="22"/>
          <w:szCs w:val="22"/>
        </w:rPr>
        <w:br w:type="textWrapping"/>
      </w:r>
      <w:r>
        <w:rPr>
          <w:spacing w:val="-4"/>
          <w:sz w:val="22"/>
          <w:szCs w:val="22"/>
        </w:rPr>
        <w:t xml:space="preserve">Date: </w:t>
      </w:r>
      <w:r>
        <w:rPr>
          <w:i/>
          <w:iCs/>
          <w:spacing w:val="-6"/>
          <w:sz w:val="22"/>
          <w:szCs w:val="22"/>
        </w:rPr>
        <w:t>[insert day, month, year]</w:t>
      </w:r>
      <w:r>
        <w:rPr>
          <w:i/>
          <w:iCs/>
          <w:spacing w:val="-6"/>
          <w:sz w:val="22"/>
          <w:szCs w:val="22"/>
        </w:rPr>
        <w:br w:type="textWrapping"/>
      </w:r>
      <w:r>
        <w:rPr>
          <w:spacing w:val="-4"/>
          <w:sz w:val="22"/>
          <w:szCs w:val="22"/>
        </w:rPr>
        <w:t xml:space="preserve">Joint Venture Member’s or Subcontractor’s Name: </w:t>
      </w:r>
      <w:r>
        <w:rPr>
          <w:i/>
          <w:spacing w:val="-4"/>
          <w:sz w:val="22"/>
          <w:szCs w:val="22"/>
        </w:rPr>
        <w:t>[</w:t>
      </w:r>
      <w:r>
        <w:rPr>
          <w:i/>
          <w:iCs/>
          <w:spacing w:val="-6"/>
          <w:sz w:val="22"/>
          <w:szCs w:val="22"/>
        </w:rPr>
        <w:t>insert</w:t>
      </w:r>
      <w:r>
        <w:rPr>
          <w:spacing w:val="-4"/>
          <w:sz w:val="22"/>
          <w:szCs w:val="22"/>
        </w:rPr>
        <w:t xml:space="preserve"> </w:t>
      </w:r>
      <w:r>
        <w:rPr>
          <w:i/>
          <w:iCs/>
          <w:spacing w:val="-6"/>
          <w:sz w:val="22"/>
          <w:szCs w:val="22"/>
        </w:rPr>
        <w:t>full name]</w:t>
      </w:r>
      <w:r>
        <w:rPr>
          <w:i/>
          <w:iCs/>
          <w:spacing w:val="-6"/>
          <w:sz w:val="22"/>
          <w:szCs w:val="22"/>
        </w:rPr>
        <w:br w:type="textWrapping"/>
      </w:r>
      <w:r>
        <w:rPr>
          <w:spacing w:val="-4"/>
          <w:sz w:val="22"/>
          <w:szCs w:val="22"/>
        </w:rPr>
        <w:t xml:space="preserve">RFB No. and title: </w:t>
      </w:r>
      <w:r>
        <w:rPr>
          <w:i/>
          <w:iCs/>
          <w:spacing w:val="-6"/>
          <w:sz w:val="22"/>
          <w:szCs w:val="22"/>
        </w:rPr>
        <w:t>[insert RFB number and title]</w:t>
      </w:r>
      <w:r>
        <w:rPr>
          <w:i/>
          <w:iCs/>
          <w:spacing w:val="-6"/>
          <w:sz w:val="22"/>
          <w:szCs w:val="22"/>
        </w:rPr>
        <w:br w:type="textWrapping"/>
      </w:r>
      <w:r>
        <w:rPr>
          <w:spacing w:val="-4"/>
          <w:sz w:val="22"/>
          <w:szCs w:val="22"/>
        </w:rPr>
        <w:t xml:space="preserve">Page </w:t>
      </w:r>
      <w:r>
        <w:rPr>
          <w:i/>
          <w:iCs/>
          <w:spacing w:val="-6"/>
          <w:sz w:val="22"/>
          <w:szCs w:val="22"/>
        </w:rPr>
        <w:t xml:space="preserve">[insert page number] </w:t>
      </w:r>
      <w:r>
        <w:rPr>
          <w:spacing w:val="-4"/>
          <w:sz w:val="22"/>
          <w:szCs w:val="22"/>
        </w:rPr>
        <w:t xml:space="preserve">of </w:t>
      </w:r>
      <w:r>
        <w:rPr>
          <w:i/>
          <w:iCs/>
          <w:spacing w:val="-6"/>
          <w:sz w:val="22"/>
          <w:szCs w:val="22"/>
        </w:rPr>
        <w:t xml:space="preserve">[insert total number] </w:t>
      </w:r>
      <w:r>
        <w:rPr>
          <w:spacing w:val="-4"/>
          <w:sz w:val="22"/>
          <w:szCs w:val="22"/>
        </w:rPr>
        <w:t>pages</w:t>
      </w:r>
    </w:p>
    <w:p w14:paraId="3BAFB712">
      <w:pPr>
        <w:spacing w:before="120" w:after="120" w:line="264" w:lineRule="exact"/>
        <w:jc w:val="right"/>
        <w:rPr>
          <w:spacing w:val="-4"/>
          <w:sz w:val="22"/>
          <w:szCs w:val="22"/>
        </w:rPr>
      </w:pPr>
    </w:p>
    <w:tbl>
      <w:tblPr>
        <w:tblStyle w:val="12"/>
        <w:tblW w:w="9389" w:type="dxa"/>
        <w:tblInd w:w="3" w:type="dxa"/>
        <w:tblLayout w:type="fixed"/>
        <w:tblCellMar>
          <w:top w:w="0" w:type="dxa"/>
          <w:left w:w="0" w:type="dxa"/>
          <w:bottom w:w="0" w:type="dxa"/>
          <w:right w:w="0" w:type="dxa"/>
        </w:tblCellMar>
      </w:tblPr>
      <w:tblGrid>
        <w:gridCol w:w="9389"/>
      </w:tblGrid>
      <w:tr w14:paraId="6CB326D5">
        <w:tc>
          <w:tcPr>
            <w:tcW w:w="9389" w:type="dxa"/>
            <w:tcBorders>
              <w:top w:val="single" w:color="auto" w:sz="2" w:space="0"/>
              <w:left w:val="single" w:color="auto" w:sz="2" w:space="0"/>
              <w:bottom w:val="single" w:color="auto" w:sz="2" w:space="0"/>
              <w:right w:val="single" w:color="auto" w:sz="2" w:space="0"/>
            </w:tcBorders>
          </w:tcPr>
          <w:p w14:paraId="5CBDBB60">
            <w:pPr>
              <w:spacing w:before="120" w:after="120"/>
              <w:jc w:val="center"/>
              <w:rPr>
                <w:spacing w:val="-4"/>
                <w:sz w:val="22"/>
                <w:szCs w:val="22"/>
              </w:rPr>
            </w:pPr>
            <w:r>
              <w:rPr>
                <w:spacing w:val="-4"/>
                <w:sz w:val="22"/>
                <w:szCs w:val="22"/>
              </w:rPr>
              <w:t xml:space="preserve">SEA and/or SH Declaration </w:t>
            </w:r>
          </w:p>
          <w:p w14:paraId="75CA4B2E">
            <w:pPr>
              <w:spacing w:before="120" w:after="120"/>
              <w:jc w:val="center"/>
              <w:rPr>
                <w:spacing w:val="-4"/>
                <w:sz w:val="22"/>
                <w:szCs w:val="22"/>
              </w:rPr>
            </w:pPr>
            <w:r>
              <w:rPr>
                <w:spacing w:val="-4"/>
                <w:sz w:val="22"/>
                <w:szCs w:val="22"/>
              </w:rPr>
              <w:t xml:space="preserve">in accordance with Section III, </w:t>
            </w:r>
            <w:r>
              <w:rPr>
                <w:spacing w:val="-4"/>
              </w:rPr>
              <w:t>Evaluation and Qualification Criteria</w:t>
            </w:r>
          </w:p>
        </w:tc>
      </w:tr>
      <w:tr w14:paraId="0AB9C694">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2FE5B4CA">
            <w:pPr>
              <w:spacing w:before="120" w:after="120"/>
              <w:jc w:val="center"/>
              <w:rPr>
                <w:spacing w:val="-4"/>
                <w:sz w:val="22"/>
                <w:szCs w:val="22"/>
              </w:rPr>
            </w:pPr>
            <w:r>
              <w:rPr>
                <w:spacing w:val="-4"/>
                <w:sz w:val="22"/>
                <w:szCs w:val="22"/>
              </w:rPr>
              <w:t>We:</w:t>
            </w:r>
          </w:p>
          <w:p w14:paraId="1A556328">
            <w:pPr>
              <w:spacing w:before="120" w:after="120"/>
              <w:jc w:val="center"/>
              <w:rPr>
                <w:spacing w:val="-4"/>
                <w:sz w:val="22"/>
                <w:szCs w:val="22"/>
              </w:rPr>
            </w:pPr>
            <w:r>
              <w:rPr>
                <w:spacing w:val="-4"/>
                <w:sz w:val="22"/>
                <w:szCs w:val="22"/>
              </w:rPr>
              <w:sym w:font="Wingdings" w:char="F0A8"/>
            </w:r>
            <w:r>
              <w:rPr>
                <w:spacing w:val="-4"/>
                <w:sz w:val="22"/>
                <w:szCs w:val="22"/>
              </w:rPr>
              <w:t xml:space="preserve">  (a) have not been subject to disqualification by the Bank for non-compliance with SEA/ SH obligations</w:t>
            </w:r>
          </w:p>
          <w:p w14:paraId="58C9AABB">
            <w:pPr>
              <w:spacing w:before="120" w:after="120"/>
              <w:jc w:val="center"/>
              <w:rPr>
                <w:spacing w:val="-4"/>
                <w:sz w:val="22"/>
                <w:szCs w:val="22"/>
              </w:rPr>
            </w:pPr>
            <w:r>
              <w:rPr>
                <w:spacing w:val="-4"/>
                <w:sz w:val="22"/>
                <w:szCs w:val="22"/>
              </w:rPr>
              <w:sym w:font="Wingdings" w:char="F0A8"/>
            </w:r>
            <w:r>
              <w:rPr>
                <w:spacing w:val="-4"/>
                <w:sz w:val="22"/>
                <w:szCs w:val="22"/>
              </w:rPr>
              <w:t xml:space="preserve">  (b) are subject to disqualification by the Bank for non-compliance with SEA/ SH obligations</w:t>
            </w:r>
          </w:p>
          <w:p w14:paraId="4BA7A06C">
            <w:pPr>
              <w:spacing w:before="120" w:after="120"/>
              <w:jc w:val="center"/>
              <w:rPr>
                <w:spacing w:val="-4"/>
                <w:sz w:val="22"/>
                <w:szCs w:val="22"/>
              </w:rPr>
            </w:pPr>
            <w:r>
              <w:rPr>
                <w:spacing w:val="-4"/>
                <w:sz w:val="22"/>
                <w:szCs w:val="22"/>
              </w:rPr>
              <w:sym w:font="Wingdings" w:char="F0A8"/>
            </w:r>
            <w:r>
              <w:rPr>
                <w:spacing w:val="-4"/>
                <w:sz w:val="22"/>
                <w:szCs w:val="22"/>
              </w:rPr>
              <w:t xml:space="preserve">  (c) had been subject to disqualification by the Bank for non-compliance with SEA/ SH obligations. An arbitral award on the disqualification case has been made in our favor.</w:t>
            </w:r>
          </w:p>
          <w:p w14:paraId="78C23CED">
            <w:pPr>
              <w:spacing w:before="120" w:after="120"/>
              <w:jc w:val="center"/>
              <w:rPr>
                <w:spacing w:val="-4"/>
                <w:sz w:val="22"/>
                <w:szCs w:val="22"/>
              </w:rPr>
            </w:pPr>
            <w:r>
              <w:rPr>
                <w:spacing w:val="-4"/>
                <w:sz w:val="22"/>
                <w:szCs w:val="22"/>
              </w:rPr>
              <w:sym w:font="Wingdings" w:char="F0A8"/>
            </w:r>
            <w:r>
              <w:rPr>
                <w:spacing w:val="-4"/>
                <w:sz w:val="22"/>
                <w:szCs w:val="22"/>
              </w:rPr>
              <w:t xml:space="preserve">  (d)</w:t>
            </w:r>
            <w:r>
              <w:rPr>
                <w:spacing w:val="-4"/>
                <w:sz w:val="22"/>
                <w:szCs w:val="22"/>
              </w:rPr>
              <w:tab/>
            </w:r>
            <w:r>
              <w:rPr>
                <w:spacing w:val="-4"/>
                <w:sz w:val="22"/>
                <w:szCs w:val="22"/>
              </w:rPr>
              <w:t>had been subject to disqualification by the Bank for non-compliance with SEA/ SH obligations for a period of two years. We have subsequently demonstrated that we have adequate capacity and commitment to comply with SEA/ SH obligations.</w:t>
            </w:r>
          </w:p>
          <w:p w14:paraId="4EA84D4D">
            <w:pPr>
              <w:spacing w:before="120" w:after="120"/>
              <w:jc w:val="center"/>
              <w:rPr>
                <w:spacing w:val="-4"/>
                <w:sz w:val="22"/>
                <w:szCs w:val="22"/>
              </w:rPr>
            </w:pPr>
            <w:r>
              <w:rPr>
                <w:spacing w:val="-4"/>
                <w:sz w:val="22"/>
                <w:szCs w:val="22"/>
              </w:rPr>
              <w:sym w:font="Wingdings" w:char="F0A8"/>
            </w:r>
            <w:r>
              <w:rPr>
                <w:spacing w:val="-4"/>
                <w:sz w:val="22"/>
                <w:szCs w:val="22"/>
              </w:rPr>
              <w:t xml:space="preserve">  (e) had been subject to disqualification by the Bank for non-compliance with SEA/ SH obligations for a period of two years. We have attached evidence demonstrating that we have adequate capacity and commitment to comply with SEA/ SH obligations. </w:t>
            </w:r>
          </w:p>
          <w:p w14:paraId="29AA70E5">
            <w:pPr>
              <w:spacing w:before="120" w:after="120"/>
              <w:jc w:val="center"/>
              <w:rPr>
                <w:spacing w:val="-4"/>
                <w:sz w:val="22"/>
                <w:szCs w:val="22"/>
              </w:rPr>
            </w:pPr>
          </w:p>
        </w:tc>
      </w:tr>
      <w:tr w14:paraId="72578200">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1403D6E3">
            <w:pPr>
              <w:spacing w:before="120" w:after="120"/>
              <w:jc w:val="center"/>
              <w:rPr>
                <w:spacing w:val="-4"/>
                <w:sz w:val="22"/>
                <w:szCs w:val="22"/>
              </w:rPr>
            </w:pPr>
            <w:r>
              <w:rPr>
                <w:spacing w:val="-4"/>
                <w:sz w:val="22"/>
                <w:szCs w:val="22"/>
              </w:rPr>
              <w:t>[If (c) above is applicable, attach evidence of an arbitral award reversing the findings on the issues underlying the disqualification.]</w:t>
            </w:r>
          </w:p>
        </w:tc>
      </w:tr>
      <w:tr w14:paraId="3CAAAC92">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22233B67">
            <w:pPr>
              <w:spacing w:before="120" w:after="120"/>
              <w:jc w:val="center"/>
              <w:rPr>
                <w:spacing w:val="-4"/>
                <w:sz w:val="22"/>
                <w:szCs w:val="22"/>
              </w:rPr>
            </w:pPr>
            <w:r>
              <w:rPr>
                <w:spacing w:val="-4"/>
                <w:sz w:val="22"/>
                <w:szCs w:val="22"/>
              </w:rPr>
              <w:t>[If (d) or (e) above are applicable, provide the following information:]</w:t>
            </w:r>
          </w:p>
        </w:tc>
      </w:tr>
      <w:tr w14:paraId="123D6BC1">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7AAB21D2">
            <w:pPr>
              <w:spacing w:before="120" w:after="120"/>
              <w:jc w:val="center"/>
              <w:rPr>
                <w:spacing w:val="-4"/>
                <w:sz w:val="22"/>
                <w:szCs w:val="22"/>
              </w:rPr>
            </w:pPr>
            <w:r>
              <w:rPr>
                <w:spacing w:val="-4"/>
                <w:sz w:val="22"/>
                <w:szCs w:val="22"/>
              </w:rPr>
              <w:t>Period of disqualification: From: _______________ To: ________________</w:t>
            </w:r>
          </w:p>
        </w:tc>
      </w:tr>
      <w:tr w14:paraId="2F8C9332">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595B8555">
            <w:pPr>
              <w:spacing w:before="120" w:after="120"/>
              <w:jc w:val="center"/>
              <w:rPr>
                <w:spacing w:val="-4"/>
                <w:sz w:val="22"/>
                <w:szCs w:val="22"/>
              </w:rPr>
            </w:pPr>
            <w:bookmarkStart w:id="458" w:name="_Hlk10558035"/>
            <w:r>
              <w:rPr>
                <w:spacing w:val="-4"/>
                <w:sz w:val="22"/>
                <w:szCs w:val="22"/>
              </w:rPr>
              <w:t>If previously provided on another Bank financed works contract, details of evidence that demonstrated adequate capacity and commitment to comply with SEA/ SH obligations (as per (d) above)</w:t>
            </w:r>
          </w:p>
          <w:bookmarkEnd w:id="458"/>
          <w:p w14:paraId="2716ECE4">
            <w:pPr>
              <w:spacing w:before="120" w:after="120"/>
              <w:jc w:val="center"/>
              <w:rPr>
                <w:spacing w:val="-4"/>
                <w:sz w:val="22"/>
                <w:szCs w:val="22"/>
              </w:rPr>
            </w:pPr>
            <w:r>
              <w:rPr>
                <w:spacing w:val="-4"/>
                <w:sz w:val="22"/>
                <w:szCs w:val="22"/>
              </w:rPr>
              <w:t>Name of Employer: ___________________________________________</w:t>
            </w:r>
          </w:p>
          <w:p w14:paraId="358AA698">
            <w:pPr>
              <w:spacing w:before="120" w:after="120"/>
              <w:jc w:val="center"/>
              <w:rPr>
                <w:spacing w:val="-4"/>
                <w:sz w:val="22"/>
                <w:szCs w:val="22"/>
              </w:rPr>
            </w:pPr>
            <w:r>
              <w:rPr>
                <w:spacing w:val="-4"/>
                <w:sz w:val="22"/>
                <w:szCs w:val="22"/>
              </w:rPr>
              <w:t>Name of Project: _____________________________________</w:t>
            </w:r>
          </w:p>
          <w:p w14:paraId="2325DECD">
            <w:pPr>
              <w:spacing w:before="120" w:after="120"/>
              <w:jc w:val="center"/>
              <w:rPr>
                <w:spacing w:val="-4"/>
                <w:sz w:val="22"/>
                <w:szCs w:val="22"/>
              </w:rPr>
            </w:pPr>
            <w:r>
              <w:rPr>
                <w:spacing w:val="-4"/>
                <w:sz w:val="22"/>
                <w:szCs w:val="22"/>
              </w:rPr>
              <w:t xml:space="preserve">Contract description: _____________________________________________________ </w:t>
            </w:r>
          </w:p>
          <w:p w14:paraId="7EE1202E">
            <w:pPr>
              <w:spacing w:before="120" w:after="120"/>
              <w:jc w:val="center"/>
              <w:rPr>
                <w:spacing w:val="-4"/>
                <w:sz w:val="22"/>
                <w:szCs w:val="22"/>
              </w:rPr>
            </w:pPr>
            <w:r>
              <w:rPr>
                <w:spacing w:val="-4"/>
                <w:sz w:val="22"/>
                <w:szCs w:val="22"/>
              </w:rPr>
              <w:t>Brief summary of evidence provided: ________________________________________</w:t>
            </w:r>
          </w:p>
          <w:p w14:paraId="1D9C9061">
            <w:pPr>
              <w:spacing w:before="120" w:after="120"/>
              <w:jc w:val="center"/>
              <w:rPr>
                <w:spacing w:val="-4"/>
                <w:sz w:val="22"/>
                <w:szCs w:val="22"/>
              </w:rPr>
            </w:pPr>
            <w:r>
              <w:rPr>
                <w:spacing w:val="-4"/>
                <w:sz w:val="22"/>
                <w:szCs w:val="22"/>
              </w:rPr>
              <w:t>______________________________________________________________________</w:t>
            </w:r>
          </w:p>
          <w:p w14:paraId="1A5BA2E5">
            <w:pPr>
              <w:spacing w:before="120" w:after="120"/>
              <w:jc w:val="center"/>
              <w:rPr>
                <w:spacing w:val="-4"/>
                <w:sz w:val="22"/>
                <w:szCs w:val="22"/>
              </w:rPr>
            </w:pPr>
            <w:r>
              <w:rPr>
                <w:spacing w:val="-4"/>
                <w:sz w:val="22"/>
                <w:szCs w:val="22"/>
              </w:rPr>
              <w:t>Contact Information: (Tel, email, name of contact person): _______________________</w:t>
            </w:r>
          </w:p>
          <w:p w14:paraId="4884F3DF">
            <w:pPr>
              <w:spacing w:before="120" w:after="120"/>
              <w:jc w:val="center"/>
              <w:rPr>
                <w:spacing w:val="-4"/>
                <w:sz w:val="22"/>
                <w:szCs w:val="22"/>
              </w:rPr>
            </w:pPr>
            <w:r>
              <w:rPr>
                <w:spacing w:val="-4"/>
                <w:sz w:val="22"/>
                <w:szCs w:val="22"/>
              </w:rPr>
              <w:t>______________________________________________________________________</w:t>
            </w:r>
          </w:p>
        </w:tc>
      </w:tr>
      <w:tr w14:paraId="3F08D653">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3EF7AF32">
            <w:pPr>
              <w:spacing w:before="120" w:after="120"/>
              <w:jc w:val="center"/>
              <w:rPr>
                <w:spacing w:val="-4"/>
                <w:sz w:val="22"/>
                <w:szCs w:val="22"/>
              </w:rPr>
            </w:pPr>
            <w:bookmarkStart w:id="459" w:name="_Hlk10558021"/>
            <w:r>
              <w:rPr>
                <w:spacing w:val="-4"/>
                <w:sz w:val="22"/>
                <w:szCs w:val="22"/>
              </w:rPr>
              <w:t xml:space="preserve">As an alternative to the evidence under (d), other evidence demonstrating adequate capacity and commitment to comply with SEA/ SH obligations (as per (e) above) [attach details as appropriate]. </w:t>
            </w:r>
            <w:bookmarkEnd w:id="459"/>
          </w:p>
        </w:tc>
      </w:tr>
    </w:tbl>
    <w:p w14:paraId="4C946F26">
      <w:pPr>
        <w:rPr>
          <w:b/>
        </w:rPr>
      </w:pPr>
    </w:p>
    <w:p w14:paraId="55F05089">
      <w:r>
        <w:rPr>
          <w:b/>
        </w:rPr>
        <w:br w:type="page"/>
      </w:r>
    </w:p>
    <w:p w14:paraId="7F4E7FD7">
      <w:pPr>
        <w:pStyle w:val="156"/>
      </w:pPr>
      <w:bookmarkStart w:id="460" w:name="_Toc125873866"/>
      <w:bookmarkStart w:id="461" w:name="_Toc178519607"/>
      <w:r>
        <w:rPr>
          <w:szCs w:val="32"/>
        </w:rPr>
        <w:t>Form CCC</w:t>
      </w:r>
      <w:bookmarkEnd w:id="460"/>
      <w:r>
        <w:rPr>
          <w:szCs w:val="32"/>
        </w:rPr>
        <w:t xml:space="preserve">: </w:t>
      </w:r>
      <w:bookmarkStart w:id="462" w:name="_Toc125871312"/>
      <w:bookmarkStart w:id="463" w:name="_Toc41971547"/>
      <w:bookmarkStart w:id="464" w:name="_Toc138144068"/>
      <w:bookmarkStart w:id="465" w:name="_Toc127160596"/>
      <w:r>
        <w:t>Current Contract Commitments / Works in Progress</w:t>
      </w:r>
      <w:bookmarkEnd w:id="461"/>
      <w:bookmarkEnd w:id="462"/>
      <w:bookmarkEnd w:id="463"/>
      <w:bookmarkEnd w:id="464"/>
      <w:bookmarkEnd w:id="465"/>
    </w:p>
    <w:p w14:paraId="018B66C7">
      <w:pPr>
        <w:suppressAutoHyphens/>
        <w:rPr>
          <w:rStyle w:val="82"/>
          <w:spacing w:val="-2"/>
        </w:rPr>
      </w:pPr>
    </w:p>
    <w:p w14:paraId="5BF28395">
      <w:pPr>
        <w:suppressAutoHyphens/>
        <w:rPr>
          <w:rStyle w:val="82"/>
          <w:spacing w:val="-2"/>
        </w:rPr>
      </w:pPr>
    </w:p>
    <w:p w14:paraId="01AEDA2E">
      <w:pPr>
        <w:rPr>
          <w:rStyle w:val="82"/>
          <w:rFonts w:ascii="Times New Roman" w:hAnsi="Times New Roman"/>
          <w:spacing w:val="-2"/>
          <w:sz w:val="24"/>
        </w:rPr>
      </w:pPr>
      <w:r>
        <w:rPr>
          <w:rStyle w:val="82"/>
          <w:rFonts w:ascii="Times New Roman" w:hAnsi="Times New Roman"/>
          <w:spacing w:val="-2"/>
          <w:sz w:val="24"/>
        </w:rPr>
        <w:t>Bidders and each partner to a JV should provide information on their current commitments on all contracts that have been awarded, or for which a letter of intent or acceptance has been received, or for contracts approaching completion, but for which an unqualified, full completion certificate has yet to be issued.</w:t>
      </w:r>
    </w:p>
    <w:p w14:paraId="2BF4B6A2">
      <w:pPr>
        <w:rPr>
          <w:rStyle w:val="82"/>
          <w:rFonts w:ascii="Times New Roman" w:hAnsi="Times New Roman"/>
          <w:spacing w:val="-2"/>
          <w:sz w:val="24"/>
        </w:rPr>
      </w:pPr>
    </w:p>
    <w:p w14:paraId="660F26DD">
      <w:pPr>
        <w:rPr>
          <w:rStyle w:val="82"/>
          <w:rFonts w:ascii="Times New Roman" w:hAnsi="Times New Roman"/>
          <w:b/>
          <w:bCs/>
          <w:spacing w:val="-2"/>
          <w:sz w:val="24"/>
        </w:rPr>
      </w:pPr>
    </w:p>
    <w:p w14:paraId="6E52DE19">
      <w:pPr>
        <w:rPr>
          <w:rStyle w:val="82"/>
          <w:rFonts w:ascii="Times New Roman" w:hAnsi="Times New Roman"/>
          <w:spacing w:val="-2"/>
          <w:sz w:val="24"/>
        </w:rPr>
      </w:pPr>
    </w:p>
    <w:p w14:paraId="7C1F61E9">
      <w:pPr>
        <w:rPr>
          <w:rStyle w:val="82"/>
          <w:rFonts w:ascii="Times New Roman" w:hAnsi="Times New Roman"/>
          <w:spacing w:val="-2"/>
          <w:sz w:val="24"/>
        </w:rPr>
      </w:pPr>
    </w:p>
    <w:tbl>
      <w:tblPr>
        <w:tblStyle w:val="12"/>
        <w:tblW w:w="0" w:type="auto"/>
        <w:tblInd w:w="72" w:type="dxa"/>
        <w:tblLayout w:type="fixed"/>
        <w:tblCellMar>
          <w:top w:w="0" w:type="dxa"/>
          <w:left w:w="72" w:type="dxa"/>
          <w:bottom w:w="0" w:type="dxa"/>
          <w:right w:w="72" w:type="dxa"/>
        </w:tblCellMar>
      </w:tblPr>
      <w:tblGrid>
        <w:gridCol w:w="1890"/>
        <w:gridCol w:w="1620"/>
        <w:gridCol w:w="1800"/>
        <w:gridCol w:w="1800"/>
        <w:gridCol w:w="1800"/>
      </w:tblGrid>
      <w:tr w14:paraId="0CE6B27B">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5AFC1929">
            <w:pPr>
              <w:rPr>
                <w:rStyle w:val="82"/>
                <w:rFonts w:ascii="Times New Roman" w:hAnsi="Times New Roman"/>
                <w:spacing w:val="-2"/>
                <w:sz w:val="24"/>
              </w:rPr>
            </w:pPr>
            <w:r>
              <w:rPr>
                <w:rStyle w:val="82"/>
                <w:rFonts w:ascii="Times New Roman" w:hAnsi="Times New Roman"/>
                <w:spacing w:val="-2"/>
                <w:sz w:val="24"/>
              </w:rPr>
              <w:t>Name of contract</w:t>
            </w:r>
          </w:p>
        </w:tc>
        <w:tc>
          <w:tcPr>
            <w:tcW w:w="1620" w:type="dxa"/>
            <w:tcBorders>
              <w:top w:val="single" w:color="auto" w:sz="6" w:space="0"/>
            </w:tcBorders>
          </w:tcPr>
          <w:p w14:paraId="145E1AEE">
            <w:pPr>
              <w:rPr>
                <w:rStyle w:val="82"/>
                <w:rFonts w:ascii="Times New Roman" w:hAnsi="Times New Roman"/>
                <w:spacing w:val="-2"/>
                <w:sz w:val="24"/>
              </w:rPr>
            </w:pPr>
            <w:r>
              <w:rPr>
                <w:rStyle w:val="82"/>
                <w:rFonts w:ascii="Times New Roman" w:hAnsi="Times New Roman"/>
                <w:spacing w:val="-2"/>
                <w:sz w:val="24"/>
              </w:rPr>
              <w:t>Employer, contact address/tel/fax</w:t>
            </w:r>
          </w:p>
        </w:tc>
        <w:tc>
          <w:tcPr>
            <w:tcW w:w="1800" w:type="dxa"/>
            <w:tcBorders>
              <w:top w:val="single" w:color="auto" w:sz="6" w:space="0"/>
              <w:left w:val="single" w:color="auto" w:sz="6" w:space="0"/>
            </w:tcBorders>
          </w:tcPr>
          <w:p w14:paraId="793BD88D">
            <w:pPr>
              <w:rPr>
                <w:rStyle w:val="82"/>
                <w:rFonts w:ascii="Times New Roman" w:hAnsi="Times New Roman"/>
                <w:spacing w:val="-2"/>
                <w:sz w:val="24"/>
              </w:rPr>
            </w:pPr>
            <w:r>
              <w:rPr>
                <w:rStyle w:val="82"/>
                <w:rFonts w:ascii="Times New Roman" w:hAnsi="Times New Roman"/>
                <w:spacing w:val="-2"/>
                <w:sz w:val="24"/>
              </w:rPr>
              <w:t>Value of outstanding work (current US$ equivalent)</w:t>
            </w:r>
          </w:p>
        </w:tc>
        <w:tc>
          <w:tcPr>
            <w:tcW w:w="1800" w:type="dxa"/>
            <w:tcBorders>
              <w:top w:val="single" w:color="auto" w:sz="6" w:space="0"/>
              <w:left w:val="single" w:color="auto" w:sz="6" w:space="0"/>
            </w:tcBorders>
          </w:tcPr>
          <w:p w14:paraId="07EF8CFE">
            <w:pPr>
              <w:rPr>
                <w:rStyle w:val="82"/>
                <w:rFonts w:ascii="Times New Roman" w:hAnsi="Times New Roman"/>
                <w:spacing w:val="-2"/>
                <w:sz w:val="24"/>
              </w:rPr>
            </w:pPr>
            <w:r>
              <w:rPr>
                <w:rStyle w:val="82"/>
                <w:rFonts w:ascii="Times New Roman" w:hAnsi="Times New Roman"/>
                <w:spacing w:val="-2"/>
                <w:sz w:val="24"/>
              </w:rPr>
              <w:t>Estimated completion date</w:t>
            </w:r>
          </w:p>
        </w:tc>
        <w:tc>
          <w:tcPr>
            <w:tcW w:w="1800" w:type="dxa"/>
            <w:tcBorders>
              <w:top w:val="single" w:color="auto" w:sz="6" w:space="0"/>
              <w:left w:val="single" w:color="auto" w:sz="6" w:space="0"/>
              <w:bottom w:val="single" w:color="auto" w:sz="6" w:space="0"/>
              <w:right w:val="single" w:color="auto" w:sz="6" w:space="0"/>
            </w:tcBorders>
          </w:tcPr>
          <w:p w14:paraId="0C0091D1">
            <w:pPr>
              <w:rPr>
                <w:rStyle w:val="82"/>
                <w:rFonts w:ascii="Times New Roman" w:hAnsi="Times New Roman"/>
                <w:spacing w:val="-2"/>
                <w:sz w:val="24"/>
              </w:rPr>
            </w:pPr>
            <w:r>
              <w:rPr>
                <w:rStyle w:val="82"/>
                <w:rFonts w:ascii="Times New Roman" w:hAnsi="Times New Roman"/>
                <w:spacing w:val="-2"/>
                <w:sz w:val="24"/>
              </w:rPr>
              <w:t>Average monthly invoicing over last six months</w:t>
            </w:r>
            <w:r>
              <w:rPr>
                <w:rStyle w:val="82"/>
                <w:rFonts w:ascii="Times New Roman" w:hAnsi="Times New Roman"/>
                <w:spacing w:val="-2"/>
                <w:sz w:val="24"/>
              </w:rPr>
              <w:br w:type="textWrapping"/>
            </w:r>
            <w:r>
              <w:rPr>
                <w:rStyle w:val="82"/>
                <w:rFonts w:ascii="Times New Roman" w:hAnsi="Times New Roman"/>
                <w:spacing w:val="-2"/>
                <w:sz w:val="24"/>
              </w:rPr>
              <w:t>(US$/month)</w:t>
            </w:r>
          </w:p>
        </w:tc>
      </w:tr>
      <w:tr w14:paraId="177A45EE">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0959CAF7">
            <w:pPr>
              <w:rPr>
                <w:rStyle w:val="82"/>
                <w:rFonts w:ascii="Times New Roman" w:hAnsi="Times New Roman"/>
                <w:spacing w:val="-2"/>
                <w:sz w:val="24"/>
              </w:rPr>
            </w:pPr>
            <w:r>
              <w:rPr>
                <w:rStyle w:val="82"/>
                <w:rFonts w:ascii="Times New Roman" w:hAnsi="Times New Roman"/>
                <w:spacing w:val="-2"/>
                <w:sz w:val="24"/>
              </w:rPr>
              <w:t>1.</w:t>
            </w:r>
          </w:p>
          <w:p w14:paraId="54CC14A2">
            <w:pPr>
              <w:rPr>
                <w:rStyle w:val="82"/>
                <w:rFonts w:ascii="Times New Roman" w:hAnsi="Times New Roman"/>
                <w:spacing w:val="-2"/>
                <w:sz w:val="24"/>
              </w:rPr>
            </w:pPr>
          </w:p>
        </w:tc>
        <w:tc>
          <w:tcPr>
            <w:tcW w:w="1620" w:type="dxa"/>
            <w:tcBorders>
              <w:top w:val="single" w:color="auto" w:sz="6" w:space="0"/>
            </w:tcBorders>
          </w:tcPr>
          <w:p w14:paraId="34407FD1">
            <w:pPr>
              <w:rPr>
                <w:rStyle w:val="82"/>
                <w:rFonts w:ascii="Times New Roman" w:hAnsi="Times New Roman"/>
                <w:spacing w:val="-2"/>
                <w:sz w:val="24"/>
              </w:rPr>
            </w:pPr>
          </w:p>
        </w:tc>
        <w:tc>
          <w:tcPr>
            <w:tcW w:w="1800" w:type="dxa"/>
            <w:tcBorders>
              <w:top w:val="single" w:color="auto" w:sz="6" w:space="0"/>
              <w:left w:val="single" w:color="auto" w:sz="6" w:space="0"/>
            </w:tcBorders>
          </w:tcPr>
          <w:p w14:paraId="29743D29">
            <w:pPr>
              <w:rPr>
                <w:rStyle w:val="82"/>
                <w:rFonts w:ascii="Times New Roman" w:hAnsi="Times New Roman"/>
                <w:spacing w:val="-2"/>
                <w:sz w:val="24"/>
              </w:rPr>
            </w:pPr>
          </w:p>
        </w:tc>
        <w:tc>
          <w:tcPr>
            <w:tcW w:w="1800" w:type="dxa"/>
            <w:tcBorders>
              <w:top w:val="single" w:color="auto" w:sz="6" w:space="0"/>
              <w:left w:val="single" w:color="auto" w:sz="6" w:space="0"/>
            </w:tcBorders>
          </w:tcPr>
          <w:p w14:paraId="6B5B0544">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right w:val="single" w:color="auto" w:sz="6" w:space="0"/>
            </w:tcBorders>
          </w:tcPr>
          <w:p w14:paraId="1DE5E476">
            <w:pPr>
              <w:rPr>
                <w:rStyle w:val="82"/>
                <w:rFonts w:ascii="Times New Roman" w:hAnsi="Times New Roman"/>
                <w:spacing w:val="-2"/>
                <w:sz w:val="24"/>
              </w:rPr>
            </w:pPr>
          </w:p>
        </w:tc>
      </w:tr>
      <w:tr w14:paraId="3E784AB5">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48D984BE">
            <w:pPr>
              <w:rPr>
                <w:rStyle w:val="82"/>
                <w:rFonts w:ascii="Times New Roman" w:hAnsi="Times New Roman"/>
                <w:spacing w:val="-2"/>
                <w:sz w:val="24"/>
              </w:rPr>
            </w:pPr>
            <w:r>
              <w:rPr>
                <w:rStyle w:val="82"/>
                <w:rFonts w:ascii="Times New Roman" w:hAnsi="Times New Roman"/>
                <w:spacing w:val="-2"/>
                <w:sz w:val="24"/>
              </w:rPr>
              <w:t>2.</w:t>
            </w:r>
          </w:p>
          <w:p w14:paraId="5BC63939">
            <w:pPr>
              <w:rPr>
                <w:rStyle w:val="82"/>
                <w:rFonts w:ascii="Times New Roman" w:hAnsi="Times New Roman"/>
                <w:spacing w:val="-2"/>
                <w:sz w:val="24"/>
              </w:rPr>
            </w:pPr>
          </w:p>
        </w:tc>
        <w:tc>
          <w:tcPr>
            <w:tcW w:w="1620" w:type="dxa"/>
            <w:tcBorders>
              <w:top w:val="single" w:color="auto" w:sz="6" w:space="0"/>
            </w:tcBorders>
          </w:tcPr>
          <w:p w14:paraId="5E8E357E">
            <w:pPr>
              <w:rPr>
                <w:rStyle w:val="82"/>
                <w:rFonts w:ascii="Times New Roman" w:hAnsi="Times New Roman"/>
                <w:spacing w:val="-2"/>
                <w:sz w:val="24"/>
              </w:rPr>
            </w:pPr>
          </w:p>
        </w:tc>
        <w:tc>
          <w:tcPr>
            <w:tcW w:w="1800" w:type="dxa"/>
            <w:tcBorders>
              <w:top w:val="single" w:color="auto" w:sz="6" w:space="0"/>
              <w:left w:val="single" w:color="auto" w:sz="6" w:space="0"/>
            </w:tcBorders>
          </w:tcPr>
          <w:p w14:paraId="10A7114C">
            <w:pPr>
              <w:rPr>
                <w:rStyle w:val="82"/>
                <w:rFonts w:ascii="Times New Roman" w:hAnsi="Times New Roman"/>
                <w:spacing w:val="-2"/>
                <w:sz w:val="24"/>
              </w:rPr>
            </w:pPr>
          </w:p>
        </w:tc>
        <w:tc>
          <w:tcPr>
            <w:tcW w:w="1800" w:type="dxa"/>
            <w:tcBorders>
              <w:top w:val="single" w:color="auto" w:sz="6" w:space="0"/>
              <w:left w:val="single" w:color="auto" w:sz="6" w:space="0"/>
            </w:tcBorders>
          </w:tcPr>
          <w:p w14:paraId="744F4103">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right w:val="single" w:color="auto" w:sz="6" w:space="0"/>
            </w:tcBorders>
          </w:tcPr>
          <w:p w14:paraId="1F7DF6F8">
            <w:pPr>
              <w:rPr>
                <w:rStyle w:val="82"/>
                <w:rFonts w:ascii="Times New Roman" w:hAnsi="Times New Roman"/>
                <w:spacing w:val="-2"/>
                <w:sz w:val="24"/>
              </w:rPr>
            </w:pPr>
          </w:p>
        </w:tc>
      </w:tr>
      <w:tr w14:paraId="00263142">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27D6C797">
            <w:pPr>
              <w:rPr>
                <w:rStyle w:val="82"/>
                <w:rFonts w:ascii="Times New Roman" w:hAnsi="Times New Roman"/>
                <w:spacing w:val="-2"/>
                <w:sz w:val="24"/>
              </w:rPr>
            </w:pPr>
            <w:r>
              <w:rPr>
                <w:rStyle w:val="82"/>
                <w:rFonts w:ascii="Times New Roman" w:hAnsi="Times New Roman"/>
                <w:spacing w:val="-2"/>
                <w:sz w:val="24"/>
              </w:rPr>
              <w:t>3.</w:t>
            </w:r>
          </w:p>
          <w:p w14:paraId="75B3AA6B">
            <w:pPr>
              <w:rPr>
                <w:rStyle w:val="82"/>
                <w:rFonts w:ascii="Times New Roman" w:hAnsi="Times New Roman"/>
                <w:spacing w:val="-2"/>
                <w:sz w:val="24"/>
              </w:rPr>
            </w:pPr>
          </w:p>
        </w:tc>
        <w:tc>
          <w:tcPr>
            <w:tcW w:w="1620" w:type="dxa"/>
            <w:tcBorders>
              <w:top w:val="single" w:color="auto" w:sz="6" w:space="0"/>
            </w:tcBorders>
          </w:tcPr>
          <w:p w14:paraId="089DBE6A">
            <w:pPr>
              <w:rPr>
                <w:rStyle w:val="82"/>
                <w:rFonts w:ascii="Times New Roman" w:hAnsi="Times New Roman"/>
                <w:spacing w:val="-2"/>
                <w:sz w:val="24"/>
              </w:rPr>
            </w:pPr>
          </w:p>
        </w:tc>
        <w:tc>
          <w:tcPr>
            <w:tcW w:w="1800" w:type="dxa"/>
            <w:tcBorders>
              <w:top w:val="single" w:color="auto" w:sz="6" w:space="0"/>
              <w:left w:val="single" w:color="auto" w:sz="6" w:space="0"/>
            </w:tcBorders>
          </w:tcPr>
          <w:p w14:paraId="269E9F95">
            <w:pPr>
              <w:rPr>
                <w:rStyle w:val="82"/>
                <w:rFonts w:ascii="Times New Roman" w:hAnsi="Times New Roman"/>
                <w:spacing w:val="-2"/>
                <w:sz w:val="24"/>
              </w:rPr>
            </w:pPr>
          </w:p>
        </w:tc>
        <w:tc>
          <w:tcPr>
            <w:tcW w:w="1800" w:type="dxa"/>
            <w:tcBorders>
              <w:top w:val="single" w:color="auto" w:sz="6" w:space="0"/>
              <w:left w:val="single" w:color="auto" w:sz="6" w:space="0"/>
            </w:tcBorders>
          </w:tcPr>
          <w:p w14:paraId="2E5CDE03">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right w:val="single" w:color="auto" w:sz="6" w:space="0"/>
            </w:tcBorders>
          </w:tcPr>
          <w:p w14:paraId="3BBDEC7C">
            <w:pPr>
              <w:rPr>
                <w:rStyle w:val="82"/>
                <w:rFonts w:ascii="Times New Roman" w:hAnsi="Times New Roman"/>
                <w:spacing w:val="-2"/>
                <w:sz w:val="24"/>
              </w:rPr>
            </w:pPr>
          </w:p>
        </w:tc>
      </w:tr>
      <w:tr w14:paraId="55A3B056">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543C6D25">
            <w:pPr>
              <w:rPr>
                <w:rStyle w:val="82"/>
                <w:rFonts w:ascii="Times New Roman" w:hAnsi="Times New Roman"/>
                <w:spacing w:val="-2"/>
                <w:sz w:val="24"/>
              </w:rPr>
            </w:pPr>
            <w:r>
              <w:rPr>
                <w:rStyle w:val="82"/>
                <w:rFonts w:ascii="Times New Roman" w:hAnsi="Times New Roman"/>
                <w:spacing w:val="-2"/>
                <w:sz w:val="24"/>
              </w:rPr>
              <w:t>4.</w:t>
            </w:r>
          </w:p>
          <w:p w14:paraId="2D33F8D0">
            <w:pPr>
              <w:rPr>
                <w:rStyle w:val="82"/>
                <w:rFonts w:ascii="Times New Roman" w:hAnsi="Times New Roman"/>
                <w:spacing w:val="-2"/>
                <w:sz w:val="24"/>
              </w:rPr>
            </w:pPr>
          </w:p>
        </w:tc>
        <w:tc>
          <w:tcPr>
            <w:tcW w:w="1620" w:type="dxa"/>
            <w:tcBorders>
              <w:top w:val="single" w:color="auto" w:sz="6" w:space="0"/>
            </w:tcBorders>
          </w:tcPr>
          <w:p w14:paraId="3DDD19A8">
            <w:pPr>
              <w:rPr>
                <w:rStyle w:val="82"/>
                <w:rFonts w:ascii="Times New Roman" w:hAnsi="Times New Roman"/>
                <w:spacing w:val="-2"/>
                <w:sz w:val="24"/>
              </w:rPr>
            </w:pPr>
          </w:p>
        </w:tc>
        <w:tc>
          <w:tcPr>
            <w:tcW w:w="1800" w:type="dxa"/>
            <w:tcBorders>
              <w:top w:val="single" w:color="auto" w:sz="6" w:space="0"/>
              <w:left w:val="single" w:color="auto" w:sz="6" w:space="0"/>
            </w:tcBorders>
          </w:tcPr>
          <w:p w14:paraId="662E108E">
            <w:pPr>
              <w:rPr>
                <w:rStyle w:val="82"/>
                <w:rFonts w:ascii="Times New Roman" w:hAnsi="Times New Roman"/>
                <w:spacing w:val="-2"/>
                <w:sz w:val="24"/>
              </w:rPr>
            </w:pPr>
          </w:p>
        </w:tc>
        <w:tc>
          <w:tcPr>
            <w:tcW w:w="1800" w:type="dxa"/>
            <w:tcBorders>
              <w:top w:val="single" w:color="auto" w:sz="6" w:space="0"/>
              <w:left w:val="single" w:color="auto" w:sz="6" w:space="0"/>
            </w:tcBorders>
          </w:tcPr>
          <w:p w14:paraId="103DFF37">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right w:val="single" w:color="auto" w:sz="6" w:space="0"/>
            </w:tcBorders>
          </w:tcPr>
          <w:p w14:paraId="35749C79">
            <w:pPr>
              <w:rPr>
                <w:rStyle w:val="82"/>
                <w:rFonts w:ascii="Times New Roman" w:hAnsi="Times New Roman"/>
                <w:spacing w:val="-2"/>
                <w:sz w:val="24"/>
              </w:rPr>
            </w:pPr>
          </w:p>
        </w:tc>
      </w:tr>
      <w:tr w14:paraId="601FE673">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03B0C00B">
            <w:pPr>
              <w:rPr>
                <w:rStyle w:val="82"/>
                <w:rFonts w:ascii="Times New Roman" w:hAnsi="Times New Roman"/>
                <w:spacing w:val="-2"/>
                <w:sz w:val="24"/>
              </w:rPr>
            </w:pPr>
            <w:r>
              <w:rPr>
                <w:rStyle w:val="82"/>
                <w:rFonts w:ascii="Times New Roman" w:hAnsi="Times New Roman"/>
                <w:spacing w:val="-2"/>
                <w:sz w:val="24"/>
              </w:rPr>
              <w:t>5.</w:t>
            </w:r>
          </w:p>
          <w:p w14:paraId="2EC40F95">
            <w:pPr>
              <w:rPr>
                <w:rStyle w:val="82"/>
                <w:rFonts w:ascii="Times New Roman" w:hAnsi="Times New Roman"/>
                <w:spacing w:val="-2"/>
                <w:sz w:val="24"/>
              </w:rPr>
            </w:pPr>
          </w:p>
        </w:tc>
        <w:tc>
          <w:tcPr>
            <w:tcW w:w="1620" w:type="dxa"/>
            <w:tcBorders>
              <w:top w:val="single" w:color="auto" w:sz="6" w:space="0"/>
            </w:tcBorders>
          </w:tcPr>
          <w:p w14:paraId="329699B3">
            <w:pPr>
              <w:rPr>
                <w:rStyle w:val="82"/>
                <w:rFonts w:ascii="Times New Roman" w:hAnsi="Times New Roman"/>
                <w:spacing w:val="-2"/>
                <w:sz w:val="24"/>
              </w:rPr>
            </w:pPr>
          </w:p>
        </w:tc>
        <w:tc>
          <w:tcPr>
            <w:tcW w:w="1800" w:type="dxa"/>
            <w:tcBorders>
              <w:top w:val="single" w:color="auto" w:sz="6" w:space="0"/>
              <w:left w:val="single" w:color="auto" w:sz="6" w:space="0"/>
            </w:tcBorders>
          </w:tcPr>
          <w:p w14:paraId="5693484F">
            <w:pPr>
              <w:rPr>
                <w:rStyle w:val="82"/>
                <w:rFonts w:ascii="Times New Roman" w:hAnsi="Times New Roman"/>
                <w:spacing w:val="-2"/>
                <w:sz w:val="24"/>
              </w:rPr>
            </w:pPr>
          </w:p>
        </w:tc>
        <w:tc>
          <w:tcPr>
            <w:tcW w:w="1800" w:type="dxa"/>
            <w:tcBorders>
              <w:top w:val="single" w:color="auto" w:sz="6" w:space="0"/>
              <w:left w:val="single" w:color="auto" w:sz="6" w:space="0"/>
            </w:tcBorders>
          </w:tcPr>
          <w:p w14:paraId="6B49E832">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right w:val="single" w:color="auto" w:sz="6" w:space="0"/>
            </w:tcBorders>
          </w:tcPr>
          <w:p w14:paraId="0D5DBCC7">
            <w:pPr>
              <w:rPr>
                <w:rStyle w:val="82"/>
                <w:rFonts w:ascii="Times New Roman" w:hAnsi="Times New Roman"/>
                <w:spacing w:val="-2"/>
                <w:sz w:val="24"/>
              </w:rPr>
            </w:pPr>
          </w:p>
        </w:tc>
      </w:tr>
      <w:tr w14:paraId="6AAE9C57">
        <w:tblPrEx>
          <w:tblCellMar>
            <w:top w:w="0" w:type="dxa"/>
            <w:left w:w="72" w:type="dxa"/>
            <w:bottom w:w="0" w:type="dxa"/>
            <w:right w:w="72" w:type="dxa"/>
          </w:tblCellMar>
        </w:tblPrEx>
        <w:trPr>
          <w:cantSplit/>
        </w:trPr>
        <w:tc>
          <w:tcPr>
            <w:tcW w:w="1890" w:type="dxa"/>
            <w:tcBorders>
              <w:top w:val="single" w:color="auto" w:sz="6" w:space="0"/>
              <w:left w:val="single" w:color="auto" w:sz="6" w:space="0"/>
              <w:bottom w:val="single" w:color="auto" w:sz="6" w:space="0"/>
              <w:right w:val="single" w:color="auto" w:sz="6" w:space="0"/>
            </w:tcBorders>
          </w:tcPr>
          <w:p w14:paraId="42D8A08B">
            <w:pPr>
              <w:rPr>
                <w:rStyle w:val="82"/>
                <w:rFonts w:ascii="Times New Roman" w:hAnsi="Times New Roman"/>
                <w:spacing w:val="-2"/>
                <w:sz w:val="24"/>
              </w:rPr>
            </w:pPr>
            <w:r>
              <w:rPr>
                <w:rStyle w:val="82"/>
                <w:rFonts w:ascii="Times New Roman" w:hAnsi="Times New Roman"/>
                <w:spacing w:val="-2"/>
                <w:sz w:val="24"/>
              </w:rPr>
              <w:t>etc.</w:t>
            </w:r>
          </w:p>
          <w:p w14:paraId="0B93DB60">
            <w:pPr>
              <w:rPr>
                <w:rStyle w:val="82"/>
                <w:rFonts w:ascii="Times New Roman" w:hAnsi="Times New Roman"/>
                <w:spacing w:val="-2"/>
                <w:sz w:val="24"/>
              </w:rPr>
            </w:pPr>
          </w:p>
        </w:tc>
        <w:tc>
          <w:tcPr>
            <w:tcW w:w="1620" w:type="dxa"/>
            <w:tcBorders>
              <w:top w:val="single" w:color="auto" w:sz="6" w:space="0"/>
              <w:bottom w:val="single" w:color="auto" w:sz="6" w:space="0"/>
            </w:tcBorders>
          </w:tcPr>
          <w:p w14:paraId="4253B469">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tcBorders>
          </w:tcPr>
          <w:p w14:paraId="203D0560">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tcBorders>
          </w:tcPr>
          <w:p w14:paraId="6003F68F">
            <w:pPr>
              <w:rPr>
                <w:rStyle w:val="82"/>
                <w:rFonts w:ascii="Times New Roman" w:hAnsi="Times New Roman"/>
                <w:spacing w:val="-2"/>
                <w:sz w:val="24"/>
              </w:rPr>
            </w:pPr>
          </w:p>
        </w:tc>
        <w:tc>
          <w:tcPr>
            <w:tcW w:w="1800" w:type="dxa"/>
            <w:tcBorders>
              <w:top w:val="single" w:color="auto" w:sz="6" w:space="0"/>
              <w:left w:val="single" w:color="auto" w:sz="6" w:space="0"/>
              <w:bottom w:val="single" w:color="auto" w:sz="6" w:space="0"/>
              <w:right w:val="single" w:color="auto" w:sz="6" w:space="0"/>
            </w:tcBorders>
          </w:tcPr>
          <w:p w14:paraId="1316BF1E">
            <w:pPr>
              <w:rPr>
                <w:rStyle w:val="82"/>
                <w:rFonts w:ascii="Times New Roman" w:hAnsi="Times New Roman"/>
                <w:spacing w:val="-2"/>
                <w:sz w:val="24"/>
              </w:rPr>
            </w:pPr>
          </w:p>
        </w:tc>
      </w:tr>
    </w:tbl>
    <w:p w14:paraId="47B0A985">
      <w:pPr>
        <w:rPr>
          <w:rStyle w:val="82"/>
          <w:rFonts w:ascii="Times New Roman" w:hAnsi="Times New Roman"/>
          <w:spacing w:val="-2"/>
          <w:sz w:val="24"/>
        </w:rPr>
      </w:pPr>
    </w:p>
    <w:p w14:paraId="5F642D14">
      <w:pPr>
        <w:pStyle w:val="156"/>
      </w:pPr>
      <w:r>
        <w:rPr>
          <w:i/>
        </w:rPr>
        <w:br w:type="page"/>
      </w:r>
      <w:bookmarkStart w:id="466" w:name="_Toc108424566"/>
      <w:bookmarkStart w:id="467" w:name="_Toc178519608"/>
      <w:bookmarkStart w:id="468" w:name="_Toc138144069"/>
      <w:bookmarkStart w:id="469" w:name="_Toc127160597"/>
      <w:bookmarkStart w:id="470" w:name="_Toc41971548"/>
      <w:r>
        <w:rPr>
          <w:szCs w:val="32"/>
        </w:rPr>
        <w:t xml:space="preserve">Form FIN – 3.1: </w:t>
      </w:r>
      <w:r>
        <w:t>Financial Situation</w:t>
      </w:r>
      <w:bookmarkEnd w:id="466"/>
      <w:r>
        <w:t xml:space="preserve"> and Performance</w:t>
      </w:r>
      <w:bookmarkEnd w:id="467"/>
    </w:p>
    <w:p w14:paraId="21224956">
      <w:pPr>
        <w:spacing w:before="288" w:after="324" w:line="264" w:lineRule="exact"/>
        <w:jc w:val="right"/>
        <w:rPr>
          <w:spacing w:val="-4"/>
        </w:rPr>
      </w:pPr>
      <w:r>
        <w:rPr>
          <w:spacing w:val="-4"/>
        </w:rPr>
        <w:t xml:space="preserve">Bidder’s Name: </w:t>
      </w:r>
      <w:r>
        <w:rPr>
          <w:i/>
          <w:iCs/>
          <w:spacing w:val="-6"/>
        </w:rPr>
        <w:t>________________</w:t>
      </w:r>
      <w:r>
        <w:rPr>
          <w:i/>
          <w:iCs/>
          <w:spacing w:val="-6"/>
        </w:rPr>
        <w:br w:type="textWrapping"/>
      </w:r>
      <w:r>
        <w:rPr>
          <w:spacing w:val="-4"/>
        </w:rPr>
        <w:t xml:space="preserve">Date: </w:t>
      </w:r>
      <w:r>
        <w:rPr>
          <w:i/>
          <w:iCs/>
          <w:spacing w:val="-6"/>
        </w:rPr>
        <w:t>______________________</w:t>
      </w:r>
      <w:r>
        <w:rPr>
          <w:i/>
          <w:iCs/>
          <w:spacing w:val="-6"/>
        </w:rPr>
        <w:br w:type="textWrapping"/>
      </w:r>
      <w:r>
        <w:rPr>
          <w:spacing w:val="-4"/>
        </w:rPr>
        <w:t>Joint Venture Member’s Name_________________________</w:t>
      </w:r>
      <w:r>
        <w:rPr>
          <w:i/>
          <w:iCs/>
          <w:spacing w:val="-6"/>
        </w:rPr>
        <w:br w:type="textWrapping"/>
      </w:r>
      <w:r>
        <w:rPr>
          <w:rFonts w:hint="default"/>
          <w:i/>
          <w:iCs/>
          <w:spacing w:val="-6"/>
          <w:lang w:val="en-US"/>
        </w:rPr>
        <w:t>N</w:t>
      </w:r>
      <w:r>
        <w:rPr>
          <w:spacing w:val="-4"/>
        </w:rPr>
        <w:t xml:space="preserve">CB No. and title: </w:t>
      </w:r>
      <w:r>
        <w:rPr>
          <w:i/>
          <w:iCs/>
          <w:spacing w:val="-6"/>
        </w:rPr>
        <w:t>___________________________</w:t>
      </w:r>
      <w:r>
        <w:rPr>
          <w:i/>
          <w:iCs/>
          <w:spacing w:val="-6"/>
        </w:rPr>
        <w:br w:type="textWrapping"/>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p w14:paraId="3B641F64">
      <w:pPr>
        <w:spacing w:before="240" w:after="200"/>
        <w:rPr>
          <w:b/>
          <w:bCs/>
          <w:spacing w:val="-4"/>
        </w:rPr>
      </w:pPr>
      <w:r>
        <w:rPr>
          <w:b/>
          <w:bCs/>
          <w:spacing w:val="-4"/>
        </w:rPr>
        <w:t>1. Financial data</w:t>
      </w:r>
    </w:p>
    <w:tbl>
      <w:tblPr>
        <w:tblStyle w:val="12"/>
        <w:tblW w:w="0" w:type="auto"/>
        <w:tblInd w:w="3" w:type="dxa"/>
        <w:tblLayout w:type="fixed"/>
        <w:tblCellMar>
          <w:top w:w="0" w:type="dxa"/>
          <w:left w:w="0" w:type="dxa"/>
          <w:bottom w:w="0" w:type="dxa"/>
          <w:right w:w="0" w:type="dxa"/>
        </w:tblCellMar>
      </w:tblPr>
      <w:tblGrid>
        <w:gridCol w:w="2950"/>
        <w:gridCol w:w="1190"/>
        <w:gridCol w:w="1186"/>
        <w:gridCol w:w="1190"/>
        <w:gridCol w:w="1186"/>
        <w:gridCol w:w="1240"/>
      </w:tblGrid>
      <w:tr w14:paraId="64B004C8">
        <w:tblPrEx>
          <w:tblCellMar>
            <w:top w:w="0" w:type="dxa"/>
            <w:left w:w="0" w:type="dxa"/>
            <w:bottom w:w="0" w:type="dxa"/>
            <w:right w:w="0" w:type="dxa"/>
          </w:tblCellMar>
        </w:tblPrEx>
        <w:trPr>
          <w:trHeight w:val="1206" w:hRule="exact"/>
        </w:trPr>
        <w:tc>
          <w:tcPr>
            <w:tcW w:w="2950" w:type="dxa"/>
            <w:tcBorders>
              <w:top w:val="single" w:color="auto" w:sz="2" w:space="0"/>
              <w:left w:val="single" w:color="auto" w:sz="2" w:space="0"/>
              <w:bottom w:val="single" w:color="auto" w:sz="2" w:space="0"/>
              <w:right w:val="single" w:color="auto" w:sz="2" w:space="0"/>
            </w:tcBorders>
          </w:tcPr>
          <w:p w14:paraId="0B150D2F">
            <w:pPr>
              <w:jc w:val="center"/>
              <w:rPr>
                <w:b/>
                <w:bCs/>
                <w:spacing w:val="-7"/>
              </w:rPr>
            </w:pPr>
            <w:r>
              <w:rPr>
                <w:b/>
                <w:bCs/>
                <w:spacing w:val="-7"/>
              </w:rPr>
              <w:t>Type of Financial information in</w:t>
            </w:r>
          </w:p>
          <w:p w14:paraId="41A76CFC">
            <w:pPr>
              <w:spacing w:after="360"/>
              <w:jc w:val="center"/>
              <w:rPr>
                <w:b/>
                <w:bCs/>
                <w:spacing w:val="-10"/>
              </w:rPr>
            </w:pPr>
            <w:r>
              <w:rPr>
                <w:b/>
                <w:bCs/>
                <w:spacing w:val="-10"/>
              </w:rPr>
              <w:t>(</w:t>
            </w:r>
            <w:r>
              <w:rPr>
                <w:b/>
                <w:bCs/>
                <w:spacing w:val="-4"/>
              </w:rPr>
              <w:t>currency</w:t>
            </w:r>
            <w:r>
              <w:rPr>
                <w:b/>
                <w:bCs/>
                <w:spacing w:val="-10"/>
              </w:rPr>
              <w:t>)</w:t>
            </w:r>
          </w:p>
        </w:tc>
        <w:tc>
          <w:tcPr>
            <w:tcW w:w="5992" w:type="dxa"/>
            <w:gridSpan w:val="5"/>
            <w:tcBorders>
              <w:top w:val="single" w:color="auto" w:sz="2" w:space="0"/>
              <w:left w:val="single" w:color="auto" w:sz="2" w:space="0"/>
              <w:bottom w:val="single" w:color="auto" w:sz="2" w:space="0"/>
              <w:right w:val="single" w:color="auto" w:sz="2" w:space="0"/>
            </w:tcBorders>
          </w:tcPr>
          <w:p w14:paraId="4F0CE021">
            <w:pPr>
              <w:jc w:val="center"/>
              <w:rPr>
                <w:i/>
                <w:iCs/>
                <w:spacing w:val="-4"/>
              </w:rPr>
            </w:pPr>
            <w:r>
              <w:rPr>
                <w:b/>
                <w:bCs/>
                <w:spacing w:val="-6"/>
              </w:rPr>
              <w:t xml:space="preserve">Historic information for previous </w:t>
            </w:r>
            <w:r>
              <w:rPr>
                <w:i/>
                <w:iCs/>
                <w:spacing w:val="-4"/>
              </w:rPr>
              <w:t>_________years,</w:t>
            </w:r>
          </w:p>
          <w:p w14:paraId="3BFF30FF">
            <w:pPr>
              <w:jc w:val="center"/>
              <w:rPr>
                <w:i/>
                <w:iCs/>
                <w:spacing w:val="-4"/>
              </w:rPr>
            </w:pPr>
            <w:r>
              <w:rPr>
                <w:i/>
                <w:iCs/>
                <w:spacing w:val="-4"/>
              </w:rPr>
              <w:t>______________</w:t>
            </w:r>
          </w:p>
          <w:p w14:paraId="48078CC4">
            <w:pPr>
              <w:jc w:val="center"/>
              <w:rPr>
                <w:b/>
                <w:bCs/>
                <w:spacing w:val="-10"/>
              </w:rPr>
            </w:pPr>
            <w:r>
              <w:rPr>
                <w:b/>
                <w:bCs/>
                <w:spacing w:val="-10"/>
              </w:rPr>
              <w:t xml:space="preserve">(amount in </w:t>
            </w:r>
            <w:r>
              <w:rPr>
                <w:b/>
                <w:bCs/>
                <w:spacing w:val="-4"/>
              </w:rPr>
              <w:t>currency, currency, exchange rate, USD equivalent</w:t>
            </w:r>
            <w:r>
              <w:rPr>
                <w:b/>
                <w:bCs/>
                <w:spacing w:val="-10"/>
              </w:rPr>
              <w:t>)</w:t>
            </w:r>
          </w:p>
        </w:tc>
      </w:tr>
      <w:tr w14:paraId="77A38BC6">
        <w:tblPrEx>
          <w:tblCellMar>
            <w:top w:w="0" w:type="dxa"/>
            <w:left w:w="0" w:type="dxa"/>
            <w:bottom w:w="0" w:type="dxa"/>
            <w:right w:w="0" w:type="dxa"/>
          </w:tblCellMar>
        </w:tblPrEx>
        <w:trPr>
          <w:trHeight w:val="523" w:hRule="exact"/>
        </w:trPr>
        <w:tc>
          <w:tcPr>
            <w:tcW w:w="2950" w:type="dxa"/>
            <w:tcBorders>
              <w:top w:val="single" w:color="auto" w:sz="2" w:space="0"/>
              <w:left w:val="single" w:color="auto" w:sz="2" w:space="0"/>
              <w:bottom w:val="single" w:color="auto" w:sz="2" w:space="0"/>
              <w:right w:val="single" w:color="auto" w:sz="2" w:space="0"/>
            </w:tcBorders>
          </w:tcPr>
          <w:p w14:paraId="4FB454BB"/>
        </w:tc>
        <w:tc>
          <w:tcPr>
            <w:tcW w:w="1190" w:type="dxa"/>
            <w:tcBorders>
              <w:top w:val="single" w:color="auto" w:sz="2" w:space="0"/>
              <w:left w:val="single" w:color="auto" w:sz="2" w:space="0"/>
              <w:bottom w:val="single" w:color="auto" w:sz="2" w:space="0"/>
              <w:right w:val="single" w:color="auto" w:sz="2" w:space="0"/>
            </w:tcBorders>
          </w:tcPr>
          <w:p w14:paraId="54236F3C">
            <w:pPr>
              <w:spacing w:after="72"/>
              <w:jc w:val="center"/>
              <w:rPr>
                <w:spacing w:val="-4"/>
              </w:rPr>
            </w:pPr>
            <w:r>
              <w:rPr>
                <w:spacing w:val="-4"/>
              </w:rPr>
              <w:t>Year 1</w:t>
            </w:r>
          </w:p>
        </w:tc>
        <w:tc>
          <w:tcPr>
            <w:tcW w:w="1186" w:type="dxa"/>
            <w:tcBorders>
              <w:top w:val="single" w:color="auto" w:sz="2" w:space="0"/>
              <w:left w:val="single" w:color="auto" w:sz="2" w:space="0"/>
              <w:bottom w:val="single" w:color="auto" w:sz="2" w:space="0"/>
              <w:right w:val="single" w:color="auto" w:sz="2" w:space="0"/>
            </w:tcBorders>
          </w:tcPr>
          <w:p w14:paraId="6E6F40D0">
            <w:pPr>
              <w:spacing w:after="72"/>
              <w:jc w:val="center"/>
              <w:rPr>
                <w:spacing w:val="-4"/>
              </w:rPr>
            </w:pPr>
            <w:r>
              <w:rPr>
                <w:spacing w:val="-4"/>
              </w:rPr>
              <w:t>Year 2</w:t>
            </w:r>
          </w:p>
        </w:tc>
        <w:tc>
          <w:tcPr>
            <w:tcW w:w="1190" w:type="dxa"/>
            <w:tcBorders>
              <w:top w:val="single" w:color="auto" w:sz="2" w:space="0"/>
              <w:left w:val="single" w:color="auto" w:sz="2" w:space="0"/>
              <w:bottom w:val="single" w:color="auto" w:sz="2" w:space="0"/>
              <w:right w:val="single" w:color="auto" w:sz="2" w:space="0"/>
            </w:tcBorders>
          </w:tcPr>
          <w:p w14:paraId="3D165A9B">
            <w:pPr>
              <w:spacing w:after="72"/>
              <w:jc w:val="center"/>
              <w:rPr>
                <w:spacing w:val="-4"/>
              </w:rPr>
            </w:pPr>
            <w:r>
              <w:rPr>
                <w:spacing w:val="-4"/>
              </w:rPr>
              <w:t>Year 3</w:t>
            </w:r>
          </w:p>
        </w:tc>
        <w:tc>
          <w:tcPr>
            <w:tcW w:w="1186" w:type="dxa"/>
            <w:tcBorders>
              <w:top w:val="single" w:color="auto" w:sz="2" w:space="0"/>
              <w:left w:val="single" w:color="auto" w:sz="2" w:space="0"/>
              <w:bottom w:val="single" w:color="auto" w:sz="2" w:space="0"/>
              <w:right w:val="single" w:color="auto" w:sz="2" w:space="0"/>
            </w:tcBorders>
          </w:tcPr>
          <w:p w14:paraId="1D9ECDA5">
            <w:pPr>
              <w:spacing w:after="72"/>
              <w:jc w:val="center"/>
              <w:rPr>
                <w:spacing w:val="-4"/>
              </w:rPr>
            </w:pPr>
            <w:r>
              <w:rPr>
                <w:spacing w:val="-4"/>
              </w:rPr>
              <w:t>Year4</w:t>
            </w:r>
          </w:p>
        </w:tc>
        <w:tc>
          <w:tcPr>
            <w:tcW w:w="1240" w:type="dxa"/>
            <w:tcBorders>
              <w:top w:val="single" w:color="auto" w:sz="2" w:space="0"/>
              <w:left w:val="single" w:color="auto" w:sz="2" w:space="0"/>
              <w:bottom w:val="single" w:color="auto" w:sz="2" w:space="0"/>
              <w:right w:val="single" w:color="auto" w:sz="2" w:space="0"/>
            </w:tcBorders>
          </w:tcPr>
          <w:p w14:paraId="7043E48B">
            <w:pPr>
              <w:spacing w:after="72"/>
              <w:jc w:val="center"/>
              <w:rPr>
                <w:spacing w:val="-4"/>
              </w:rPr>
            </w:pPr>
            <w:r>
              <w:rPr>
                <w:spacing w:val="-4"/>
              </w:rPr>
              <w:t>Year 5</w:t>
            </w:r>
          </w:p>
        </w:tc>
      </w:tr>
      <w:tr w14:paraId="2F445E91">
        <w:tblPrEx>
          <w:tblCellMar>
            <w:top w:w="0" w:type="dxa"/>
            <w:left w:w="0" w:type="dxa"/>
            <w:bottom w:w="0" w:type="dxa"/>
            <w:right w:w="0" w:type="dxa"/>
          </w:tblCellMar>
        </w:tblPrEx>
        <w:trPr>
          <w:trHeight w:val="528" w:hRule="exact"/>
        </w:trPr>
        <w:tc>
          <w:tcPr>
            <w:tcW w:w="8942" w:type="dxa"/>
            <w:gridSpan w:val="6"/>
            <w:tcBorders>
              <w:top w:val="single" w:color="auto" w:sz="2" w:space="0"/>
              <w:left w:val="single" w:color="auto" w:sz="2" w:space="0"/>
              <w:bottom w:val="single" w:color="auto" w:sz="2" w:space="0"/>
              <w:right w:val="single" w:color="auto" w:sz="2" w:space="0"/>
            </w:tcBorders>
          </w:tcPr>
          <w:p w14:paraId="58361EB1">
            <w:pPr>
              <w:spacing w:after="72"/>
              <w:ind w:right="2800"/>
              <w:jc w:val="center"/>
              <w:rPr>
                <w:spacing w:val="-4"/>
              </w:rPr>
            </w:pPr>
            <w:r>
              <w:rPr>
                <w:spacing w:val="-4"/>
              </w:rPr>
              <w:t>Statement of Financial Position (Information from Balance Sheet)</w:t>
            </w:r>
          </w:p>
        </w:tc>
      </w:tr>
      <w:tr w14:paraId="3EC616A9">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6CECBA96">
            <w:pPr>
              <w:spacing w:after="324"/>
              <w:ind w:left="68"/>
              <w:rPr>
                <w:spacing w:val="-4"/>
              </w:rPr>
            </w:pPr>
            <w:r>
              <w:rPr>
                <w:spacing w:val="-4"/>
              </w:rPr>
              <w:t>Total Assets (TA)</w:t>
            </w:r>
          </w:p>
        </w:tc>
        <w:tc>
          <w:tcPr>
            <w:tcW w:w="1190" w:type="dxa"/>
            <w:tcBorders>
              <w:top w:val="single" w:color="auto" w:sz="2" w:space="0"/>
              <w:left w:val="single" w:color="auto" w:sz="2" w:space="0"/>
              <w:bottom w:val="single" w:color="auto" w:sz="2" w:space="0"/>
              <w:right w:val="single" w:color="auto" w:sz="2" w:space="0"/>
            </w:tcBorders>
          </w:tcPr>
          <w:p w14:paraId="50BF0B7F">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4C28DC7B">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569F3040">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340AF1B9">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22E82452">
            <w:pPr>
              <w:spacing w:after="324"/>
              <w:ind w:left="68"/>
              <w:rPr>
                <w:spacing w:val="-4"/>
              </w:rPr>
            </w:pPr>
          </w:p>
        </w:tc>
      </w:tr>
      <w:tr w14:paraId="41EC3673">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50602610">
            <w:pPr>
              <w:spacing w:after="324"/>
              <w:ind w:left="68"/>
              <w:rPr>
                <w:spacing w:val="-4"/>
              </w:rPr>
            </w:pPr>
            <w:r>
              <w:rPr>
                <w:spacing w:val="-4"/>
              </w:rPr>
              <w:t>Total Liabilities (TL)</w:t>
            </w:r>
          </w:p>
        </w:tc>
        <w:tc>
          <w:tcPr>
            <w:tcW w:w="1190" w:type="dxa"/>
            <w:tcBorders>
              <w:top w:val="single" w:color="auto" w:sz="2" w:space="0"/>
              <w:left w:val="single" w:color="auto" w:sz="2" w:space="0"/>
              <w:bottom w:val="single" w:color="auto" w:sz="2" w:space="0"/>
              <w:right w:val="single" w:color="auto" w:sz="2" w:space="0"/>
            </w:tcBorders>
          </w:tcPr>
          <w:p w14:paraId="13A11765">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260B4088">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18B755C9">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4C62B239">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015C0303">
            <w:pPr>
              <w:spacing w:after="324"/>
              <w:ind w:left="68"/>
              <w:rPr>
                <w:spacing w:val="-4"/>
              </w:rPr>
            </w:pPr>
          </w:p>
        </w:tc>
      </w:tr>
      <w:tr w14:paraId="188FE69E">
        <w:tblPrEx>
          <w:tblCellMar>
            <w:top w:w="0" w:type="dxa"/>
            <w:left w:w="0" w:type="dxa"/>
            <w:bottom w:w="0" w:type="dxa"/>
            <w:right w:w="0" w:type="dxa"/>
          </w:tblCellMar>
        </w:tblPrEx>
        <w:trPr>
          <w:trHeight w:val="686" w:hRule="exact"/>
        </w:trPr>
        <w:tc>
          <w:tcPr>
            <w:tcW w:w="2950" w:type="dxa"/>
            <w:tcBorders>
              <w:top w:val="single" w:color="auto" w:sz="2" w:space="0"/>
              <w:left w:val="single" w:color="auto" w:sz="2" w:space="0"/>
              <w:bottom w:val="single" w:color="auto" w:sz="2" w:space="0"/>
              <w:right w:val="single" w:color="auto" w:sz="2" w:space="0"/>
            </w:tcBorders>
          </w:tcPr>
          <w:p w14:paraId="1DF1A1A3">
            <w:pPr>
              <w:spacing w:after="324"/>
              <w:ind w:left="68"/>
              <w:rPr>
                <w:spacing w:val="-4"/>
              </w:rPr>
            </w:pPr>
            <w:r>
              <w:rPr>
                <w:spacing w:val="-4"/>
              </w:rPr>
              <w:t>Total Equity/Net Worth (NW)</w:t>
            </w:r>
          </w:p>
        </w:tc>
        <w:tc>
          <w:tcPr>
            <w:tcW w:w="1190" w:type="dxa"/>
            <w:tcBorders>
              <w:top w:val="single" w:color="auto" w:sz="2" w:space="0"/>
              <w:left w:val="single" w:color="auto" w:sz="2" w:space="0"/>
              <w:bottom w:val="single" w:color="auto" w:sz="2" w:space="0"/>
              <w:right w:val="single" w:color="auto" w:sz="2" w:space="0"/>
            </w:tcBorders>
          </w:tcPr>
          <w:p w14:paraId="59D2B092">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02CCC063">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03FD464C">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267E8B29">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5FAD5B2E">
            <w:pPr>
              <w:spacing w:after="324"/>
              <w:ind w:left="68"/>
              <w:rPr>
                <w:spacing w:val="-4"/>
              </w:rPr>
            </w:pPr>
          </w:p>
        </w:tc>
      </w:tr>
      <w:tr w14:paraId="301B9FAD">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638EF098">
            <w:pPr>
              <w:spacing w:after="324"/>
              <w:ind w:left="68"/>
              <w:rPr>
                <w:spacing w:val="-4"/>
              </w:rPr>
            </w:pPr>
            <w:r>
              <w:rPr>
                <w:spacing w:val="-4"/>
              </w:rPr>
              <w:t>Current Assets (CA)</w:t>
            </w:r>
          </w:p>
        </w:tc>
        <w:tc>
          <w:tcPr>
            <w:tcW w:w="1190" w:type="dxa"/>
            <w:tcBorders>
              <w:top w:val="single" w:color="auto" w:sz="2" w:space="0"/>
              <w:left w:val="single" w:color="auto" w:sz="2" w:space="0"/>
              <w:bottom w:val="single" w:color="auto" w:sz="2" w:space="0"/>
              <w:right w:val="single" w:color="auto" w:sz="2" w:space="0"/>
            </w:tcBorders>
          </w:tcPr>
          <w:p w14:paraId="7DB0F612">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08DCFE3D">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21121AA4">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4E94CD0F">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3D8B9D3A">
            <w:pPr>
              <w:spacing w:after="324"/>
              <w:ind w:left="68"/>
              <w:rPr>
                <w:spacing w:val="-4"/>
              </w:rPr>
            </w:pPr>
          </w:p>
        </w:tc>
      </w:tr>
      <w:tr w14:paraId="3C2F3199">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2EC96F03">
            <w:pPr>
              <w:spacing w:after="324"/>
              <w:ind w:left="68"/>
              <w:rPr>
                <w:spacing w:val="-4"/>
              </w:rPr>
            </w:pPr>
            <w:r>
              <w:rPr>
                <w:spacing w:val="-4"/>
              </w:rPr>
              <w:t>Current Liabilities (CL)</w:t>
            </w:r>
          </w:p>
        </w:tc>
        <w:tc>
          <w:tcPr>
            <w:tcW w:w="1190" w:type="dxa"/>
            <w:tcBorders>
              <w:top w:val="single" w:color="auto" w:sz="2" w:space="0"/>
              <w:left w:val="single" w:color="auto" w:sz="2" w:space="0"/>
              <w:bottom w:val="single" w:color="auto" w:sz="2" w:space="0"/>
              <w:right w:val="single" w:color="auto" w:sz="2" w:space="0"/>
            </w:tcBorders>
          </w:tcPr>
          <w:p w14:paraId="00B4A4A7">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2D1D56FD">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599EE3DA">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3F981386">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4831DE6F">
            <w:pPr>
              <w:spacing w:after="324"/>
              <w:ind w:left="68"/>
              <w:rPr>
                <w:spacing w:val="-4"/>
              </w:rPr>
            </w:pPr>
          </w:p>
        </w:tc>
      </w:tr>
      <w:tr w14:paraId="14E33E96">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798E9C49">
            <w:pPr>
              <w:spacing w:after="324"/>
              <w:ind w:left="68"/>
              <w:rPr>
                <w:spacing w:val="-4"/>
              </w:rPr>
            </w:pPr>
            <w:r>
              <w:rPr>
                <w:spacing w:val="-4"/>
              </w:rPr>
              <w:t>Working Capital (WC)</w:t>
            </w:r>
          </w:p>
        </w:tc>
        <w:tc>
          <w:tcPr>
            <w:tcW w:w="1190" w:type="dxa"/>
            <w:tcBorders>
              <w:top w:val="single" w:color="auto" w:sz="2" w:space="0"/>
              <w:left w:val="single" w:color="auto" w:sz="2" w:space="0"/>
              <w:bottom w:val="single" w:color="auto" w:sz="2" w:space="0"/>
              <w:right w:val="single" w:color="auto" w:sz="2" w:space="0"/>
            </w:tcBorders>
          </w:tcPr>
          <w:p w14:paraId="6F0E9753">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1DD04045">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593E46F2">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45348E60">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0C46D843">
            <w:pPr>
              <w:spacing w:after="324"/>
              <w:ind w:left="68"/>
              <w:rPr>
                <w:spacing w:val="-4"/>
              </w:rPr>
            </w:pPr>
          </w:p>
        </w:tc>
      </w:tr>
      <w:tr w14:paraId="1D12802E">
        <w:tblPrEx>
          <w:tblCellMar>
            <w:top w:w="0" w:type="dxa"/>
            <w:left w:w="0" w:type="dxa"/>
            <w:bottom w:w="0" w:type="dxa"/>
            <w:right w:w="0" w:type="dxa"/>
          </w:tblCellMar>
        </w:tblPrEx>
        <w:trPr>
          <w:trHeight w:val="528" w:hRule="exact"/>
        </w:trPr>
        <w:tc>
          <w:tcPr>
            <w:tcW w:w="8942" w:type="dxa"/>
            <w:gridSpan w:val="6"/>
            <w:tcBorders>
              <w:top w:val="single" w:color="auto" w:sz="2" w:space="0"/>
              <w:left w:val="single" w:color="auto" w:sz="2" w:space="0"/>
              <w:bottom w:val="single" w:color="auto" w:sz="2" w:space="0"/>
              <w:right w:val="single" w:color="auto" w:sz="2" w:space="0"/>
            </w:tcBorders>
          </w:tcPr>
          <w:p w14:paraId="6CE4B577">
            <w:pPr>
              <w:spacing w:after="108"/>
              <w:ind w:right="2620"/>
              <w:jc w:val="right"/>
              <w:rPr>
                <w:spacing w:val="-4"/>
              </w:rPr>
            </w:pPr>
            <w:r>
              <w:rPr>
                <w:spacing w:val="-4"/>
              </w:rPr>
              <w:t>Information from Income Statement</w:t>
            </w:r>
          </w:p>
        </w:tc>
      </w:tr>
      <w:tr w14:paraId="585CA7CF">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69CC388E">
            <w:pPr>
              <w:spacing w:after="324"/>
              <w:ind w:left="68"/>
              <w:rPr>
                <w:spacing w:val="-4"/>
              </w:rPr>
            </w:pPr>
            <w:r>
              <w:rPr>
                <w:spacing w:val="-4"/>
              </w:rPr>
              <w:t>Total Revenue (TR)</w:t>
            </w:r>
          </w:p>
        </w:tc>
        <w:tc>
          <w:tcPr>
            <w:tcW w:w="1190" w:type="dxa"/>
            <w:tcBorders>
              <w:top w:val="single" w:color="auto" w:sz="2" w:space="0"/>
              <w:left w:val="single" w:color="auto" w:sz="2" w:space="0"/>
              <w:bottom w:val="single" w:color="auto" w:sz="2" w:space="0"/>
              <w:right w:val="single" w:color="auto" w:sz="2" w:space="0"/>
            </w:tcBorders>
          </w:tcPr>
          <w:p w14:paraId="5AA2833D">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2791AB54">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1A668C23">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6B1ACD4A">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7E428105">
            <w:pPr>
              <w:spacing w:after="324"/>
              <w:ind w:left="68"/>
              <w:rPr>
                <w:spacing w:val="-4"/>
              </w:rPr>
            </w:pPr>
          </w:p>
        </w:tc>
      </w:tr>
      <w:tr w14:paraId="3EA54DA3">
        <w:tblPrEx>
          <w:tblCellMar>
            <w:top w:w="0" w:type="dxa"/>
            <w:left w:w="0" w:type="dxa"/>
            <w:bottom w:w="0" w:type="dxa"/>
            <w:right w:w="0" w:type="dxa"/>
          </w:tblCellMar>
        </w:tblPrEx>
        <w:trPr>
          <w:trHeight w:val="780" w:hRule="exact"/>
        </w:trPr>
        <w:tc>
          <w:tcPr>
            <w:tcW w:w="2950" w:type="dxa"/>
            <w:tcBorders>
              <w:top w:val="single" w:color="auto" w:sz="2" w:space="0"/>
              <w:left w:val="single" w:color="auto" w:sz="2" w:space="0"/>
              <w:bottom w:val="single" w:color="auto" w:sz="2" w:space="0"/>
              <w:right w:val="single" w:color="auto" w:sz="2" w:space="0"/>
            </w:tcBorders>
          </w:tcPr>
          <w:p w14:paraId="759E87F0">
            <w:pPr>
              <w:spacing w:after="324"/>
              <w:ind w:left="68"/>
              <w:rPr>
                <w:spacing w:val="-4"/>
              </w:rPr>
            </w:pPr>
            <w:r>
              <w:rPr>
                <w:spacing w:val="-4"/>
              </w:rPr>
              <w:t>Profits Before Taxes (PBT)</w:t>
            </w:r>
          </w:p>
        </w:tc>
        <w:tc>
          <w:tcPr>
            <w:tcW w:w="1190" w:type="dxa"/>
            <w:tcBorders>
              <w:top w:val="single" w:color="auto" w:sz="2" w:space="0"/>
              <w:left w:val="single" w:color="auto" w:sz="2" w:space="0"/>
              <w:bottom w:val="single" w:color="auto" w:sz="2" w:space="0"/>
              <w:right w:val="single" w:color="auto" w:sz="2" w:space="0"/>
            </w:tcBorders>
          </w:tcPr>
          <w:p w14:paraId="5DD1F6ED">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5AFABBEF">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6008B7DC">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49824C50">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26B6674A">
            <w:pPr>
              <w:spacing w:after="324"/>
              <w:ind w:left="68"/>
              <w:rPr>
                <w:spacing w:val="-4"/>
              </w:rPr>
            </w:pPr>
          </w:p>
        </w:tc>
      </w:tr>
      <w:tr w14:paraId="2AB262AF">
        <w:tblPrEx>
          <w:tblCellMar>
            <w:top w:w="0" w:type="dxa"/>
            <w:left w:w="0" w:type="dxa"/>
            <w:bottom w:w="0" w:type="dxa"/>
            <w:right w:w="0" w:type="dxa"/>
          </w:tblCellMar>
        </w:tblPrEx>
        <w:trPr>
          <w:trHeight w:val="528" w:hRule="exact"/>
        </w:trPr>
        <w:tc>
          <w:tcPr>
            <w:tcW w:w="8942" w:type="dxa"/>
            <w:gridSpan w:val="6"/>
            <w:tcBorders>
              <w:top w:val="single" w:color="auto" w:sz="2" w:space="0"/>
              <w:left w:val="single" w:color="auto" w:sz="2" w:space="0"/>
              <w:bottom w:val="single" w:color="auto" w:sz="2" w:space="0"/>
              <w:right w:val="single" w:color="auto" w:sz="2" w:space="0"/>
            </w:tcBorders>
          </w:tcPr>
          <w:p w14:paraId="66A03231">
            <w:pPr>
              <w:spacing w:after="108"/>
              <w:ind w:right="2620"/>
              <w:jc w:val="right"/>
              <w:rPr>
                <w:spacing w:val="-4"/>
              </w:rPr>
            </w:pPr>
            <w:r>
              <w:rPr>
                <w:spacing w:val="-4"/>
              </w:rPr>
              <w:t xml:space="preserve">Cash Flow Information </w:t>
            </w:r>
          </w:p>
        </w:tc>
      </w:tr>
      <w:tr w14:paraId="78E13685">
        <w:tblPrEx>
          <w:tblCellMar>
            <w:top w:w="0" w:type="dxa"/>
            <w:left w:w="0" w:type="dxa"/>
            <w:bottom w:w="0" w:type="dxa"/>
            <w:right w:w="0" w:type="dxa"/>
          </w:tblCellMar>
        </w:tblPrEx>
        <w:trPr>
          <w:trHeight w:val="682" w:hRule="exact"/>
        </w:trPr>
        <w:tc>
          <w:tcPr>
            <w:tcW w:w="2950" w:type="dxa"/>
            <w:tcBorders>
              <w:top w:val="single" w:color="auto" w:sz="2" w:space="0"/>
              <w:left w:val="single" w:color="auto" w:sz="2" w:space="0"/>
              <w:bottom w:val="single" w:color="auto" w:sz="2" w:space="0"/>
              <w:right w:val="single" w:color="auto" w:sz="2" w:space="0"/>
            </w:tcBorders>
          </w:tcPr>
          <w:p w14:paraId="1880A819">
            <w:pPr>
              <w:spacing w:after="324"/>
              <w:ind w:left="68"/>
              <w:rPr>
                <w:spacing w:val="-4"/>
              </w:rPr>
            </w:pPr>
            <w:r>
              <w:rPr>
                <w:spacing w:val="-4"/>
              </w:rPr>
              <w:t>Cash Flow from Operating Activities</w:t>
            </w:r>
          </w:p>
        </w:tc>
        <w:tc>
          <w:tcPr>
            <w:tcW w:w="1190" w:type="dxa"/>
            <w:tcBorders>
              <w:top w:val="single" w:color="auto" w:sz="2" w:space="0"/>
              <w:left w:val="single" w:color="auto" w:sz="2" w:space="0"/>
              <w:bottom w:val="single" w:color="auto" w:sz="2" w:space="0"/>
              <w:right w:val="single" w:color="auto" w:sz="2" w:space="0"/>
            </w:tcBorders>
          </w:tcPr>
          <w:p w14:paraId="1ABD765D">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717298DC">
            <w:pPr>
              <w:spacing w:after="324"/>
              <w:ind w:left="68"/>
              <w:rPr>
                <w:spacing w:val="-4"/>
              </w:rPr>
            </w:pPr>
          </w:p>
        </w:tc>
        <w:tc>
          <w:tcPr>
            <w:tcW w:w="1190" w:type="dxa"/>
            <w:tcBorders>
              <w:top w:val="single" w:color="auto" w:sz="2" w:space="0"/>
              <w:left w:val="single" w:color="auto" w:sz="2" w:space="0"/>
              <w:bottom w:val="single" w:color="auto" w:sz="2" w:space="0"/>
              <w:right w:val="single" w:color="auto" w:sz="2" w:space="0"/>
            </w:tcBorders>
          </w:tcPr>
          <w:p w14:paraId="545F3046">
            <w:pPr>
              <w:spacing w:after="324"/>
              <w:ind w:left="68"/>
              <w:rPr>
                <w:spacing w:val="-4"/>
              </w:rPr>
            </w:pPr>
          </w:p>
        </w:tc>
        <w:tc>
          <w:tcPr>
            <w:tcW w:w="1186" w:type="dxa"/>
            <w:tcBorders>
              <w:top w:val="single" w:color="auto" w:sz="2" w:space="0"/>
              <w:left w:val="single" w:color="auto" w:sz="2" w:space="0"/>
              <w:bottom w:val="single" w:color="auto" w:sz="2" w:space="0"/>
              <w:right w:val="single" w:color="auto" w:sz="2" w:space="0"/>
            </w:tcBorders>
          </w:tcPr>
          <w:p w14:paraId="62CBCD1C">
            <w:pPr>
              <w:spacing w:after="324"/>
              <w:ind w:left="68"/>
              <w:rPr>
                <w:spacing w:val="-4"/>
              </w:rPr>
            </w:pPr>
          </w:p>
        </w:tc>
        <w:tc>
          <w:tcPr>
            <w:tcW w:w="1240" w:type="dxa"/>
            <w:tcBorders>
              <w:top w:val="single" w:color="auto" w:sz="2" w:space="0"/>
              <w:left w:val="single" w:color="auto" w:sz="2" w:space="0"/>
              <w:bottom w:val="single" w:color="auto" w:sz="2" w:space="0"/>
              <w:right w:val="single" w:color="auto" w:sz="2" w:space="0"/>
            </w:tcBorders>
          </w:tcPr>
          <w:p w14:paraId="3F88A9A7">
            <w:pPr>
              <w:spacing w:after="324"/>
              <w:ind w:left="68"/>
              <w:rPr>
                <w:spacing w:val="-4"/>
              </w:rPr>
            </w:pPr>
          </w:p>
        </w:tc>
      </w:tr>
    </w:tbl>
    <w:p w14:paraId="72F577C3">
      <w:pPr>
        <w:pStyle w:val="174"/>
        <w:spacing w:line="372" w:lineRule="atLeast"/>
        <w:rPr>
          <w:b/>
          <w:bCs/>
          <w:spacing w:val="-2"/>
        </w:rPr>
      </w:pPr>
    </w:p>
    <w:p w14:paraId="4E005FF6">
      <w:pPr>
        <w:spacing w:before="240"/>
        <w:rPr>
          <w:bCs/>
          <w:spacing w:val="-4"/>
        </w:rPr>
      </w:pPr>
      <w:r>
        <w:rPr>
          <w:b/>
          <w:bCs/>
          <w:spacing w:val="-4"/>
        </w:rPr>
        <w:t>2. Sources of Finance</w:t>
      </w:r>
    </w:p>
    <w:p w14:paraId="7F6E3E66">
      <w:pPr>
        <w:rPr>
          <w:rStyle w:val="82"/>
          <w:rFonts w:ascii="Comic Sans MS" w:hAnsi="Comic Sans MS" w:cs="Arial"/>
          <w:spacing w:val="-2"/>
          <w:sz w:val="16"/>
        </w:rPr>
      </w:pPr>
    </w:p>
    <w:p w14:paraId="435CCDAF">
      <w:pPr>
        <w:ind w:right="288"/>
      </w:pPr>
      <w:r>
        <w:t>Specify sources of finance to meet the cash flow requirements on works currently in progress and for future contract commitments.</w:t>
      </w:r>
    </w:p>
    <w:p w14:paraId="5A4B8B83">
      <w:pPr>
        <w:ind w:right="288"/>
        <w:rPr>
          <w:rStyle w:val="82"/>
          <w:spacing w:val="-2"/>
        </w:rPr>
      </w:pPr>
    </w:p>
    <w:tbl>
      <w:tblPr>
        <w:tblStyle w:val="12"/>
        <w:tblW w:w="9540" w:type="dxa"/>
        <w:jc w:val="center"/>
        <w:tblLayout w:type="fixed"/>
        <w:tblCellMar>
          <w:top w:w="0" w:type="dxa"/>
          <w:left w:w="72" w:type="dxa"/>
          <w:bottom w:w="0" w:type="dxa"/>
          <w:right w:w="72" w:type="dxa"/>
        </w:tblCellMar>
      </w:tblPr>
      <w:tblGrid>
        <w:gridCol w:w="540"/>
        <w:gridCol w:w="5760"/>
        <w:gridCol w:w="3240"/>
      </w:tblGrid>
      <w:tr w14:paraId="20367ED0">
        <w:tblPrEx>
          <w:tblCellMar>
            <w:top w:w="0" w:type="dxa"/>
            <w:left w:w="72" w:type="dxa"/>
            <w:bottom w:w="0" w:type="dxa"/>
            <w:right w:w="72" w:type="dxa"/>
          </w:tblCellMar>
        </w:tblPrEx>
        <w:trPr>
          <w:cantSplit/>
          <w:jc w:val="center"/>
        </w:trPr>
        <w:tc>
          <w:tcPr>
            <w:tcW w:w="540" w:type="dxa"/>
            <w:tcBorders>
              <w:top w:val="single" w:color="auto" w:sz="12" w:space="0"/>
              <w:left w:val="single" w:color="auto" w:sz="12" w:space="0"/>
              <w:bottom w:val="single" w:color="auto" w:sz="12" w:space="0"/>
            </w:tcBorders>
            <w:vAlign w:val="center"/>
          </w:tcPr>
          <w:p w14:paraId="1F3411BC">
            <w:pPr>
              <w:suppressAutoHyphens/>
              <w:spacing w:before="120" w:after="120"/>
              <w:jc w:val="center"/>
              <w:rPr>
                <w:rStyle w:val="82"/>
                <w:rFonts w:ascii="Times New Roman" w:hAnsi="Times New Roman"/>
                <w:b/>
                <w:bCs/>
                <w:spacing w:val="-2"/>
                <w:sz w:val="22"/>
              </w:rPr>
            </w:pPr>
            <w:r>
              <w:rPr>
                <w:rStyle w:val="82"/>
                <w:rFonts w:ascii="Times New Roman" w:hAnsi="Times New Roman"/>
                <w:b/>
                <w:bCs/>
                <w:spacing w:val="-2"/>
                <w:sz w:val="22"/>
              </w:rPr>
              <w:t>No.</w:t>
            </w:r>
          </w:p>
        </w:tc>
        <w:tc>
          <w:tcPr>
            <w:tcW w:w="5760" w:type="dxa"/>
            <w:tcBorders>
              <w:top w:val="single" w:color="auto" w:sz="12" w:space="0"/>
              <w:left w:val="single" w:color="auto" w:sz="6" w:space="0"/>
              <w:bottom w:val="single" w:color="auto" w:sz="12" w:space="0"/>
            </w:tcBorders>
          </w:tcPr>
          <w:p w14:paraId="2B99176A">
            <w:pPr>
              <w:suppressAutoHyphens/>
              <w:spacing w:before="120" w:after="120"/>
              <w:jc w:val="center"/>
              <w:rPr>
                <w:rStyle w:val="82"/>
                <w:rFonts w:ascii="Times New Roman" w:hAnsi="Times New Roman"/>
                <w:b/>
                <w:bCs/>
                <w:spacing w:val="-2"/>
                <w:sz w:val="22"/>
              </w:rPr>
            </w:pPr>
            <w:r>
              <w:rPr>
                <w:rStyle w:val="82"/>
                <w:rFonts w:ascii="Times New Roman" w:hAnsi="Times New Roman"/>
                <w:b/>
                <w:bCs/>
                <w:spacing w:val="-2"/>
                <w:sz w:val="22"/>
              </w:rPr>
              <w:t>Source of finance</w:t>
            </w:r>
          </w:p>
        </w:tc>
        <w:tc>
          <w:tcPr>
            <w:tcW w:w="3240" w:type="dxa"/>
            <w:tcBorders>
              <w:top w:val="single" w:color="auto" w:sz="12" w:space="0"/>
              <w:left w:val="single" w:color="auto" w:sz="6" w:space="0"/>
              <w:bottom w:val="single" w:color="auto" w:sz="12" w:space="0"/>
              <w:right w:val="single" w:color="auto" w:sz="12" w:space="0"/>
            </w:tcBorders>
          </w:tcPr>
          <w:p w14:paraId="2B24073D">
            <w:pPr>
              <w:suppressAutoHyphens/>
              <w:spacing w:before="120" w:after="120"/>
              <w:jc w:val="center"/>
              <w:rPr>
                <w:rStyle w:val="82"/>
                <w:rFonts w:ascii="Times New Roman" w:hAnsi="Times New Roman"/>
                <w:b/>
                <w:bCs/>
                <w:spacing w:val="-2"/>
                <w:sz w:val="22"/>
              </w:rPr>
            </w:pPr>
            <w:r>
              <w:rPr>
                <w:rStyle w:val="82"/>
                <w:rFonts w:ascii="Times New Roman" w:hAnsi="Times New Roman"/>
                <w:b/>
                <w:bCs/>
                <w:spacing w:val="-2"/>
                <w:sz w:val="22"/>
              </w:rPr>
              <w:t>Amount (US$ equivalent)</w:t>
            </w:r>
          </w:p>
        </w:tc>
      </w:tr>
      <w:tr w14:paraId="64213EBA">
        <w:tblPrEx>
          <w:tblCellMar>
            <w:top w:w="0" w:type="dxa"/>
            <w:left w:w="72" w:type="dxa"/>
            <w:bottom w:w="0" w:type="dxa"/>
            <w:right w:w="72" w:type="dxa"/>
          </w:tblCellMar>
        </w:tblPrEx>
        <w:trPr>
          <w:cantSplit/>
          <w:jc w:val="center"/>
        </w:trPr>
        <w:tc>
          <w:tcPr>
            <w:tcW w:w="540" w:type="dxa"/>
            <w:tcBorders>
              <w:top w:val="single" w:color="auto" w:sz="12" w:space="0"/>
              <w:left w:val="single" w:color="auto" w:sz="6" w:space="0"/>
            </w:tcBorders>
            <w:vAlign w:val="center"/>
          </w:tcPr>
          <w:p w14:paraId="65ABA842">
            <w:pPr>
              <w:suppressAutoHyphens/>
              <w:jc w:val="center"/>
              <w:rPr>
                <w:rStyle w:val="82"/>
                <w:rFonts w:ascii="Times New Roman" w:hAnsi="Times New Roman"/>
                <w:spacing w:val="-2"/>
              </w:rPr>
            </w:pPr>
            <w:r>
              <w:rPr>
                <w:rStyle w:val="82"/>
                <w:rFonts w:ascii="Times New Roman" w:hAnsi="Times New Roman"/>
                <w:spacing w:val="-2"/>
              </w:rPr>
              <w:t>1</w:t>
            </w:r>
          </w:p>
        </w:tc>
        <w:tc>
          <w:tcPr>
            <w:tcW w:w="5760" w:type="dxa"/>
            <w:tcBorders>
              <w:top w:val="single" w:color="auto" w:sz="12" w:space="0"/>
              <w:left w:val="single" w:color="auto" w:sz="6" w:space="0"/>
            </w:tcBorders>
          </w:tcPr>
          <w:p w14:paraId="0562DCBF">
            <w:pPr>
              <w:suppressAutoHyphens/>
              <w:rPr>
                <w:rStyle w:val="82"/>
                <w:rFonts w:ascii="Times New Roman" w:hAnsi="Times New Roman"/>
                <w:spacing w:val="-2"/>
              </w:rPr>
            </w:pPr>
          </w:p>
          <w:p w14:paraId="3CBB4D06">
            <w:pPr>
              <w:suppressAutoHyphens/>
              <w:spacing w:after="71"/>
              <w:rPr>
                <w:rStyle w:val="82"/>
                <w:rFonts w:ascii="Times New Roman" w:hAnsi="Times New Roman"/>
                <w:spacing w:val="-2"/>
              </w:rPr>
            </w:pPr>
          </w:p>
        </w:tc>
        <w:tc>
          <w:tcPr>
            <w:tcW w:w="3240" w:type="dxa"/>
            <w:tcBorders>
              <w:top w:val="single" w:color="auto" w:sz="12" w:space="0"/>
              <w:left w:val="single" w:color="auto" w:sz="6" w:space="0"/>
              <w:right w:val="single" w:color="auto" w:sz="6" w:space="0"/>
            </w:tcBorders>
          </w:tcPr>
          <w:p w14:paraId="7886BD83">
            <w:pPr>
              <w:suppressAutoHyphens/>
              <w:spacing w:after="71"/>
              <w:rPr>
                <w:rStyle w:val="82"/>
                <w:rFonts w:ascii="Times New Roman" w:hAnsi="Times New Roman"/>
                <w:spacing w:val="-2"/>
              </w:rPr>
            </w:pPr>
          </w:p>
        </w:tc>
      </w:tr>
      <w:tr w14:paraId="6909C19C">
        <w:tblPrEx>
          <w:tblCellMar>
            <w:top w:w="0" w:type="dxa"/>
            <w:left w:w="72" w:type="dxa"/>
            <w:bottom w:w="0" w:type="dxa"/>
            <w:right w:w="72" w:type="dxa"/>
          </w:tblCellMar>
        </w:tblPrEx>
        <w:trPr>
          <w:cantSplit/>
          <w:jc w:val="center"/>
        </w:trPr>
        <w:tc>
          <w:tcPr>
            <w:tcW w:w="540" w:type="dxa"/>
            <w:tcBorders>
              <w:top w:val="single" w:color="auto" w:sz="6" w:space="0"/>
              <w:left w:val="single" w:color="auto" w:sz="6" w:space="0"/>
            </w:tcBorders>
            <w:vAlign w:val="center"/>
          </w:tcPr>
          <w:p w14:paraId="6A705463">
            <w:pPr>
              <w:suppressAutoHyphens/>
              <w:jc w:val="center"/>
              <w:rPr>
                <w:rStyle w:val="82"/>
                <w:rFonts w:ascii="Times New Roman" w:hAnsi="Times New Roman"/>
                <w:spacing w:val="-2"/>
              </w:rPr>
            </w:pPr>
            <w:r>
              <w:rPr>
                <w:rStyle w:val="82"/>
                <w:rFonts w:ascii="Times New Roman" w:hAnsi="Times New Roman"/>
                <w:spacing w:val="-2"/>
              </w:rPr>
              <w:t>2</w:t>
            </w:r>
          </w:p>
        </w:tc>
        <w:tc>
          <w:tcPr>
            <w:tcW w:w="5760" w:type="dxa"/>
            <w:tcBorders>
              <w:top w:val="single" w:color="auto" w:sz="6" w:space="0"/>
              <w:left w:val="single" w:color="auto" w:sz="6" w:space="0"/>
            </w:tcBorders>
          </w:tcPr>
          <w:p w14:paraId="72624C9A">
            <w:pPr>
              <w:suppressAutoHyphens/>
              <w:rPr>
                <w:rStyle w:val="82"/>
                <w:rFonts w:ascii="Times New Roman" w:hAnsi="Times New Roman"/>
                <w:spacing w:val="-2"/>
              </w:rPr>
            </w:pPr>
          </w:p>
          <w:p w14:paraId="4021ACB4">
            <w:pPr>
              <w:suppressAutoHyphens/>
              <w:spacing w:after="71"/>
              <w:rPr>
                <w:rStyle w:val="82"/>
                <w:rFonts w:ascii="Times New Roman" w:hAnsi="Times New Roman"/>
                <w:spacing w:val="-2"/>
              </w:rPr>
            </w:pPr>
          </w:p>
        </w:tc>
        <w:tc>
          <w:tcPr>
            <w:tcW w:w="3240" w:type="dxa"/>
            <w:tcBorders>
              <w:top w:val="single" w:color="auto" w:sz="6" w:space="0"/>
              <w:left w:val="single" w:color="auto" w:sz="6" w:space="0"/>
              <w:right w:val="single" w:color="auto" w:sz="6" w:space="0"/>
            </w:tcBorders>
          </w:tcPr>
          <w:p w14:paraId="66EB3980">
            <w:pPr>
              <w:suppressAutoHyphens/>
              <w:spacing w:after="71"/>
              <w:rPr>
                <w:rStyle w:val="82"/>
                <w:rFonts w:ascii="Times New Roman" w:hAnsi="Times New Roman"/>
                <w:spacing w:val="-2"/>
              </w:rPr>
            </w:pPr>
          </w:p>
        </w:tc>
      </w:tr>
      <w:tr w14:paraId="29530837">
        <w:tblPrEx>
          <w:tblCellMar>
            <w:top w:w="0" w:type="dxa"/>
            <w:left w:w="72" w:type="dxa"/>
            <w:bottom w:w="0" w:type="dxa"/>
            <w:right w:w="72" w:type="dxa"/>
          </w:tblCellMar>
        </w:tblPrEx>
        <w:trPr>
          <w:cantSplit/>
          <w:jc w:val="center"/>
        </w:trPr>
        <w:tc>
          <w:tcPr>
            <w:tcW w:w="540" w:type="dxa"/>
            <w:tcBorders>
              <w:top w:val="single" w:color="auto" w:sz="6" w:space="0"/>
              <w:left w:val="single" w:color="auto" w:sz="6" w:space="0"/>
            </w:tcBorders>
            <w:vAlign w:val="center"/>
          </w:tcPr>
          <w:p w14:paraId="36555CE8">
            <w:pPr>
              <w:suppressAutoHyphens/>
              <w:jc w:val="center"/>
              <w:rPr>
                <w:rStyle w:val="82"/>
                <w:rFonts w:ascii="Times New Roman" w:hAnsi="Times New Roman"/>
                <w:spacing w:val="-2"/>
              </w:rPr>
            </w:pPr>
            <w:r>
              <w:rPr>
                <w:rStyle w:val="82"/>
                <w:rFonts w:ascii="Times New Roman" w:hAnsi="Times New Roman"/>
                <w:spacing w:val="-2"/>
              </w:rPr>
              <w:t>3</w:t>
            </w:r>
          </w:p>
        </w:tc>
        <w:tc>
          <w:tcPr>
            <w:tcW w:w="5760" w:type="dxa"/>
            <w:tcBorders>
              <w:top w:val="single" w:color="auto" w:sz="6" w:space="0"/>
              <w:left w:val="single" w:color="auto" w:sz="6" w:space="0"/>
            </w:tcBorders>
          </w:tcPr>
          <w:p w14:paraId="03DA04F4">
            <w:pPr>
              <w:suppressAutoHyphens/>
              <w:rPr>
                <w:rStyle w:val="82"/>
                <w:rFonts w:ascii="Times New Roman" w:hAnsi="Times New Roman"/>
                <w:spacing w:val="-2"/>
              </w:rPr>
            </w:pPr>
          </w:p>
          <w:p w14:paraId="5DFCC1DB">
            <w:pPr>
              <w:suppressAutoHyphens/>
              <w:spacing w:after="71"/>
              <w:rPr>
                <w:rStyle w:val="82"/>
                <w:rFonts w:ascii="Times New Roman" w:hAnsi="Times New Roman"/>
                <w:spacing w:val="-2"/>
              </w:rPr>
            </w:pPr>
          </w:p>
        </w:tc>
        <w:tc>
          <w:tcPr>
            <w:tcW w:w="3240" w:type="dxa"/>
            <w:tcBorders>
              <w:top w:val="single" w:color="auto" w:sz="6" w:space="0"/>
              <w:left w:val="single" w:color="auto" w:sz="6" w:space="0"/>
              <w:right w:val="single" w:color="auto" w:sz="6" w:space="0"/>
            </w:tcBorders>
          </w:tcPr>
          <w:p w14:paraId="44A5D7C2">
            <w:pPr>
              <w:suppressAutoHyphens/>
              <w:spacing w:after="71"/>
              <w:rPr>
                <w:rStyle w:val="82"/>
                <w:rFonts w:ascii="Times New Roman" w:hAnsi="Times New Roman"/>
                <w:spacing w:val="-2"/>
              </w:rPr>
            </w:pPr>
          </w:p>
        </w:tc>
      </w:tr>
      <w:tr w14:paraId="75B8C3C2">
        <w:tblPrEx>
          <w:tblCellMar>
            <w:top w:w="0" w:type="dxa"/>
            <w:left w:w="72" w:type="dxa"/>
            <w:bottom w:w="0" w:type="dxa"/>
            <w:right w:w="72" w:type="dxa"/>
          </w:tblCellMar>
        </w:tblPrEx>
        <w:trPr>
          <w:cantSplit/>
          <w:jc w:val="center"/>
        </w:trPr>
        <w:tc>
          <w:tcPr>
            <w:tcW w:w="540" w:type="dxa"/>
            <w:tcBorders>
              <w:top w:val="single" w:color="auto" w:sz="6" w:space="0"/>
              <w:left w:val="single" w:color="auto" w:sz="6" w:space="0"/>
              <w:bottom w:val="single" w:color="auto" w:sz="6" w:space="0"/>
            </w:tcBorders>
            <w:vAlign w:val="center"/>
          </w:tcPr>
          <w:p w14:paraId="716EFE8B">
            <w:pPr>
              <w:suppressAutoHyphens/>
              <w:jc w:val="center"/>
              <w:rPr>
                <w:rStyle w:val="82"/>
                <w:spacing w:val="-2"/>
              </w:rPr>
            </w:pPr>
          </w:p>
        </w:tc>
        <w:tc>
          <w:tcPr>
            <w:tcW w:w="5760" w:type="dxa"/>
            <w:tcBorders>
              <w:top w:val="single" w:color="auto" w:sz="6" w:space="0"/>
              <w:left w:val="single" w:color="auto" w:sz="6" w:space="0"/>
              <w:bottom w:val="single" w:color="auto" w:sz="6" w:space="0"/>
            </w:tcBorders>
          </w:tcPr>
          <w:p w14:paraId="4A280F29">
            <w:pPr>
              <w:suppressAutoHyphens/>
              <w:rPr>
                <w:rStyle w:val="82"/>
                <w:spacing w:val="-2"/>
              </w:rPr>
            </w:pPr>
          </w:p>
          <w:p w14:paraId="7DDA6AB0">
            <w:pPr>
              <w:suppressAutoHyphens/>
              <w:spacing w:after="71"/>
              <w:rPr>
                <w:rStyle w:val="82"/>
                <w:spacing w:val="-2"/>
              </w:rPr>
            </w:pPr>
          </w:p>
        </w:tc>
        <w:tc>
          <w:tcPr>
            <w:tcW w:w="3240" w:type="dxa"/>
            <w:tcBorders>
              <w:top w:val="single" w:color="auto" w:sz="6" w:space="0"/>
              <w:left w:val="single" w:color="auto" w:sz="6" w:space="0"/>
              <w:bottom w:val="single" w:color="auto" w:sz="6" w:space="0"/>
              <w:right w:val="single" w:color="auto" w:sz="6" w:space="0"/>
            </w:tcBorders>
          </w:tcPr>
          <w:p w14:paraId="3F3BD720">
            <w:pPr>
              <w:suppressAutoHyphens/>
              <w:spacing w:after="71"/>
              <w:rPr>
                <w:rStyle w:val="82"/>
                <w:spacing w:val="-2"/>
              </w:rPr>
            </w:pPr>
          </w:p>
        </w:tc>
      </w:tr>
    </w:tbl>
    <w:p w14:paraId="4C3AE136">
      <w:pPr>
        <w:pStyle w:val="174"/>
        <w:spacing w:line="372" w:lineRule="atLeast"/>
        <w:rPr>
          <w:b/>
          <w:bCs/>
          <w:spacing w:val="-2"/>
        </w:rPr>
      </w:pPr>
    </w:p>
    <w:p w14:paraId="09DEB8A6">
      <w:pPr>
        <w:pStyle w:val="174"/>
        <w:spacing w:line="372" w:lineRule="atLeast"/>
        <w:rPr>
          <w:b/>
          <w:bCs/>
          <w:spacing w:val="-2"/>
        </w:rPr>
      </w:pPr>
      <w:r>
        <w:rPr>
          <w:b/>
          <w:bCs/>
          <w:spacing w:val="-2"/>
        </w:rPr>
        <w:t>2. Financial documents</w:t>
      </w:r>
    </w:p>
    <w:p w14:paraId="405E7E96">
      <w:pPr>
        <w:rPr>
          <w:spacing w:val="-2"/>
        </w:rPr>
      </w:pPr>
    </w:p>
    <w:p w14:paraId="042B28DF">
      <w:pPr>
        <w:spacing w:line="264" w:lineRule="exact"/>
        <w:rPr>
          <w:spacing w:val="-7"/>
        </w:rPr>
      </w:pPr>
      <w:r>
        <w:rPr>
          <w:spacing w:val="-5"/>
        </w:rPr>
        <w:t xml:space="preserve">The Bidder and its parties shall provide copies of financial statements for </w:t>
      </w:r>
      <w:r>
        <w:rPr>
          <w:i/>
          <w:spacing w:val="-5"/>
        </w:rPr>
        <w:t>___________</w:t>
      </w:r>
      <w:r>
        <w:rPr>
          <w:spacing w:val="-5"/>
        </w:rPr>
        <w:t xml:space="preserve">years pursuant Section III, Evaluation and Qualifications Criteria, </w:t>
      </w:r>
      <w:r>
        <w:rPr>
          <w:spacing w:val="-7"/>
        </w:rPr>
        <w:t>Sub-factor 3.2. The financial statements shall:</w:t>
      </w:r>
    </w:p>
    <w:p w14:paraId="06CBA777">
      <w:pPr>
        <w:rPr>
          <w:spacing w:val="-2"/>
        </w:rPr>
      </w:pPr>
    </w:p>
    <w:p w14:paraId="4DE43966">
      <w:pPr>
        <w:pStyle w:val="182"/>
        <w:ind w:left="720"/>
        <w:rPr>
          <w:spacing w:val="-2"/>
        </w:rPr>
      </w:pPr>
      <w:r>
        <w:rPr>
          <w:spacing w:val="-2"/>
        </w:rPr>
        <w:t xml:space="preserve">(a) </w:t>
      </w:r>
      <w:r>
        <w:rPr>
          <w:spacing w:val="-2"/>
        </w:rPr>
        <w:tab/>
      </w:r>
      <w:r>
        <w:rPr>
          <w:spacing w:val="-2"/>
        </w:rPr>
        <w:t>reflect the financial situation of the Bidder or in case of JV member , and not an affiliated entity  (such as parent company or group member).</w:t>
      </w:r>
    </w:p>
    <w:p w14:paraId="477AEE99">
      <w:pPr>
        <w:ind w:left="720"/>
        <w:rPr>
          <w:spacing w:val="-2"/>
        </w:rPr>
      </w:pPr>
    </w:p>
    <w:p w14:paraId="522036AD">
      <w:pPr>
        <w:pStyle w:val="174"/>
        <w:spacing w:line="240" w:lineRule="auto"/>
        <w:ind w:left="720" w:hanging="360"/>
        <w:rPr>
          <w:spacing w:val="-2"/>
        </w:rPr>
      </w:pPr>
      <w:r>
        <w:rPr>
          <w:spacing w:val="-2"/>
        </w:rPr>
        <w:t>(b)</w:t>
      </w:r>
      <w:r>
        <w:rPr>
          <w:spacing w:val="-2"/>
        </w:rPr>
        <w:tab/>
      </w:r>
      <w:r>
        <w:rPr>
          <w:spacing w:val="-2"/>
        </w:rPr>
        <w:t>be independently audited or certified in accordance with local legislation.</w:t>
      </w:r>
    </w:p>
    <w:p w14:paraId="38DE758C">
      <w:pPr>
        <w:ind w:left="720"/>
        <w:rPr>
          <w:spacing w:val="-2"/>
        </w:rPr>
      </w:pPr>
    </w:p>
    <w:p w14:paraId="49504883">
      <w:pPr>
        <w:pStyle w:val="174"/>
        <w:spacing w:line="240" w:lineRule="auto"/>
        <w:ind w:left="720" w:hanging="360"/>
        <w:rPr>
          <w:spacing w:val="-2"/>
        </w:rPr>
      </w:pPr>
      <w:r>
        <w:rPr>
          <w:spacing w:val="-2"/>
        </w:rPr>
        <w:t>(c)</w:t>
      </w:r>
      <w:r>
        <w:rPr>
          <w:spacing w:val="-2"/>
        </w:rPr>
        <w:tab/>
      </w:r>
      <w:r>
        <w:rPr>
          <w:spacing w:val="-2"/>
        </w:rPr>
        <w:t>be complete, including all notes to the financial statements.</w:t>
      </w:r>
    </w:p>
    <w:p w14:paraId="27FA9C76">
      <w:pPr>
        <w:ind w:left="720"/>
        <w:rPr>
          <w:spacing w:val="-2"/>
        </w:rPr>
      </w:pPr>
    </w:p>
    <w:p w14:paraId="545130A9">
      <w:pPr>
        <w:pStyle w:val="182"/>
        <w:ind w:left="720"/>
        <w:rPr>
          <w:spacing w:val="-5"/>
        </w:rPr>
      </w:pPr>
      <w:r>
        <w:rPr>
          <w:spacing w:val="-2"/>
        </w:rPr>
        <w:t>(d)</w:t>
      </w:r>
      <w:r>
        <w:rPr>
          <w:spacing w:val="-2"/>
        </w:rPr>
        <w:tab/>
      </w:r>
      <w:r>
        <w:rPr>
          <w:spacing w:val="-2"/>
        </w:rPr>
        <w:t>correspond to accounting periods already completed and audited</w:t>
      </w:r>
      <w:r>
        <w:rPr>
          <w:spacing w:val="-5"/>
        </w:rPr>
        <w:t>.</w:t>
      </w:r>
    </w:p>
    <w:p w14:paraId="49C49C69">
      <w:pPr>
        <w:rPr>
          <w:spacing w:val="-2"/>
        </w:rPr>
      </w:pPr>
    </w:p>
    <w:p w14:paraId="16B139E5">
      <w:pPr>
        <w:spacing w:after="432" w:line="264" w:lineRule="exact"/>
        <w:ind w:left="360" w:hanging="360"/>
        <w:rPr>
          <w:spacing w:val="-2"/>
        </w:rPr>
      </w:pPr>
      <w:r>
        <w:rPr>
          <w:rFonts w:ascii="MS Mincho" w:hAnsi="MS Mincho" w:eastAsia="MS Mincho" w:cs="MS Mincho"/>
          <w:spacing w:val="-2"/>
        </w:rPr>
        <w:sym w:font="Wingdings" w:char="F0A8"/>
      </w:r>
      <w:r>
        <w:rPr>
          <w:spacing w:val="-4"/>
        </w:rPr>
        <w:tab/>
      </w:r>
      <w:r>
        <w:rPr>
          <w:spacing w:val="-6"/>
        </w:rPr>
        <w:t>Attached are copies of financial statements</w:t>
      </w:r>
      <w:r>
        <w:rPr>
          <w:rStyle w:val="28"/>
          <w:spacing w:val="-6"/>
        </w:rPr>
        <w:footnoteReference w:id="17"/>
      </w:r>
      <w:r>
        <w:rPr>
          <w:spacing w:val="-6"/>
        </w:rPr>
        <w:t xml:space="preserve"> </w:t>
      </w:r>
      <w:r>
        <w:rPr>
          <w:spacing w:val="-2"/>
        </w:rPr>
        <w:t xml:space="preserve"> for the </w:t>
      </w:r>
      <w:r>
        <w:rPr>
          <w:i/>
          <w:iCs/>
          <w:sz w:val="22"/>
          <w:szCs w:val="22"/>
        </w:rPr>
        <w:t>____________</w:t>
      </w:r>
      <w:r>
        <w:rPr>
          <w:spacing w:val="-2"/>
        </w:rPr>
        <w:t>years required above; and complying with the requirements</w:t>
      </w:r>
    </w:p>
    <w:bookmarkEnd w:id="468"/>
    <w:bookmarkEnd w:id="469"/>
    <w:p w14:paraId="2806C030"/>
    <w:p w14:paraId="2607BB8B">
      <w:pPr>
        <w:jc w:val="center"/>
      </w:pPr>
    </w:p>
    <w:p w14:paraId="11B28FA0"/>
    <w:p w14:paraId="0A3CB596">
      <w:pPr>
        <w:jc w:val="center"/>
        <w:rPr>
          <w:b/>
          <w:sz w:val="32"/>
          <w:szCs w:val="32"/>
        </w:rPr>
      </w:pPr>
      <w:r>
        <w:rPr>
          <w:b/>
        </w:rPr>
        <w:br w:type="page"/>
      </w:r>
      <w:bookmarkStart w:id="471" w:name="_Toc498850121"/>
      <w:bookmarkEnd w:id="471"/>
      <w:bookmarkStart w:id="472" w:name="_Toc498851726"/>
      <w:bookmarkEnd w:id="472"/>
      <w:bookmarkStart w:id="473" w:name="_Toc498849282"/>
      <w:bookmarkEnd w:id="473"/>
      <w:bookmarkStart w:id="474" w:name="_Toc23215169"/>
      <w:bookmarkStart w:id="475" w:name="_Toc4405766"/>
      <w:bookmarkStart w:id="476" w:name="_Toc4390861"/>
    </w:p>
    <w:p w14:paraId="560EE168">
      <w:pPr>
        <w:pStyle w:val="156"/>
      </w:pPr>
      <w:bookmarkStart w:id="477" w:name="_Toc178519609"/>
      <w:r>
        <w:t xml:space="preserve">Form FIN - 3.2: </w:t>
      </w:r>
      <w:bookmarkStart w:id="478" w:name="_Toc108424567"/>
      <w:r>
        <w:t>Average Annual Construction Turnover</w:t>
      </w:r>
      <w:bookmarkEnd w:id="477"/>
      <w:bookmarkEnd w:id="478"/>
    </w:p>
    <w:p w14:paraId="13EA292D">
      <w:pPr>
        <w:spacing w:before="288" w:after="324" w:line="264" w:lineRule="exact"/>
        <w:jc w:val="right"/>
        <w:rPr>
          <w:spacing w:val="-4"/>
        </w:rPr>
      </w:pPr>
      <w:r>
        <w:rPr>
          <w:spacing w:val="-4"/>
        </w:rPr>
        <w:t xml:space="preserve">Bidder’s Name: </w:t>
      </w:r>
      <w:r>
        <w:rPr>
          <w:i/>
          <w:iCs/>
          <w:spacing w:val="-6"/>
        </w:rPr>
        <w:t>________________</w:t>
      </w:r>
      <w:r>
        <w:rPr>
          <w:i/>
          <w:iCs/>
          <w:spacing w:val="-6"/>
        </w:rPr>
        <w:br w:type="textWrapping"/>
      </w:r>
      <w:r>
        <w:rPr>
          <w:spacing w:val="-4"/>
        </w:rPr>
        <w:t xml:space="preserve">Date: </w:t>
      </w:r>
      <w:r>
        <w:rPr>
          <w:i/>
          <w:iCs/>
          <w:spacing w:val="-6"/>
        </w:rPr>
        <w:t>______________________</w:t>
      </w:r>
      <w:r>
        <w:rPr>
          <w:i/>
          <w:iCs/>
          <w:spacing w:val="-6"/>
        </w:rPr>
        <w:br w:type="textWrapping"/>
      </w:r>
      <w:r>
        <w:rPr>
          <w:spacing w:val="-4"/>
        </w:rPr>
        <w:t>Joint Venture Member’s Name_________________________</w:t>
      </w:r>
      <w:r>
        <w:rPr>
          <w:i/>
          <w:iCs/>
          <w:spacing w:val="-6"/>
        </w:rPr>
        <w:br w:type="textWrapping"/>
      </w:r>
      <w:r>
        <w:rPr>
          <w:rFonts w:hint="default"/>
          <w:i/>
          <w:iCs/>
          <w:spacing w:val="-6"/>
          <w:lang w:val="en-US"/>
        </w:rPr>
        <w:t>N</w:t>
      </w:r>
      <w:r>
        <w:rPr>
          <w:spacing w:val="-4"/>
        </w:rPr>
        <w:t xml:space="preserve">CB No. and title: </w:t>
      </w:r>
      <w:r>
        <w:rPr>
          <w:i/>
          <w:iCs/>
          <w:spacing w:val="-6"/>
        </w:rPr>
        <w:t>___________________________</w:t>
      </w:r>
      <w:r>
        <w:rPr>
          <w:i/>
          <w:iCs/>
          <w:spacing w:val="-6"/>
        </w:rPr>
        <w:br w:type="textWrapping"/>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p w14:paraId="193A6763">
      <w:pPr>
        <w:rPr>
          <w:bCs/>
          <w:spacing w:val="-2"/>
        </w:rPr>
      </w:pP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58"/>
        <w:gridCol w:w="1154"/>
        <w:gridCol w:w="2214"/>
        <w:gridCol w:w="2042"/>
        <w:gridCol w:w="2608"/>
      </w:tblGrid>
      <w:tr w14:paraId="34F002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12" w:type="dxa"/>
            <w:gridSpan w:val="2"/>
          </w:tcPr>
          <w:p w14:paraId="709CF1BE">
            <w:pPr>
              <w:spacing w:before="40" w:after="120"/>
              <w:jc w:val="center"/>
              <w:rPr>
                <w:b/>
                <w:bCs/>
                <w:spacing w:val="-2"/>
              </w:rPr>
            </w:pPr>
          </w:p>
        </w:tc>
        <w:tc>
          <w:tcPr>
            <w:tcW w:w="6864" w:type="dxa"/>
            <w:gridSpan w:val="3"/>
          </w:tcPr>
          <w:p w14:paraId="4FF2E961">
            <w:pPr>
              <w:spacing w:before="40" w:after="120"/>
              <w:jc w:val="center"/>
            </w:pPr>
            <w:r>
              <w:rPr>
                <w:b/>
                <w:bCs/>
                <w:spacing w:val="-2"/>
              </w:rPr>
              <w:t>Annual turnover data (construction only)</w:t>
            </w:r>
          </w:p>
        </w:tc>
      </w:tr>
      <w:tr w14:paraId="65AE5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558" w:type="dxa"/>
          </w:tcPr>
          <w:p w14:paraId="76A3C23F">
            <w:pPr>
              <w:spacing w:before="40" w:after="120"/>
            </w:pPr>
            <w:r>
              <w:rPr>
                <w:b/>
                <w:bCs/>
                <w:spacing w:val="-2"/>
              </w:rPr>
              <w:t>Year</w:t>
            </w:r>
          </w:p>
        </w:tc>
        <w:tc>
          <w:tcPr>
            <w:tcW w:w="3368" w:type="dxa"/>
            <w:gridSpan w:val="2"/>
          </w:tcPr>
          <w:p w14:paraId="035FE074">
            <w:pPr>
              <w:spacing w:before="40" w:after="120"/>
              <w:rPr>
                <w:b/>
                <w:bCs/>
                <w:spacing w:val="-2"/>
              </w:rPr>
            </w:pPr>
            <w:r>
              <w:rPr>
                <w:b/>
                <w:bCs/>
                <w:spacing w:val="-2"/>
              </w:rPr>
              <w:t xml:space="preserve">Amount </w:t>
            </w:r>
          </w:p>
          <w:p w14:paraId="10327578">
            <w:pPr>
              <w:spacing w:before="40" w:after="120"/>
            </w:pPr>
            <w:r>
              <w:rPr>
                <w:b/>
                <w:bCs/>
                <w:spacing w:val="-2"/>
              </w:rPr>
              <w:t>Currency</w:t>
            </w:r>
          </w:p>
        </w:tc>
        <w:tc>
          <w:tcPr>
            <w:tcW w:w="2042" w:type="dxa"/>
          </w:tcPr>
          <w:p w14:paraId="7AD14053">
            <w:pPr>
              <w:spacing w:before="40" w:after="120"/>
              <w:rPr>
                <w:b/>
                <w:bCs/>
                <w:spacing w:val="-2"/>
              </w:rPr>
            </w:pPr>
            <w:r>
              <w:rPr>
                <w:b/>
                <w:bCs/>
                <w:spacing w:val="-2"/>
              </w:rPr>
              <w:t>Exchange rate</w:t>
            </w:r>
          </w:p>
        </w:tc>
        <w:tc>
          <w:tcPr>
            <w:tcW w:w="2608" w:type="dxa"/>
          </w:tcPr>
          <w:p w14:paraId="489DB826">
            <w:pPr>
              <w:spacing w:before="40" w:after="120"/>
            </w:pPr>
            <w:r>
              <w:rPr>
                <w:b/>
                <w:bCs/>
                <w:spacing w:val="-2"/>
              </w:rPr>
              <w:t>USD equivalent</w:t>
            </w:r>
          </w:p>
        </w:tc>
      </w:tr>
      <w:tr w14:paraId="3CE4E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8" w:type="dxa"/>
          </w:tcPr>
          <w:p w14:paraId="6C5A17D2">
            <w:pPr>
              <w:spacing w:before="40" w:after="120"/>
            </w:pPr>
            <w:r>
              <w:rPr>
                <w:bCs/>
                <w:i/>
                <w:iCs/>
                <w:spacing w:val="-5"/>
              </w:rPr>
              <w:t>[indicate year]</w:t>
            </w:r>
          </w:p>
        </w:tc>
        <w:tc>
          <w:tcPr>
            <w:tcW w:w="3368" w:type="dxa"/>
            <w:gridSpan w:val="2"/>
          </w:tcPr>
          <w:p w14:paraId="5750C45B">
            <w:pPr>
              <w:spacing w:before="40" w:after="120"/>
            </w:pPr>
            <w:r>
              <w:rPr>
                <w:bCs/>
                <w:i/>
                <w:iCs/>
              </w:rPr>
              <w:t>[insert amount and indicate currency]</w:t>
            </w:r>
          </w:p>
        </w:tc>
        <w:tc>
          <w:tcPr>
            <w:tcW w:w="2042" w:type="dxa"/>
          </w:tcPr>
          <w:p w14:paraId="5089B4A5">
            <w:pPr>
              <w:spacing w:before="40" w:after="120"/>
              <w:rPr>
                <w:bCs/>
                <w:i/>
                <w:iCs/>
              </w:rPr>
            </w:pPr>
          </w:p>
        </w:tc>
        <w:tc>
          <w:tcPr>
            <w:tcW w:w="2608" w:type="dxa"/>
          </w:tcPr>
          <w:p w14:paraId="4DE3F2C2">
            <w:pPr>
              <w:spacing w:before="40" w:after="120"/>
            </w:pPr>
          </w:p>
        </w:tc>
      </w:tr>
      <w:tr w14:paraId="64E270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558" w:type="dxa"/>
          </w:tcPr>
          <w:p w14:paraId="358B0A3B">
            <w:pPr>
              <w:spacing w:before="40" w:after="120"/>
              <w:rPr>
                <w:b/>
                <w:bCs/>
                <w:spacing w:val="-2"/>
              </w:rPr>
            </w:pPr>
          </w:p>
        </w:tc>
        <w:tc>
          <w:tcPr>
            <w:tcW w:w="3368" w:type="dxa"/>
            <w:gridSpan w:val="2"/>
          </w:tcPr>
          <w:p w14:paraId="321454EC">
            <w:pPr>
              <w:spacing w:before="40" w:after="120"/>
            </w:pPr>
          </w:p>
        </w:tc>
        <w:tc>
          <w:tcPr>
            <w:tcW w:w="2042" w:type="dxa"/>
          </w:tcPr>
          <w:p w14:paraId="510AB341">
            <w:pPr>
              <w:spacing w:before="40" w:after="120"/>
            </w:pPr>
          </w:p>
        </w:tc>
        <w:tc>
          <w:tcPr>
            <w:tcW w:w="2608" w:type="dxa"/>
          </w:tcPr>
          <w:p w14:paraId="228BB66E">
            <w:pPr>
              <w:spacing w:before="40" w:after="120"/>
            </w:pPr>
          </w:p>
        </w:tc>
      </w:tr>
      <w:tr w14:paraId="1867F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8" w:type="dxa"/>
          </w:tcPr>
          <w:p w14:paraId="5DFFF6F6">
            <w:pPr>
              <w:spacing w:before="40" w:after="120"/>
              <w:rPr>
                <w:b/>
                <w:bCs/>
                <w:spacing w:val="-2"/>
              </w:rPr>
            </w:pPr>
          </w:p>
        </w:tc>
        <w:tc>
          <w:tcPr>
            <w:tcW w:w="3368" w:type="dxa"/>
            <w:gridSpan w:val="2"/>
          </w:tcPr>
          <w:p w14:paraId="3FB234C0">
            <w:pPr>
              <w:spacing w:before="40" w:after="120"/>
            </w:pPr>
          </w:p>
        </w:tc>
        <w:tc>
          <w:tcPr>
            <w:tcW w:w="2042" w:type="dxa"/>
          </w:tcPr>
          <w:p w14:paraId="329E8D7B">
            <w:pPr>
              <w:spacing w:before="40" w:after="120"/>
            </w:pPr>
          </w:p>
        </w:tc>
        <w:tc>
          <w:tcPr>
            <w:tcW w:w="2608" w:type="dxa"/>
          </w:tcPr>
          <w:p w14:paraId="07A67876">
            <w:pPr>
              <w:spacing w:before="40" w:after="120"/>
            </w:pPr>
          </w:p>
        </w:tc>
      </w:tr>
      <w:tr w14:paraId="1A21B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8" w:type="dxa"/>
          </w:tcPr>
          <w:p w14:paraId="66E22050">
            <w:pPr>
              <w:spacing w:before="40" w:after="120"/>
              <w:rPr>
                <w:b/>
                <w:bCs/>
                <w:spacing w:val="-2"/>
              </w:rPr>
            </w:pPr>
          </w:p>
        </w:tc>
        <w:tc>
          <w:tcPr>
            <w:tcW w:w="3368" w:type="dxa"/>
            <w:gridSpan w:val="2"/>
          </w:tcPr>
          <w:p w14:paraId="0BFE8AB0">
            <w:pPr>
              <w:spacing w:before="40" w:after="120"/>
            </w:pPr>
          </w:p>
        </w:tc>
        <w:tc>
          <w:tcPr>
            <w:tcW w:w="2042" w:type="dxa"/>
          </w:tcPr>
          <w:p w14:paraId="3F1B2B73">
            <w:pPr>
              <w:spacing w:before="40" w:after="120"/>
            </w:pPr>
          </w:p>
        </w:tc>
        <w:tc>
          <w:tcPr>
            <w:tcW w:w="2608" w:type="dxa"/>
          </w:tcPr>
          <w:p w14:paraId="105EA662">
            <w:pPr>
              <w:spacing w:before="40" w:after="120"/>
            </w:pPr>
          </w:p>
        </w:tc>
      </w:tr>
      <w:tr w14:paraId="1C854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558" w:type="dxa"/>
          </w:tcPr>
          <w:p w14:paraId="1B286BB5">
            <w:pPr>
              <w:spacing w:before="40" w:after="120"/>
              <w:rPr>
                <w:b/>
                <w:bCs/>
                <w:spacing w:val="-2"/>
              </w:rPr>
            </w:pPr>
          </w:p>
        </w:tc>
        <w:tc>
          <w:tcPr>
            <w:tcW w:w="3368" w:type="dxa"/>
            <w:gridSpan w:val="2"/>
          </w:tcPr>
          <w:p w14:paraId="78B8AC28">
            <w:pPr>
              <w:spacing w:before="40" w:after="120"/>
            </w:pPr>
          </w:p>
        </w:tc>
        <w:tc>
          <w:tcPr>
            <w:tcW w:w="2042" w:type="dxa"/>
          </w:tcPr>
          <w:p w14:paraId="5FB17D94">
            <w:pPr>
              <w:spacing w:before="40" w:after="120"/>
            </w:pPr>
          </w:p>
        </w:tc>
        <w:tc>
          <w:tcPr>
            <w:tcW w:w="2608" w:type="dxa"/>
          </w:tcPr>
          <w:p w14:paraId="372B8B21">
            <w:pPr>
              <w:spacing w:before="40" w:after="120"/>
            </w:pPr>
          </w:p>
        </w:tc>
      </w:tr>
      <w:tr w14:paraId="11CA8D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8" w:type="dxa"/>
          </w:tcPr>
          <w:p w14:paraId="4115D2DE">
            <w:pPr>
              <w:spacing w:before="40" w:after="120"/>
            </w:pPr>
            <w:r>
              <w:rPr>
                <w:bCs/>
                <w:spacing w:val="-2"/>
              </w:rPr>
              <w:t>Average Annual Construction Turnover *</w:t>
            </w:r>
          </w:p>
        </w:tc>
        <w:tc>
          <w:tcPr>
            <w:tcW w:w="3368" w:type="dxa"/>
            <w:gridSpan w:val="2"/>
          </w:tcPr>
          <w:p w14:paraId="7D476E67">
            <w:pPr>
              <w:spacing w:before="40" w:after="120"/>
            </w:pPr>
          </w:p>
        </w:tc>
        <w:tc>
          <w:tcPr>
            <w:tcW w:w="2042" w:type="dxa"/>
          </w:tcPr>
          <w:p w14:paraId="38636ADE">
            <w:pPr>
              <w:spacing w:before="40" w:after="120"/>
            </w:pPr>
          </w:p>
        </w:tc>
        <w:tc>
          <w:tcPr>
            <w:tcW w:w="2608" w:type="dxa"/>
          </w:tcPr>
          <w:p w14:paraId="59078D74">
            <w:pPr>
              <w:spacing w:before="40" w:after="120"/>
            </w:pPr>
          </w:p>
        </w:tc>
      </w:tr>
    </w:tbl>
    <w:p w14:paraId="22B3C7CB">
      <w:pPr>
        <w:spacing w:before="144" w:after="396"/>
        <w:ind w:left="360" w:right="72" w:hanging="378"/>
        <w:rPr>
          <w:bCs/>
          <w:spacing w:val="-2"/>
        </w:rPr>
      </w:pPr>
      <w:r>
        <w:rPr>
          <w:bCs/>
          <w:spacing w:val="-2"/>
        </w:rPr>
        <w:t xml:space="preserve">* </w:t>
      </w:r>
      <w:r>
        <w:rPr>
          <w:bCs/>
          <w:spacing w:val="-2"/>
        </w:rPr>
        <w:tab/>
      </w:r>
      <w:r>
        <w:rPr>
          <w:bCs/>
          <w:spacing w:val="-2"/>
        </w:rPr>
        <w:t>See Section III, Evaluation and Qualification Criteria, Sub-Factor 3.2.</w:t>
      </w:r>
    </w:p>
    <w:bookmarkEnd w:id="474"/>
    <w:bookmarkEnd w:id="475"/>
    <w:bookmarkEnd w:id="476"/>
    <w:p w14:paraId="66047289">
      <w:pPr>
        <w:jc w:val="center"/>
      </w:pPr>
    </w:p>
    <w:p w14:paraId="53AAF006">
      <w:pPr>
        <w:pStyle w:val="54"/>
        <w:jc w:val="left"/>
        <w:rPr>
          <w:b w:val="0"/>
          <w:sz w:val="24"/>
        </w:rPr>
      </w:pPr>
    </w:p>
    <w:p w14:paraId="5FC6F27D">
      <w:pPr>
        <w:pStyle w:val="156"/>
      </w:pPr>
      <w:r>
        <w:rPr>
          <w:sz w:val="28"/>
        </w:rPr>
        <w:br w:type="page"/>
      </w:r>
      <w:bookmarkStart w:id="479" w:name="_Toc178519610"/>
      <w:r>
        <w:rPr>
          <w:szCs w:val="32"/>
        </w:rPr>
        <w:t>Form FIN - 3.3</w:t>
      </w:r>
      <w:bookmarkEnd w:id="470"/>
      <w:r>
        <w:rPr>
          <w:szCs w:val="32"/>
        </w:rPr>
        <w:t xml:space="preserve">: </w:t>
      </w:r>
      <w:bookmarkStart w:id="480" w:name="_Toc125871315"/>
      <w:bookmarkStart w:id="481" w:name="_Toc138144071"/>
      <w:bookmarkStart w:id="482" w:name="_Toc127160600"/>
      <w:bookmarkStart w:id="483" w:name="_Toc41971549"/>
      <w:r>
        <w:t>Financial Resources</w:t>
      </w:r>
      <w:bookmarkEnd w:id="479"/>
      <w:bookmarkEnd w:id="480"/>
      <w:bookmarkEnd w:id="481"/>
      <w:bookmarkEnd w:id="482"/>
      <w:bookmarkEnd w:id="483"/>
    </w:p>
    <w:p w14:paraId="6E519D38">
      <w:pPr>
        <w:pStyle w:val="79"/>
        <w:widowControl/>
        <w:jc w:val="left"/>
        <w:rPr>
          <w:rStyle w:val="82"/>
          <w:spacing w:val="-2"/>
          <w:sz w:val="22"/>
        </w:rPr>
      </w:pPr>
    </w:p>
    <w:p w14:paraId="4C095831">
      <w:pPr>
        <w:suppressAutoHyphens/>
        <w:spacing w:after="180"/>
        <w:jc w:val="both"/>
        <w:rPr>
          <w:rStyle w:val="82"/>
          <w:rFonts w:ascii="Times New Roman" w:hAnsi="Times New Roman"/>
          <w:spacing w:val="-2"/>
          <w:sz w:val="24"/>
        </w:rPr>
      </w:pPr>
      <w:r>
        <w:rPr>
          <w:rStyle w:val="82"/>
          <w:rFonts w:ascii="Times New Roman" w:hAnsi="Times New Roman"/>
          <w:spacing w:val="-2"/>
          <w:sz w:val="24"/>
        </w:rPr>
        <w:t>Specify proposed sources of financing, such as liquid assets, unencumbered real assets, lines of credit, and other financial means, net of current commitments, available to meet the total construction cash flow demands of the subject contract or contracts as specified in Section III (Evaluation and Qualification Criteria)</w:t>
      </w:r>
    </w:p>
    <w:tbl>
      <w:tblPr>
        <w:tblStyle w:val="12"/>
        <w:tblW w:w="9090" w:type="dxa"/>
        <w:tblInd w:w="72" w:type="dxa"/>
        <w:tblLayout w:type="fixed"/>
        <w:tblCellMar>
          <w:top w:w="0" w:type="dxa"/>
          <w:left w:w="72" w:type="dxa"/>
          <w:bottom w:w="0" w:type="dxa"/>
          <w:right w:w="72" w:type="dxa"/>
        </w:tblCellMar>
      </w:tblPr>
      <w:tblGrid>
        <w:gridCol w:w="6300"/>
        <w:gridCol w:w="2790"/>
      </w:tblGrid>
      <w:tr w14:paraId="3AED4954">
        <w:tblPrEx>
          <w:tblCellMar>
            <w:top w:w="0" w:type="dxa"/>
            <w:left w:w="72" w:type="dxa"/>
            <w:bottom w:w="0" w:type="dxa"/>
            <w:right w:w="72" w:type="dxa"/>
          </w:tblCellMar>
        </w:tblPrEx>
        <w:trPr>
          <w:cantSplit/>
        </w:trPr>
        <w:tc>
          <w:tcPr>
            <w:tcW w:w="6300" w:type="dxa"/>
            <w:tcBorders>
              <w:top w:val="single" w:color="auto" w:sz="6" w:space="0"/>
              <w:left w:val="single" w:color="auto" w:sz="6" w:space="0"/>
            </w:tcBorders>
          </w:tcPr>
          <w:p w14:paraId="1D892A8B">
            <w:pPr>
              <w:suppressAutoHyphens/>
              <w:spacing w:after="71"/>
              <w:rPr>
                <w:rStyle w:val="82"/>
                <w:rFonts w:ascii="Times New Roman" w:hAnsi="Times New Roman"/>
                <w:spacing w:val="-2"/>
                <w:sz w:val="24"/>
              </w:rPr>
            </w:pPr>
            <w:r>
              <w:rPr>
                <w:rStyle w:val="82"/>
                <w:rFonts w:ascii="Times New Roman" w:hAnsi="Times New Roman"/>
                <w:spacing w:val="-2"/>
                <w:sz w:val="24"/>
              </w:rPr>
              <w:t>Source of financing</w:t>
            </w:r>
          </w:p>
        </w:tc>
        <w:tc>
          <w:tcPr>
            <w:tcW w:w="2790" w:type="dxa"/>
            <w:tcBorders>
              <w:top w:val="single" w:color="auto" w:sz="6" w:space="0"/>
              <w:left w:val="single" w:color="auto" w:sz="6" w:space="0"/>
              <w:right w:val="single" w:color="auto" w:sz="6" w:space="0"/>
            </w:tcBorders>
          </w:tcPr>
          <w:p w14:paraId="3231C8B3">
            <w:pPr>
              <w:suppressAutoHyphens/>
              <w:spacing w:after="71"/>
              <w:rPr>
                <w:rStyle w:val="82"/>
                <w:rFonts w:ascii="Times New Roman" w:hAnsi="Times New Roman"/>
                <w:spacing w:val="-2"/>
                <w:sz w:val="24"/>
              </w:rPr>
            </w:pPr>
            <w:r>
              <w:rPr>
                <w:rStyle w:val="82"/>
                <w:rFonts w:ascii="Times New Roman" w:hAnsi="Times New Roman"/>
                <w:spacing w:val="-2"/>
                <w:sz w:val="24"/>
              </w:rPr>
              <w:t>Amount (US$ equivalent)</w:t>
            </w:r>
          </w:p>
        </w:tc>
      </w:tr>
      <w:tr w14:paraId="173A5B1E">
        <w:tblPrEx>
          <w:tblCellMar>
            <w:top w:w="0" w:type="dxa"/>
            <w:left w:w="72" w:type="dxa"/>
            <w:bottom w:w="0" w:type="dxa"/>
            <w:right w:w="72" w:type="dxa"/>
          </w:tblCellMar>
        </w:tblPrEx>
        <w:trPr>
          <w:cantSplit/>
        </w:trPr>
        <w:tc>
          <w:tcPr>
            <w:tcW w:w="6300" w:type="dxa"/>
            <w:tcBorders>
              <w:top w:val="single" w:color="auto" w:sz="6" w:space="0"/>
              <w:left w:val="single" w:color="auto" w:sz="6" w:space="0"/>
            </w:tcBorders>
          </w:tcPr>
          <w:p w14:paraId="3C22EE3D">
            <w:pPr>
              <w:suppressAutoHyphens/>
              <w:rPr>
                <w:rStyle w:val="82"/>
                <w:rFonts w:ascii="Times New Roman" w:hAnsi="Times New Roman"/>
                <w:spacing w:val="-2"/>
                <w:sz w:val="24"/>
              </w:rPr>
            </w:pPr>
            <w:r>
              <w:rPr>
                <w:rStyle w:val="82"/>
                <w:rFonts w:ascii="Times New Roman" w:hAnsi="Times New Roman"/>
                <w:spacing w:val="-2"/>
                <w:sz w:val="24"/>
              </w:rPr>
              <w:t>1.</w:t>
            </w:r>
          </w:p>
          <w:p w14:paraId="231A6205">
            <w:pPr>
              <w:suppressAutoHyphens/>
              <w:spacing w:after="71"/>
              <w:rPr>
                <w:rStyle w:val="82"/>
                <w:rFonts w:ascii="Times New Roman" w:hAnsi="Times New Roman"/>
                <w:spacing w:val="-2"/>
                <w:sz w:val="24"/>
              </w:rPr>
            </w:pPr>
          </w:p>
        </w:tc>
        <w:tc>
          <w:tcPr>
            <w:tcW w:w="2790" w:type="dxa"/>
            <w:tcBorders>
              <w:top w:val="single" w:color="auto" w:sz="6" w:space="0"/>
              <w:left w:val="single" w:color="auto" w:sz="6" w:space="0"/>
              <w:right w:val="single" w:color="auto" w:sz="6" w:space="0"/>
            </w:tcBorders>
          </w:tcPr>
          <w:p w14:paraId="462F14B6">
            <w:pPr>
              <w:suppressAutoHyphens/>
              <w:spacing w:after="71"/>
              <w:rPr>
                <w:rStyle w:val="82"/>
                <w:rFonts w:ascii="Times New Roman" w:hAnsi="Times New Roman"/>
                <w:spacing w:val="-2"/>
                <w:sz w:val="24"/>
              </w:rPr>
            </w:pPr>
          </w:p>
        </w:tc>
      </w:tr>
      <w:tr w14:paraId="7834372C">
        <w:trPr>
          <w:cantSplit/>
        </w:trPr>
        <w:tc>
          <w:tcPr>
            <w:tcW w:w="6300" w:type="dxa"/>
            <w:tcBorders>
              <w:top w:val="single" w:color="auto" w:sz="6" w:space="0"/>
              <w:left w:val="single" w:color="auto" w:sz="6" w:space="0"/>
            </w:tcBorders>
          </w:tcPr>
          <w:p w14:paraId="34C64EF0">
            <w:pPr>
              <w:suppressAutoHyphens/>
              <w:rPr>
                <w:rStyle w:val="82"/>
                <w:rFonts w:ascii="Times New Roman" w:hAnsi="Times New Roman"/>
                <w:spacing w:val="-2"/>
                <w:sz w:val="24"/>
              </w:rPr>
            </w:pPr>
            <w:r>
              <w:rPr>
                <w:rStyle w:val="82"/>
                <w:rFonts w:ascii="Times New Roman" w:hAnsi="Times New Roman"/>
                <w:spacing w:val="-2"/>
                <w:sz w:val="24"/>
              </w:rPr>
              <w:t>2.</w:t>
            </w:r>
          </w:p>
          <w:p w14:paraId="36CF1A24">
            <w:pPr>
              <w:suppressAutoHyphens/>
              <w:spacing w:after="71"/>
              <w:rPr>
                <w:rStyle w:val="82"/>
                <w:rFonts w:ascii="Times New Roman" w:hAnsi="Times New Roman"/>
                <w:spacing w:val="-2"/>
                <w:sz w:val="24"/>
              </w:rPr>
            </w:pPr>
          </w:p>
        </w:tc>
        <w:tc>
          <w:tcPr>
            <w:tcW w:w="2790" w:type="dxa"/>
            <w:tcBorders>
              <w:top w:val="single" w:color="auto" w:sz="6" w:space="0"/>
              <w:left w:val="single" w:color="auto" w:sz="6" w:space="0"/>
              <w:right w:val="single" w:color="auto" w:sz="6" w:space="0"/>
            </w:tcBorders>
          </w:tcPr>
          <w:p w14:paraId="422A9F76">
            <w:pPr>
              <w:suppressAutoHyphens/>
              <w:spacing w:after="71"/>
              <w:rPr>
                <w:rStyle w:val="82"/>
                <w:rFonts w:ascii="Times New Roman" w:hAnsi="Times New Roman"/>
                <w:spacing w:val="-2"/>
                <w:sz w:val="24"/>
              </w:rPr>
            </w:pPr>
          </w:p>
        </w:tc>
      </w:tr>
      <w:tr w14:paraId="7E756D5C">
        <w:tblPrEx>
          <w:tblCellMar>
            <w:top w:w="0" w:type="dxa"/>
            <w:left w:w="72" w:type="dxa"/>
            <w:bottom w:w="0" w:type="dxa"/>
            <w:right w:w="72" w:type="dxa"/>
          </w:tblCellMar>
        </w:tblPrEx>
        <w:trPr>
          <w:cantSplit/>
        </w:trPr>
        <w:tc>
          <w:tcPr>
            <w:tcW w:w="6300" w:type="dxa"/>
            <w:tcBorders>
              <w:top w:val="single" w:color="auto" w:sz="6" w:space="0"/>
              <w:left w:val="single" w:color="auto" w:sz="6" w:space="0"/>
            </w:tcBorders>
          </w:tcPr>
          <w:p w14:paraId="063593DD">
            <w:pPr>
              <w:suppressAutoHyphens/>
              <w:rPr>
                <w:rStyle w:val="82"/>
                <w:rFonts w:ascii="Times New Roman" w:hAnsi="Times New Roman"/>
                <w:spacing w:val="-2"/>
                <w:sz w:val="24"/>
              </w:rPr>
            </w:pPr>
            <w:r>
              <w:rPr>
                <w:rStyle w:val="82"/>
                <w:rFonts w:ascii="Times New Roman" w:hAnsi="Times New Roman"/>
                <w:spacing w:val="-2"/>
                <w:sz w:val="24"/>
              </w:rPr>
              <w:t>3.</w:t>
            </w:r>
          </w:p>
          <w:p w14:paraId="507648F2">
            <w:pPr>
              <w:suppressAutoHyphens/>
              <w:spacing w:after="71"/>
              <w:rPr>
                <w:rStyle w:val="82"/>
                <w:rFonts w:ascii="Times New Roman" w:hAnsi="Times New Roman"/>
                <w:spacing w:val="-2"/>
                <w:sz w:val="24"/>
              </w:rPr>
            </w:pPr>
          </w:p>
        </w:tc>
        <w:tc>
          <w:tcPr>
            <w:tcW w:w="2790" w:type="dxa"/>
            <w:tcBorders>
              <w:top w:val="single" w:color="auto" w:sz="6" w:space="0"/>
              <w:left w:val="single" w:color="auto" w:sz="6" w:space="0"/>
              <w:right w:val="single" w:color="auto" w:sz="6" w:space="0"/>
            </w:tcBorders>
          </w:tcPr>
          <w:p w14:paraId="64D94693">
            <w:pPr>
              <w:suppressAutoHyphens/>
              <w:spacing w:after="71"/>
              <w:rPr>
                <w:rStyle w:val="82"/>
                <w:rFonts w:ascii="Times New Roman" w:hAnsi="Times New Roman"/>
                <w:spacing w:val="-2"/>
                <w:sz w:val="24"/>
              </w:rPr>
            </w:pPr>
          </w:p>
        </w:tc>
      </w:tr>
      <w:tr w14:paraId="50510485">
        <w:tblPrEx>
          <w:tblCellMar>
            <w:top w:w="0" w:type="dxa"/>
            <w:left w:w="72" w:type="dxa"/>
            <w:bottom w:w="0" w:type="dxa"/>
            <w:right w:w="72" w:type="dxa"/>
          </w:tblCellMar>
        </w:tblPrEx>
        <w:trPr>
          <w:cantSplit/>
        </w:trPr>
        <w:tc>
          <w:tcPr>
            <w:tcW w:w="6300" w:type="dxa"/>
            <w:tcBorders>
              <w:top w:val="single" w:color="auto" w:sz="6" w:space="0"/>
              <w:left w:val="single" w:color="auto" w:sz="6" w:space="0"/>
              <w:bottom w:val="single" w:color="auto" w:sz="6" w:space="0"/>
            </w:tcBorders>
          </w:tcPr>
          <w:p w14:paraId="79F15B34">
            <w:pPr>
              <w:suppressAutoHyphens/>
              <w:rPr>
                <w:rStyle w:val="82"/>
                <w:rFonts w:ascii="Times New Roman" w:hAnsi="Times New Roman"/>
                <w:spacing w:val="-2"/>
                <w:sz w:val="24"/>
              </w:rPr>
            </w:pPr>
            <w:r>
              <w:rPr>
                <w:rStyle w:val="82"/>
                <w:rFonts w:ascii="Times New Roman" w:hAnsi="Times New Roman"/>
                <w:spacing w:val="-2"/>
                <w:sz w:val="24"/>
              </w:rPr>
              <w:t>4.</w:t>
            </w:r>
          </w:p>
          <w:p w14:paraId="3B44D29A">
            <w:pPr>
              <w:suppressAutoHyphens/>
              <w:spacing w:after="71"/>
              <w:rPr>
                <w:rStyle w:val="82"/>
                <w:rFonts w:ascii="Times New Roman" w:hAnsi="Times New Roman"/>
                <w:spacing w:val="-2"/>
                <w:sz w:val="24"/>
              </w:rPr>
            </w:pPr>
          </w:p>
        </w:tc>
        <w:tc>
          <w:tcPr>
            <w:tcW w:w="2790" w:type="dxa"/>
            <w:tcBorders>
              <w:top w:val="single" w:color="auto" w:sz="6" w:space="0"/>
              <w:left w:val="single" w:color="auto" w:sz="6" w:space="0"/>
              <w:bottom w:val="single" w:color="auto" w:sz="6" w:space="0"/>
              <w:right w:val="single" w:color="auto" w:sz="6" w:space="0"/>
            </w:tcBorders>
          </w:tcPr>
          <w:p w14:paraId="5A502966">
            <w:pPr>
              <w:suppressAutoHyphens/>
              <w:spacing w:after="71"/>
              <w:rPr>
                <w:rStyle w:val="82"/>
                <w:rFonts w:ascii="Times New Roman" w:hAnsi="Times New Roman"/>
                <w:spacing w:val="-2"/>
                <w:sz w:val="24"/>
              </w:rPr>
            </w:pPr>
          </w:p>
        </w:tc>
      </w:tr>
    </w:tbl>
    <w:p w14:paraId="4F2753AF">
      <w:pPr>
        <w:spacing w:after="120"/>
        <w:jc w:val="center"/>
        <w:rPr>
          <w:b/>
          <w:sz w:val="36"/>
        </w:rPr>
      </w:pPr>
    </w:p>
    <w:p w14:paraId="32C23399">
      <w:pPr>
        <w:pStyle w:val="156"/>
      </w:pPr>
      <w:r>
        <w:br w:type="page"/>
      </w:r>
      <w:bookmarkStart w:id="484" w:name="_Toc178519611"/>
      <w:bookmarkStart w:id="485" w:name="_Toc108424568"/>
      <w:bookmarkStart w:id="486" w:name="_Toc127160601"/>
      <w:r>
        <w:rPr>
          <w:szCs w:val="32"/>
        </w:rPr>
        <w:t xml:space="preserve">Form EXP - 4.1: </w:t>
      </w:r>
      <w:r>
        <w:t>General Construction Experience</w:t>
      </w:r>
      <w:bookmarkEnd w:id="484"/>
      <w:bookmarkEnd w:id="485"/>
    </w:p>
    <w:p w14:paraId="5F4231F2">
      <w:pPr>
        <w:tabs>
          <w:tab w:val="left" w:pos="3950"/>
        </w:tabs>
        <w:rPr>
          <w:b/>
          <w:sz w:val="20"/>
        </w:rPr>
      </w:pPr>
    </w:p>
    <w:p w14:paraId="0983080E">
      <w:pPr>
        <w:spacing w:before="288" w:after="324" w:line="264" w:lineRule="exact"/>
        <w:jc w:val="right"/>
        <w:rPr>
          <w:spacing w:val="-4"/>
        </w:rPr>
      </w:pPr>
      <w:r>
        <w:rPr>
          <w:spacing w:val="-4"/>
        </w:rPr>
        <w:t xml:space="preserve">Bidder’s Name: </w:t>
      </w:r>
      <w:r>
        <w:rPr>
          <w:i/>
          <w:iCs/>
          <w:spacing w:val="-6"/>
        </w:rPr>
        <w:t>________________</w:t>
      </w:r>
      <w:r>
        <w:rPr>
          <w:i/>
          <w:iCs/>
          <w:spacing w:val="-6"/>
        </w:rPr>
        <w:br w:type="textWrapping"/>
      </w:r>
      <w:r>
        <w:rPr>
          <w:spacing w:val="-4"/>
        </w:rPr>
        <w:t xml:space="preserve">Date: </w:t>
      </w:r>
      <w:r>
        <w:rPr>
          <w:i/>
          <w:iCs/>
          <w:spacing w:val="-6"/>
        </w:rPr>
        <w:t>______________________</w:t>
      </w:r>
      <w:r>
        <w:rPr>
          <w:i/>
          <w:iCs/>
          <w:spacing w:val="-6"/>
        </w:rPr>
        <w:br w:type="textWrapping"/>
      </w:r>
      <w:r>
        <w:rPr>
          <w:spacing w:val="-4"/>
        </w:rPr>
        <w:t>Joint Venture Member’s Name_________________________</w:t>
      </w:r>
      <w:r>
        <w:rPr>
          <w:i/>
          <w:iCs/>
          <w:spacing w:val="-6"/>
        </w:rPr>
        <w:br w:type="textWrapping"/>
      </w:r>
      <w:r>
        <w:rPr>
          <w:rFonts w:hint="default"/>
          <w:i/>
          <w:iCs/>
          <w:spacing w:val="-6"/>
          <w:lang w:val="en-US"/>
        </w:rPr>
        <w:t>N</w:t>
      </w:r>
      <w:r>
        <w:rPr>
          <w:spacing w:val="-4"/>
        </w:rPr>
        <w:t xml:space="preserve">CB No. and title: </w:t>
      </w:r>
      <w:r>
        <w:rPr>
          <w:i/>
          <w:iCs/>
          <w:spacing w:val="-6"/>
        </w:rPr>
        <w:t>___________________________</w:t>
      </w:r>
      <w:r>
        <w:rPr>
          <w:i/>
          <w:iCs/>
          <w:spacing w:val="-6"/>
        </w:rPr>
        <w:br w:type="textWrapping"/>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p w14:paraId="02D8AD39">
      <w:pPr>
        <w:spacing w:after="324"/>
        <w:rPr>
          <w:bCs/>
          <w:i/>
          <w:iCs/>
        </w:rPr>
      </w:pPr>
    </w:p>
    <w:tbl>
      <w:tblPr>
        <w:tblStyle w:val="12"/>
        <w:tblW w:w="0" w:type="auto"/>
        <w:tblInd w:w="3" w:type="dxa"/>
        <w:tblLayout w:type="fixed"/>
        <w:tblCellMar>
          <w:top w:w="0" w:type="dxa"/>
          <w:left w:w="0" w:type="dxa"/>
          <w:bottom w:w="0" w:type="dxa"/>
          <w:right w:w="0" w:type="dxa"/>
        </w:tblCellMar>
      </w:tblPr>
      <w:tblGrid>
        <w:gridCol w:w="1122"/>
        <w:gridCol w:w="1080"/>
        <w:gridCol w:w="5040"/>
        <w:gridCol w:w="2015"/>
      </w:tblGrid>
      <w:tr w14:paraId="48900102">
        <w:tblPrEx>
          <w:tblCellMar>
            <w:top w:w="0" w:type="dxa"/>
            <w:left w:w="0" w:type="dxa"/>
            <w:bottom w:w="0" w:type="dxa"/>
            <w:right w:w="0" w:type="dxa"/>
          </w:tblCellMar>
        </w:tblPrEx>
        <w:trPr>
          <w:trHeight w:val="1031" w:hRule="exact"/>
        </w:trPr>
        <w:tc>
          <w:tcPr>
            <w:tcW w:w="1122" w:type="dxa"/>
            <w:tcBorders>
              <w:top w:val="single" w:color="auto" w:sz="2" w:space="0"/>
              <w:left w:val="single" w:color="auto" w:sz="2" w:space="0"/>
              <w:bottom w:val="single" w:color="auto" w:sz="2" w:space="0"/>
              <w:right w:val="single" w:color="auto" w:sz="2" w:space="0"/>
            </w:tcBorders>
          </w:tcPr>
          <w:p w14:paraId="4D7A16A8">
            <w:pPr>
              <w:jc w:val="center"/>
              <w:rPr>
                <w:bCs/>
              </w:rPr>
            </w:pPr>
            <w:r>
              <w:rPr>
                <w:bCs/>
              </w:rPr>
              <w:t>Starting</w:t>
            </w:r>
          </w:p>
          <w:p w14:paraId="5FC418A7">
            <w:pPr>
              <w:jc w:val="center"/>
              <w:rPr>
                <w:bCs/>
              </w:rPr>
            </w:pPr>
          </w:p>
          <w:p w14:paraId="00F2A58C">
            <w:pPr>
              <w:jc w:val="center"/>
              <w:rPr>
                <w:bCs/>
              </w:rPr>
            </w:pPr>
            <w:r>
              <w:rPr>
                <w:bCs/>
              </w:rPr>
              <w:t>Year</w:t>
            </w:r>
          </w:p>
        </w:tc>
        <w:tc>
          <w:tcPr>
            <w:tcW w:w="1080" w:type="dxa"/>
            <w:tcBorders>
              <w:top w:val="single" w:color="auto" w:sz="2" w:space="0"/>
              <w:left w:val="single" w:color="auto" w:sz="2" w:space="0"/>
              <w:bottom w:val="single" w:color="auto" w:sz="2" w:space="0"/>
              <w:right w:val="single" w:color="auto" w:sz="2" w:space="0"/>
            </w:tcBorders>
          </w:tcPr>
          <w:p w14:paraId="77C5AE65">
            <w:pPr>
              <w:jc w:val="center"/>
              <w:rPr>
                <w:bCs/>
              </w:rPr>
            </w:pPr>
            <w:r>
              <w:rPr>
                <w:bCs/>
              </w:rPr>
              <w:t>Ending</w:t>
            </w:r>
          </w:p>
          <w:p w14:paraId="75C03DEB">
            <w:pPr>
              <w:jc w:val="center"/>
              <w:rPr>
                <w:bCs/>
              </w:rPr>
            </w:pPr>
            <w:r>
              <w:rPr>
                <w:bCs/>
              </w:rPr>
              <w:t>Year</w:t>
            </w:r>
          </w:p>
        </w:tc>
        <w:tc>
          <w:tcPr>
            <w:tcW w:w="5040" w:type="dxa"/>
            <w:tcBorders>
              <w:top w:val="single" w:color="auto" w:sz="2" w:space="0"/>
              <w:left w:val="single" w:color="auto" w:sz="2" w:space="0"/>
              <w:bottom w:val="single" w:color="auto" w:sz="2" w:space="0"/>
              <w:right w:val="single" w:color="auto" w:sz="2" w:space="0"/>
            </w:tcBorders>
          </w:tcPr>
          <w:p w14:paraId="6B145508">
            <w:pPr>
              <w:spacing w:after="540"/>
              <w:jc w:val="center"/>
              <w:rPr>
                <w:bCs/>
              </w:rPr>
            </w:pPr>
            <w:r>
              <w:rPr>
                <w:bCs/>
              </w:rPr>
              <w:t>Contract Identification</w:t>
            </w:r>
          </w:p>
        </w:tc>
        <w:tc>
          <w:tcPr>
            <w:tcW w:w="2015" w:type="dxa"/>
            <w:tcBorders>
              <w:top w:val="single" w:color="auto" w:sz="2" w:space="0"/>
              <w:left w:val="single" w:color="auto" w:sz="2" w:space="0"/>
              <w:bottom w:val="single" w:color="auto" w:sz="2" w:space="0"/>
              <w:right w:val="single" w:color="auto" w:sz="2" w:space="0"/>
            </w:tcBorders>
          </w:tcPr>
          <w:p w14:paraId="060F0D12">
            <w:pPr>
              <w:jc w:val="center"/>
              <w:rPr>
                <w:bCs/>
              </w:rPr>
            </w:pPr>
            <w:r>
              <w:rPr>
                <w:bCs/>
              </w:rPr>
              <w:t>Role of</w:t>
            </w:r>
          </w:p>
          <w:p w14:paraId="0A751414">
            <w:pPr>
              <w:spacing w:after="252"/>
              <w:jc w:val="center"/>
              <w:rPr>
                <w:bCs/>
              </w:rPr>
            </w:pPr>
            <w:r>
              <w:rPr>
                <w:bCs/>
              </w:rPr>
              <w:t>Bidder</w:t>
            </w:r>
          </w:p>
        </w:tc>
      </w:tr>
      <w:tr w14:paraId="1AC91B04">
        <w:tblPrEx>
          <w:tblCellMar>
            <w:top w:w="0" w:type="dxa"/>
            <w:left w:w="0" w:type="dxa"/>
            <w:bottom w:w="0" w:type="dxa"/>
            <w:right w:w="0" w:type="dxa"/>
          </w:tblCellMar>
        </w:tblPrEx>
        <w:tc>
          <w:tcPr>
            <w:tcW w:w="1122" w:type="dxa"/>
            <w:tcBorders>
              <w:top w:val="single" w:color="auto" w:sz="2" w:space="0"/>
              <w:left w:val="single" w:color="auto" w:sz="2" w:space="0"/>
              <w:bottom w:val="single" w:color="auto" w:sz="2" w:space="0"/>
              <w:right w:val="single" w:color="auto" w:sz="2" w:space="0"/>
            </w:tcBorders>
          </w:tcPr>
          <w:p w14:paraId="578376FA">
            <w:pPr>
              <w:jc w:val="center"/>
              <w:rPr>
                <w:bCs/>
              </w:rPr>
            </w:pPr>
          </w:p>
        </w:tc>
        <w:tc>
          <w:tcPr>
            <w:tcW w:w="1080" w:type="dxa"/>
            <w:tcBorders>
              <w:top w:val="single" w:color="auto" w:sz="2" w:space="0"/>
              <w:left w:val="single" w:color="auto" w:sz="2" w:space="0"/>
              <w:bottom w:val="single" w:color="auto" w:sz="2" w:space="0"/>
              <w:right w:val="single" w:color="auto" w:sz="2" w:space="0"/>
            </w:tcBorders>
          </w:tcPr>
          <w:p w14:paraId="69783912">
            <w:pPr>
              <w:jc w:val="center"/>
              <w:rPr>
                <w:bCs/>
              </w:rPr>
            </w:pPr>
          </w:p>
        </w:tc>
        <w:tc>
          <w:tcPr>
            <w:tcW w:w="5040" w:type="dxa"/>
            <w:tcBorders>
              <w:top w:val="single" w:color="auto" w:sz="2" w:space="0"/>
              <w:left w:val="single" w:color="auto" w:sz="2" w:space="0"/>
              <w:bottom w:val="single" w:color="auto" w:sz="2" w:space="0"/>
              <w:right w:val="single" w:color="auto" w:sz="2" w:space="0"/>
            </w:tcBorders>
          </w:tcPr>
          <w:p w14:paraId="44326917">
            <w:pPr>
              <w:ind w:left="69"/>
              <w:rPr>
                <w:bCs/>
                <w:i/>
                <w:iCs/>
              </w:rPr>
            </w:pPr>
            <w:r>
              <w:rPr>
                <w:bCs/>
                <w:spacing w:val="-9"/>
              </w:rPr>
              <w:t xml:space="preserve">Contract name: </w:t>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t>____________________</w:t>
            </w:r>
          </w:p>
          <w:p w14:paraId="5CF6735E">
            <w:pPr>
              <w:ind w:left="69"/>
              <w:rPr>
                <w:bCs/>
                <w:spacing w:val="-2"/>
              </w:rPr>
            </w:pPr>
            <w:r>
              <w:rPr>
                <w:bCs/>
                <w:spacing w:val="-2"/>
              </w:rPr>
              <w:t>Brief Description of the Works performed by the</w:t>
            </w:r>
          </w:p>
          <w:p w14:paraId="75B4B915">
            <w:pPr>
              <w:ind w:left="69"/>
              <w:rPr>
                <w:bCs/>
                <w:i/>
                <w:iCs/>
              </w:rPr>
            </w:pPr>
            <w:r>
              <w:rPr>
                <w:bCs/>
                <w:spacing w:val="-2"/>
              </w:rPr>
              <w:t xml:space="preserve">Bidder: </w:t>
            </w:r>
            <w:r>
              <w:rPr>
                <w:bCs/>
                <w:i/>
                <w:iCs/>
              </w:rPr>
              <w:t>_____________________________</w:t>
            </w:r>
          </w:p>
          <w:p w14:paraId="312D55F6">
            <w:pPr>
              <w:ind w:left="69"/>
              <w:rPr>
                <w:bCs/>
                <w:i/>
                <w:iCs/>
              </w:rPr>
            </w:pPr>
            <w:r>
              <w:rPr>
                <w:bCs/>
                <w:spacing w:val="-2"/>
              </w:rPr>
              <w:t xml:space="preserve">Amount of contract: </w:t>
            </w:r>
            <w:r>
              <w:rPr>
                <w:bCs/>
                <w:i/>
                <w:iCs/>
              </w:rPr>
              <w:t>___________________</w:t>
            </w:r>
          </w:p>
          <w:p w14:paraId="3347979C">
            <w:pPr>
              <w:ind w:left="69"/>
              <w:rPr>
                <w:bCs/>
                <w:spacing w:val="-2"/>
              </w:rPr>
            </w:pPr>
            <w:r>
              <w:rPr>
                <w:bCs/>
                <w:spacing w:val="-2"/>
              </w:rPr>
              <w:t xml:space="preserve">Name of Employer: </w:t>
            </w:r>
            <w:r>
              <w:rPr>
                <w:bCs/>
                <w:i/>
                <w:iCs/>
              </w:rPr>
              <w:t>____________________</w:t>
            </w:r>
          </w:p>
          <w:p w14:paraId="5C8FFBF5">
            <w:pPr>
              <w:rPr>
                <w:bCs/>
              </w:rPr>
            </w:pPr>
            <w:r>
              <w:rPr>
                <w:bCs/>
                <w:spacing w:val="-2"/>
              </w:rPr>
              <w:t xml:space="preserve">Address: </w:t>
            </w:r>
            <w:r>
              <w:rPr>
                <w:bCs/>
                <w:i/>
                <w:iCs/>
              </w:rPr>
              <w:t>_____________________________</w:t>
            </w:r>
          </w:p>
        </w:tc>
        <w:tc>
          <w:tcPr>
            <w:tcW w:w="2015" w:type="dxa"/>
            <w:tcBorders>
              <w:top w:val="single" w:color="auto" w:sz="2" w:space="0"/>
              <w:left w:val="single" w:color="auto" w:sz="2" w:space="0"/>
              <w:bottom w:val="single" w:color="auto" w:sz="2" w:space="0"/>
              <w:right w:val="single" w:color="auto" w:sz="2" w:space="0"/>
            </w:tcBorders>
          </w:tcPr>
          <w:p w14:paraId="1AC1E05D">
            <w:pPr>
              <w:jc w:val="center"/>
              <w:rPr>
                <w:bCs/>
              </w:rPr>
            </w:pPr>
          </w:p>
        </w:tc>
      </w:tr>
      <w:tr w14:paraId="068B7145">
        <w:tblPrEx>
          <w:tblCellMar>
            <w:top w:w="0" w:type="dxa"/>
            <w:left w:w="0" w:type="dxa"/>
            <w:bottom w:w="0" w:type="dxa"/>
            <w:right w:w="0" w:type="dxa"/>
          </w:tblCellMar>
        </w:tblPrEx>
        <w:tc>
          <w:tcPr>
            <w:tcW w:w="1122" w:type="dxa"/>
            <w:tcBorders>
              <w:top w:val="single" w:color="auto" w:sz="2" w:space="0"/>
              <w:left w:val="single" w:color="auto" w:sz="2" w:space="0"/>
              <w:bottom w:val="single" w:color="auto" w:sz="2" w:space="0"/>
              <w:right w:val="single" w:color="auto" w:sz="2" w:space="0"/>
            </w:tcBorders>
          </w:tcPr>
          <w:p w14:paraId="301E2A04">
            <w:pPr>
              <w:jc w:val="center"/>
              <w:rPr>
                <w:bCs/>
              </w:rPr>
            </w:pPr>
          </w:p>
        </w:tc>
        <w:tc>
          <w:tcPr>
            <w:tcW w:w="1080" w:type="dxa"/>
            <w:tcBorders>
              <w:top w:val="single" w:color="auto" w:sz="2" w:space="0"/>
              <w:left w:val="single" w:color="auto" w:sz="2" w:space="0"/>
              <w:bottom w:val="single" w:color="auto" w:sz="2" w:space="0"/>
              <w:right w:val="single" w:color="auto" w:sz="2" w:space="0"/>
            </w:tcBorders>
          </w:tcPr>
          <w:p w14:paraId="103EB2D3">
            <w:pPr>
              <w:jc w:val="center"/>
              <w:rPr>
                <w:bCs/>
              </w:rPr>
            </w:pPr>
          </w:p>
        </w:tc>
        <w:tc>
          <w:tcPr>
            <w:tcW w:w="5040" w:type="dxa"/>
            <w:tcBorders>
              <w:top w:val="single" w:color="auto" w:sz="2" w:space="0"/>
              <w:left w:val="single" w:color="auto" w:sz="2" w:space="0"/>
              <w:bottom w:val="single" w:color="auto" w:sz="2" w:space="0"/>
              <w:right w:val="single" w:color="auto" w:sz="2" w:space="0"/>
            </w:tcBorders>
          </w:tcPr>
          <w:p w14:paraId="505EF42F">
            <w:pPr>
              <w:ind w:left="69"/>
              <w:rPr>
                <w:bCs/>
                <w:i/>
                <w:iCs/>
              </w:rPr>
            </w:pPr>
            <w:r>
              <w:rPr>
                <w:bCs/>
                <w:spacing w:val="-9"/>
              </w:rPr>
              <w:t xml:space="preserve">Contract name: </w:t>
            </w:r>
            <w:r>
              <w:rPr>
                <w:bCs/>
                <w:i/>
                <w:iCs/>
              </w:rPr>
              <w:t>_________________________</w:t>
            </w:r>
          </w:p>
          <w:p w14:paraId="65CA9D5E">
            <w:pPr>
              <w:ind w:left="69"/>
              <w:rPr>
                <w:bCs/>
                <w:spacing w:val="-2"/>
              </w:rPr>
            </w:pPr>
            <w:r>
              <w:rPr>
                <w:bCs/>
                <w:spacing w:val="-2"/>
              </w:rPr>
              <w:t>Brief Description of the Works performed by the</w:t>
            </w:r>
          </w:p>
          <w:p w14:paraId="29040760">
            <w:pPr>
              <w:ind w:left="69"/>
              <w:rPr>
                <w:bCs/>
                <w:i/>
                <w:iCs/>
              </w:rPr>
            </w:pPr>
            <w:r>
              <w:rPr>
                <w:bCs/>
                <w:spacing w:val="-2"/>
              </w:rPr>
              <w:t xml:space="preserve">Bidder: </w:t>
            </w:r>
            <w:r>
              <w:rPr>
                <w:bCs/>
                <w:i/>
                <w:iCs/>
              </w:rPr>
              <w:t>_____________________________</w:t>
            </w:r>
          </w:p>
          <w:p w14:paraId="1A9BBAC1">
            <w:pPr>
              <w:ind w:left="69"/>
              <w:rPr>
                <w:bCs/>
                <w:i/>
                <w:iCs/>
              </w:rPr>
            </w:pPr>
            <w:r>
              <w:rPr>
                <w:bCs/>
                <w:spacing w:val="-2"/>
              </w:rPr>
              <w:t xml:space="preserve">Amount of contract: </w:t>
            </w:r>
            <w:r>
              <w:rPr>
                <w:bCs/>
                <w:i/>
                <w:iCs/>
              </w:rPr>
              <w:t>___________________</w:t>
            </w:r>
          </w:p>
          <w:p w14:paraId="63583F86">
            <w:pPr>
              <w:ind w:left="69"/>
              <w:rPr>
                <w:bCs/>
                <w:spacing w:val="-2"/>
              </w:rPr>
            </w:pPr>
            <w:r>
              <w:rPr>
                <w:bCs/>
                <w:spacing w:val="-2"/>
              </w:rPr>
              <w:t xml:space="preserve">Name of Employer: </w:t>
            </w:r>
            <w:r>
              <w:rPr>
                <w:bCs/>
                <w:i/>
                <w:iCs/>
              </w:rPr>
              <w:t>___________________</w:t>
            </w:r>
          </w:p>
          <w:p w14:paraId="4B89E779">
            <w:pPr>
              <w:jc w:val="center"/>
              <w:rPr>
                <w:bCs/>
              </w:rPr>
            </w:pPr>
            <w:r>
              <w:rPr>
                <w:bCs/>
                <w:spacing w:val="-2"/>
              </w:rPr>
              <w:t xml:space="preserve">Address: </w:t>
            </w:r>
            <w:r>
              <w:rPr>
                <w:bCs/>
                <w:i/>
                <w:iCs/>
              </w:rPr>
              <w:t>_________________________</w:t>
            </w:r>
          </w:p>
        </w:tc>
        <w:tc>
          <w:tcPr>
            <w:tcW w:w="2015" w:type="dxa"/>
            <w:tcBorders>
              <w:top w:val="single" w:color="auto" w:sz="2" w:space="0"/>
              <w:left w:val="single" w:color="auto" w:sz="2" w:space="0"/>
              <w:bottom w:val="single" w:color="auto" w:sz="2" w:space="0"/>
              <w:right w:val="single" w:color="auto" w:sz="2" w:space="0"/>
            </w:tcBorders>
          </w:tcPr>
          <w:p w14:paraId="0481E71A">
            <w:pPr>
              <w:jc w:val="center"/>
              <w:rPr>
                <w:bCs/>
              </w:rPr>
            </w:pPr>
          </w:p>
        </w:tc>
      </w:tr>
      <w:tr w14:paraId="6143D81B">
        <w:tblPrEx>
          <w:tblCellMar>
            <w:top w:w="0" w:type="dxa"/>
            <w:left w:w="0" w:type="dxa"/>
            <w:bottom w:w="0" w:type="dxa"/>
            <w:right w:w="0" w:type="dxa"/>
          </w:tblCellMar>
        </w:tblPrEx>
        <w:tc>
          <w:tcPr>
            <w:tcW w:w="1122" w:type="dxa"/>
            <w:tcBorders>
              <w:top w:val="single" w:color="auto" w:sz="2" w:space="0"/>
              <w:left w:val="single" w:color="auto" w:sz="2" w:space="0"/>
              <w:bottom w:val="single" w:color="auto" w:sz="2" w:space="0"/>
              <w:right w:val="single" w:color="auto" w:sz="2" w:space="0"/>
            </w:tcBorders>
          </w:tcPr>
          <w:p w14:paraId="2E85069C">
            <w:pPr>
              <w:jc w:val="center"/>
              <w:rPr>
                <w:bCs/>
              </w:rPr>
            </w:pPr>
          </w:p>
        </w:tc>
        <w:tc>
          <w:tcPr>
            <w:tcW w:w="1080" w:type="dxa"/>
            <w:tcBorders>
              <w:top w:val="single" w:color="auto" w:sz="2" w:space="0"/>
              <w:left w:val="single" w:color="auto" w:sz="2" w:space="0"/>
              <w:bottom w:val="single" w:color="auto" w:sz="2" w:space="0"/>
              <w:right w:val="single" w:color="auto" w:sz="2" w:space="0"/>
            </w:tcBorders>
          </w:tcPr>
          <w:p w14:paraId="405B5E65">
            <w:pPr>
              <w:jc w:val="center"/>
              <w:rPr>
                <w:bCs/>
              </w:rPr>
            </w:pPr>
          </w:p>
        </w:tc>
        <w:tc>
          <w:tcPr>
            <w:tcW w:w="5040" w:type="dxa"/>
            <w:tcBorders>
              <w:top w:val="single" w:color="auto" w:sz="2" w:space="0"/>
              <w:left w:val="single" w:color="auto" w:sz="2" w:space="0"/>
              <w:bottom w:val="single" w:color="auto" w:sz="2" w:space="0"/>
              <w:right w:val="single" w:color="auto" w:sz="2" w:space="0"/>
            </w:tcBorders>
          </w:tcPr>
          <w:p w14:paraId="0C412CB9">
            <w:pPr>
              <w:ind w:left="69"/>
              <w:rPr>
                <w:bCs/>
                <w:i/>
                <w:iCs/>
              </w:rPr>
            </w:pPr>
            <w:r>
              <w:rPr>
                <w:bCs/>
                <w:spacing w:val="-9"/>
              </w:rPr>
              <w:t xml:space="preserve">Contract name: </w:t>
            </w:r>
            <w:r>
              <w:rPr>
                <w:bCs/>
                <w:i/>
                <w:iCs/>
              </w:rPr>
              <w:t>________________________</w:t>
            </w:r>
          </w:p>
          <w:p w14:paraId="3B5D7B7E">
            <w:pPr>
              <w:ind w:left="69"/>
              <w:rPr>
                <w:bCs/>
                <w:spacing w:val="-2"/>
              </w:rPr>
            </w:pPr>
            <w:r>
              <w:rPr>
                <w:bCs/>
                <w:spacing w:val="-2"/>
              </w:rPr>
              <w:t>Brief Description of the Works performed by the</w:t>
            </w:r>
          </w:p>
          <w:p w14:paraId="0C5752CA">
            <w:pPr>
              <w:ind w:left="69"/>
              <w:rPr>
                <w:bCs/>
                <w:i/>
                <w:iCs/>
              </w:rPr>
            </w:pPr>
            <w:r>
              <w:rPr>
                <w:bCs/>
                <w:spacing w:val="-2"/>
              </w:rPr>
              <w:t xml:space="preserve">Bidder: </w:t>
            </w:r>
            <w:r>
              <w:rPr>
                <w:bCs/>
                <w:i/>
                <w:iCs/>
              </w:rPr>
              <w:t>__________________________</w:t>
            </w:r>
          </w:p>
          <w:p w14:paraId="0D0FC3D6">
            <w:pPr>
              <w:ind w:left="69"/>
              <w:rPr>
                <w:bCs/>
                <w:i/>
                <w:iCs/>
              </w:rPr>
            </w:pPr>
            <w:r>
              <w:rPr>
                <w:bCs/>
                <w:spacing w:val="-2"/>
              </w:rPr>
              <w:t xml:space="preserve">Amount of contract: </w:t>
            </w:r>
            <w:r>
              <w:rPr>
                <w:bCs/>
                <w:i/>
                <w:iCs/>
              </w:rPr>
              <w:t>___________________</w:t>
            </w:r>
          </w:p>
          <w:p w14:paraId="30D8A1EA">
            <w:pPr>
              <w:ind w:left="69"/>
              <w:rPr>
                <w:bCs/>
                <w:spacing w:val="-2"/>
              </w:rPr>
            </w:pPr>
            <w:r>
              <w:rPr>
                <w:bCs/>
                <w:spacing w:val="-2"/>
              </w:rPr>
              <w:t xml:space="preserve">Name of Employer: </w:t>
            </w:r>
            <w:r>
              <w:rPr>
                <w:bCs/>
                <w:i/>
                <w:iCs/>
              </w:rPr>
              <w:t>___________________</w:t>
            </w:r>
          </w:p>
          <w:p w14:paraId="01C85831">
            <w:pPr>
              <w:jc w:val="center"/>
              <w:rPr>
                <w:bCs/>
              </w:rPr>
            </w:pPr>
            <w:r>
              <w:rPr>
                <w:bCs/>
                <w:spacing w:val="-2"/>
              </w:rPr>
              <w:t xml:space="preserve">Address: </w:t>
            </w:r>
            <w:r>
              <w:rPr>
                <w:bCs/>
                <w:i/>
                <w:iCs/>
              </w:rPr>
              <w:t>_________________________</w:t>
            </w:r>
          </w:p>
        </w:tc>
        <w:tc>
          <w:tcPr>
            <w:tcW w:w="2015" w:type="dxa"/>
            <w:tcBorders>
              <w:top w:val="single" w:color="auto" w:sz="2" w:space="0"/>
              <w:left w:val="single" w:color="auto" w:sz="2" w:space="0"/>
              <w:bottom w:val="single" w:color="auto" w:sz="2" w:space="0"/>
              <w:right w:val="single" w:color="auto" w:sz="2" w:space="0"/>
            </w:tcBorders>
          </w:tcPr>
          <w:p w14:paraId="7DEBFC88">
            <w:pPr>
              <w:jc w:val="center"/>
              <w:rPr>
                <w:bCs/>
              </w:rPr>
            </w:pPr>
          </w:p>
        </w:tc>
      </w:tr>
    </w:tbl>
    <w:p w14:paraId="02C6678B">
      <w:pPr>
        <w:jc w:val="center"/>
        <w:rPr>
          <w:b/>
          <w:sz w:val="32"/>
          <w:szCs w:val="32"/>
        </w:rPr>
      </w:pPr>
    </w:p>
    <w:bookmarkEnd w:id="486"/>
    <w:p w14:paraId="107EE9E9">
      <w:pPr>
        <w:jc w:val="center"/>
        <w:rPr>
          <w:iCs/>
        </w:rPr>
      </w:pPr>
      <w:r>
        <w:br w:type="page"/>
      </w:r>
    </w:p>
    <w:p w14:paraId="6FE03BC7">
      <w:pPr>
        <w:pStyle w:val="156"/>
      </w:pPr>
      <w:bookmarkStart w:id="487" w:name="_Toc178519612"/>
      <w:r>
        <w:rPr>
          <w:szCs w:val="32"/>
        </w:rPr>
        <w:t xml:space="preserve">Form EXP - 4.2(a): </w:t>
      </w:r>
      <w:bookmarkStart w:id="488" w:name="_Toc108424569"/>
      <w:r>
        <w:t>Specific Construction and Contract Management Experience</w:t>
      </w:r>
      <w:bookmarkEnd w:id="487"/>
      <w:bookmarkEnd w:id="488"/>
    </w:p>
    <w:p w14:paraId="0862319D">
      <w:pPr>
        <w:spacing w:before="288" w:after="324" w:line="264" w:lineRule="exact"/>
        <w:jc w:val="right"/>
        <w:rPr>
          <w:spacing w:val="-4"/>
        </w:rPr>
      </w:pPr>
      <w:r>
        <w:rPr>
          <w:spacing w:val="-4"/>
        </w:rPr>
        <w:t xml:space="preserve">Bidder’s Name: </w:t>
      </w:r>
      <w:r>
        <w:rPr>
          <w:i/>
          <w:iCs/>
          <w:spacing w:val="-6"/>
        </w:rPr>
        <w:t>________________</w:t>
      </w:r>
      <w:r>
        <w:rPr>
          <w:i/>
          <w:iCs/>
          <w:spacing w:val="-6"/>
        </w:rPr>
        <w:br w:type="textWrapping"/>
      </w:r>
      <w:r>
        <w:rPr>
          <w:spacing w:val="-4"/>
        </w:rPr>
        <w:t xml:space="preserve">Date: </w:t>
      </w:r>
      <w:r>
        <w:rPr>
          <w:i/>
          <w:iCs/>
          <w:spacing w:val="-6"/>
        </w:rPr>
        <w:t>______________________</w:t>
      </w:r>
      <w:r>
        <w:rPr>
          <w:i/>
          <w:iCs/>
          <w:spacing w:val="-6"/>
        </w:rPr>
        <w:br w:type="textWrapping"/>
      </w:r>
      <w:r>
        <w:rPr>
          <w:spacing w:val="-4"/>
        </w:rPr>
        <w:t>Joint Venture Member’s Name_________________________</w:t>
      </w:r>
      <w:r>
        <w:rPr>
          <w:i/>
          <w:iCs/>
          <w:spacing w:val="-6"/>
        </w:rPr>
        <w:br w:type="textWrapping"/>
      </w:r>
      <w:r>
        <w:rPr>
          <w:rFonts w:hint="default"/>
          <w:i/>
          <w:iCs/>
          <w:spacing w:val="-6"/>
          <w:lang w:val="en-US"/>
        </w:rPr>
        <w:t>N</w:t>
      </w:r>
      <w:r>
        <w:rPr>
          <w:spacing w:val="-4"/>
        </w:rPr>
        <w:t xml:space="preserve">CB No. and title: </w:t>
      </w:r>
      <w:r>
        <w:rPr>
          <w:i/>
          <w:iCs/>
          <w:spacing w:val="-6"/>
        </w:rPr>
        <w:t>___________________________</w:t>
      </w:r>
      <w:r>
        <w:rPr>
          <w:i/>
          <w:iCs/>
          <w:spacing w:val="-6"/>
        </w:rPr>
        <w:br w:type="textWrapping"/>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tbl>
      <w:tblPr>
        <w:tblStyle w:val="12"/>
        <w:tblW w:w="9450" w:type="dxa"/>
        <w:tblInd w:w="3" w:type="dxa"/>
        <w:tblLayout w:type="fixed"/>
        <w:tblCellMar>
          <w:top w:w="0" w:type="dxa"/>
          <w:left w:w="0" w:type="dxa"/>
          <w:bottom w:w="0" w:type="dxa"/>
          <w:right w:w="0" w:type="dxa"/>
        </w:tblCellMar>
      </w:tblPr>
      <w:tblGrid>
        <w:gridCol w:w="3559"/>
        <w:gridCol w:w="1301"/>
        <w:gridCol w:w="90"/>
        <w:gridCol w:w="1530"/>
        <w:gridCol w:w="1944"/>
        <w:gridCol w:w="1026"/>
      </w:tblGrid>
      <w:tr w14:paraId="5E5FD66E">
        <w:tc>
          <w:tcPr>
            <w:tcW w:w="3559" w:type="dxa"/>
            <w:tcBorders>
              <w:top w:val="single" w:color="auto" w:sz="2" w:space="0"/>
              <w:left w:val="single" w:color="auto" w:sz="2" w:space="0"/>
              <w:bottom w:val="single" w:color="auto" w:sz="2" w:space="0"/>
              <w:right w:val="single" w:color="auto" w:sz="2" w:space="0"/>
            </w:tcBorders>
          </w:tcPr>
          <w:p w14:paraId="3A16124D">
            <w:pPr>
              <w:tabs>
                <w:tab w:val="left" w:pos="1404"/>
                <w:tab w:val="left" w:pos="2988"/>
              </w:tabs>
              <w:spacing w:before="180"/>
              <w:ind w:left="59"/>
              <w:rPr>
                <w:b/>
                <w:bCs/>
                <w:spacing w:val="4"/>
              </w:rPr>
            </w:pPr>
            <w:r>
              <w:rPr>
                <w:b/>
                <w:bCs/>
                <w:spacing w:val="4"/>
              </w:rPr>
              <w:t>Similar Contract No.</w:t>
            </w:r>
          </w:p>
          <w:p w14:paraId="7BC8EBA3">
            <w:pPr>
              <w:ind w:left="90" w:right="49"/>
              <w:rPr>
                <w:bCs/>
                <w:i/>
                <w:iCs/>
              </w:rPr>
            </w:pPr>
          </w:p>
        </w:tc>
        <w:tc>
          <w:tcPr>
            <w:tcW w:w="5891" w:type="dxa"/>
            <w:gridSpan w:val="5"/>
            <w:tcBorders>
              <w:top w:val="single" w:color="auto" w:sz="2" w:space="0"/>
              <w:left w:val="single" w:color="auto" w:sz="2" w:space="0"/>
              <w:bottom w:val="single" w:color="auto" w:sz="2" w:space="0"/>
              <w:right w:val="single" w:color="auto" w:sz="2" w:space="0"/>
            </w:tcBorders>
          </w:tcPr>
          <w:p w14:paraId="6604B9FC">
            <w:pPr>
              <w:jc w:val="center"/>
              <w:rPr>
                <w:b/>
                <w:bCs/>
                <w:spacing w:val="4"/>
              </w:rPr>
            </w:pPr>
            <w:r>
              <w:rPr>
                <w:b/>
                <w:bCs/>
                <w:spacing w:val="4"/>
              </w:rPr>
              <w:t>Information</w:t>
            </w:r>
          </w:p>
        </w:tc>
      </w:tr>
      <w:tr w14:paraId="481B9A7C">
        <w:tblPrEx>
          <w:tblCellMar>
            <w:top w:w="0" w:type="dxa"/>
            <w:left w:w="0" w:type="dxa"/>
            <w:bottom w:w="0" w:type="dxa"/>
            <w:right w:w="0" w:type="dxa"/>
          </w:tblCellMar>
        </w:tblPrEx>
        <w:trPr>
          <w:trHeight w:val="413" w:hRule="exact"/>
        </w:trPr>
        <w:tc>
          <w:tcPr>
            <w:tcW w:w="3559" w:type="dxa"/>
            <w:tcBorders>
              <w:top w:val="single" w:color="auto" w:sz="2" w:space="0"/>
              <w:left w:val="single" w:color="auto" w:sz="2" w:space="0"/>
              <w:bottom w:val="single" w:color="auto" w:sz="2" w:space="0"/>
              <w:right w:val="single" w:color="auto" w:sz="2" w:space="0"/>
            </w:tcBorders>
          </w:tcPr>
          <w:p w14:paraId="1DB22AA8">
            <w:pPr>
              <w:spacing w:before="144"/>
              <w:ind w:left="42"/>
              <w:rPr>
                <w:bCs/>
                <w:spacing w:val="-8"/>
              </w:rPr>
            </w:pPr>
            <w:r>
              <w:rPr>
                <w:bCs/>
                <w:spacing w:val="-8"/>
              </w:rPr>
              <w:t>Contract Identification</w:t>
            </w:r>
          </w:p>
        </w:tc>
        <w:tc>
          <w:tcPr>
            <w:tcW w:w="5891" w:type="dxa"/>
            <w:gridSpan w:val="5"/>
            <w:tcBorders>
              <w:top w:val="single" w:color="auto" w:sz="2" w:space="0"/>
              <w:left w:val="single" w:color="auto" w:sz="2" w:space="0"/>
              <w:bottom w:val="single" w:color="auto" w:sz="2" w:space="0"/>
              <w:right w:val="single" w:color="auto" w:sz="2" w:space="0"/>
            </w:tcBorders>
          </w:tcPr>
          <w:p w14:paraId="571B29B3">
            <w:pPr>
              <w:spacing w:before="144"/>
              <w:ind w:right="471"/>
              <w:jc w:val="right"/>
              <w:rPr>
                <w:bCs/>
                <w:i/>
                <w:iCs/>
                <w:spacing w:val="2"/>
              </w:rPr>
            </w:pPr>
          </w:p>
        </w:tc>
      </w:tr>
      <w:tr w14:paraId="65EE8C41">
        <w:tblPrEx>
          <w:tblCellMar>
            <w:top w:w="0" w:type="dxa"/>
            <w:left w:w="0" w:type="dxa"/>
            <w:bottom w:w="0" w:type="dxa"/>
            <w:right w:w="0" w:type="dxa"/>
          </w:tblCellMar>
        </w:tblPrEx>
        <w:trPr>
          <w:trHeight w:val="408" w:hRule="exact"/>
        </w:trPr>
        <w:tc>
          <w:tcPr>
            <w:tcW w:w="3559" w:type="dxa"/>
            <w:tcBorders>
              <w:top w:val="single" w:color="auto" w:sz="2" w:space="0"/>
              <w:left w:val="single" w:color="auto" w:sz="2" w:space="0"/>
              <w:bottom w:val="single" w:color="auto" w:sz="2" w:space="0"/>
              <w:right w:val="single" w:color="auto" w:sz="2" w:space="0"/>
            </w:tcBorders>
          </w:tcPr>
          <w:p w14:paraId="66025472">
            <w:pPr>
              <w:spacing w:before="144"/>
              <w:ind w:left="42"/>
              <w:rPr>
                <w:bCs/>
                <w:spacing w:val="-10"/>
              </w:rPr>
            </w:pPr>
            <w:r>
              <w:rPr>
                <w:bCs/>
                <w:spacing w:val="-10"/>
              </w:rPr>
              <w:t>Award date</w:t>
            </w:r>
          </w:p>
        </w:tc>
        <w:tc>
          <w:tcPr>
            <w:tcW w:w="5891" w:type="dxa"/>
            <w:gridSpan w:val="5"/>
            <w:tcBorders>
              <w:top w:val="single" w:color="auto" w:sz="2" w:space="0"/>
              <w:left w:val="single" w:color="auto" w:sz="2" w:space="0"/>
              <w:bottom w:val="single" w:color="auto" w:sz="2" w:space="0"/>
              <w:right w:val="single" w:color="auto" w:sz="2" w:space="0"/>
            </w:tcBorders>
          </w:tcPr>
          <w:p w14:paraId="026E8B9C">
            <w:pPr>
              <w:spacing w:before="144"/>
              <w:ind w:right="741"/>
              <w:jc w:val="right"/>
              <w:rPr>
                <w:bCs/>
                <w:i/>
                <w:iCs/>
                <w:spacing w:val="2"/>
              </w:rPr>
            </w:pPr>
          </w:p>
        </w:tc>
      </w:tr>
      <w:tr w14:paraId="1B2370FD">
        <w:tblPrEx>
          <w:tblCellMar>
            <w:top w:w="0" w:type="dxa"/>
            <w:left w:w="0" w:type="dxa"/>
            <w:bottom w:w="0" w:type="dxa"/>
            <w:right w:w="0" w:type="dxa"/>
          </w:tblCellMar>
        </w:tblPrEx>
        <w:trPr>
          <w:trHeight w:val="413" w:hRule="exact"/>
        </w:trPr>
        <w:tc>
          <w:tcPr>
            <w:tcW w:w="3559" w:type="dxa"/>
            <w:tcBorders>
              <w:top w:val="single" w:color="auto" w:sz="2" w:space="0"/>
              <w:left w:val="single" w:color="auto" w:sz="2" w:space="0"/>
              <w:bottom w:val="single" w:color="auto" w:sz="2" w:space="0"/>
              <w:right w:val="single" w:color="auto" w:sz="2" w:space="0"/>
            </w:tcBorders>
          </w:tcPr>
          <w:p w14:paraId="0B877661">
            <w:pPr>
              <w:spacing w:before="144"/>
              <w:ind w:left="42"/>
              <w:rPr>
                <w:bCs/>
                <w:spacing w:val="-4"/>
              </w:rPr>
            </w:pPr>
            <w:r>
              <w:rPr>
                <w:bCs/>
                <w:spacing w:val="-4"/>
              </w:rPr>
              <w:t>Completion date</w:t>
            </w:r>
          </w:p>
        </w:tc>
        <w:tc>
          <w:tcPr>
            <w:tcW w:w="5891" w:type="dxa"/>
            <w:gridSpan w:val="5"/>
            <w:tcBorders>
              <w:top w:val="single" w:color="auto" w:sz="2" w:space="0"/>
              <w:left w:val="single" w:color="auto" w:sz="2" w:space="0"/>
              <w:bottom w:val="single" w:color="auto" w:sz="2" w:space="0"/>
              <w:right w:val="single" w:color="auto" w:sz="2" w:space="0"/>
            </w:tcBorders>
          </w:tcPr>
          <w:p w14:paraId="66D52CC5">
            <w:pPr>
              <w:spacing w:before="144"/>
              <w:ind w:right="381"/>
              <w:jc w:val="right"/>
              <w:rPr>
                <w:bCs/>
                <w:i/>
                <w:iCs/>
                <w:spacing w:val="2"/>
              </w:rPr>
            </w:pPr>
          </w:p>
        </w:tc>
      </w:tr>
      <w:tr w14:paraId="55AC2944">
        <w:trPr>
          <w:trHeight w:val="1109" w:hRule="exact"/>
        </w:trPr>
        <w:tc>
          <w:tcPr>
            <w:tcW w:w="3559" w:type="dxa"/>
            <w:tcBorders>
              <w:top w:val="single" w:color="auto" w:sz="2" w:space="0"/>
              <w:left w:val="single" w:color="auto" w:sz="2" w:space="0"/>
              <w:bottom w:val="single" w:color="auto" w:sz="2" w:space="0"/>
              <w:right w:val="single" w:color="auto" w:sz="2" w:space="0"/>
            </w:tcBorders>
          </w:tcPr>
          <w:p w14:paraId="39B25135">
            <w:pPr>
              <w:spacing w:before="144"/>
              <w:ind w:left="42"/>
              <w:rPr>
                <w:bCs/>
                <w:spacing w:val="-4"/>
              </w:rPr>
            </w:pPr>
            <w:r>
              <w:rPr>
                <w:bCs/>
                <w:spacing w:val="-4"/>
              </w:rPr>
              <w:t>Role in Contract</w:t>
            </w:r>
          </w:p>
          <w:p w14:paraId="08E23A0B">
            <w:pPr>
              <w:spacing w:after="396"/>
              <w:ind w:left="42"/>
              <w:rPr>
                <w:bCs/>
                <w:i/>
                <w:iCs/>
                <w:spacing w:val="2"/>
              </w:rPr>
            </w:pPr>
          </w:p>
        </w:tc>
        <w:tc>
          <w:tcPr>
            <w:tcW w:w="1391" w:type="dxa"/>
            <w:gridSpan w:val="2"/>
            <w:tcBorders>
              <w:top w:val="single" w:color="auto" w:sz="2" w:space="0"/>
              <w:left w:val="single" w:color="auto" w:sz="2" w:space="0"/>
              <w:bottom w:val="single" w:color="auto" w:sz="2" w:space="0"/>
              <w:right w:val="single" w:color="auto" w:sz="2" w:space="0"/>
            </w:tcBorders>
            <w:vAlign w:val="center"/>
          </w:tcPr>
          <w:p w14:paraId="69D97F07">
            <w:pPr>
              <w:ind w:right="374"/>
              <w:jc w:val="center"/>
              <w:rPr>
                <w:bCs/>
                <w:spacing w:val="-4"/>
              </w:rPr>
            </w:pPr>
            <w:r>
              <w:rPr>
                <w:bCs/>
                <w:spacing w:val="-4"/>
              </w:rPr>
              <w:t xml:space="preserve">Prime Contractor </w:t>
            </w:r>
            <w:r>
              <w:rPr>
                <w:rFonts w:ascii="MS Mincho" w:hAnsi="MS Mincho" w:eastAsia="MS Mincho" w:cs="MS Mincho"/>
                <w:spacing w:val="-2"/>
              </w:rPr>
              <w:sym w:font="Wingdings" w:char="F0A8"/>
            </w:r>
          </w:p>
        </w:tc>
        <w:tc>
          <w:tcPr>
            <w:tcW w:w="1530" w:type="dxa"/>
            <w:tcBorders>
              <w:top w:val="single" w:color="auto" w:sz="2" w:space="0"/>
              <w:left w:val="single" w:color="auto" w:sz="2" w:space="0"/>
              <w:bottom w:val="single" w:color="auto" w:sz="2" w:space="0"/>
              <w:right w:val="single" w:color="auto" w:sz="2" w:space="0"/>
            </w:tcBorders>
            <w:vAlign w:val="center"/>
          </w:tcPr>
          <w:p w14:paraId="57EB10E0">
            <w:pPr>
              <w:ind w:right="374"/>
              <w:jc w:val="center"/>
              <w:rPr>
                <w:rFonts w:ascii="MS Mincho" w:hAnsi="MS Mincho" w:eastAsia="MS Mincho" w:cs="MS Mincho"/>
                <w:spacing w:val="-2"/>
              </w:rPr>
            </w:pPr>
            <w:r>
              <w:rPr>
                <w:bCs/>
                <w:spacing w:val="-4"/>
              </w:rPr>
              <w:t xml:space="preserve">Member in </w:t>
            </w:r>
            <w:r>
              <w:rPr>
                <w:bCs/>
                <w:spacing w:val="-4"/>
              </w:rPr>
              <w:br w:type="textWrapping"/>
            </w:r>
            <w:r>
              <w:rPr>
                <w:bCs/>
                <w:spacing w:val="-4"/>
              </w:rPr>
              <w:t>JV</w:t>
            </w:r>
            <w:r>
              <w:rPr>
                <w:rFonts w:ascii="MS Mincho" w:hAnsi="MS Mincho" w:eastAsia="MS Mincho" w:cs="MS Mincho"/>
                <w:spacing w:val="-2"/>
              </w:rPr>
              <w:t xml:space="preserve"> </w:t>
            </w:r>
          </w:p>
          <w:p w14:paraId="6FF33957">
            <w:pPr>
              <w:ind w:right="374"/>
              <w:jc w:val="center"/>
              <w:rPr>
                <w:bCs/>
                <w:spacing w:val="-4"/>
              </w:rPr>
            </w:pPr>
            <w:r>
              <w:rPr>
                <w:rFonts w:ascii="MS Mincho" w:hAnsi="MS Mincho" w:eastAsia="MS Mincho" w:cs="MS Mincho"/>
                <w:spacing w:val="-2"/>
              </w:rPr>
              <w:sym w:font="Wingdings" w:char="F0A8"/>
            </w:r>
          </w:p>
        </w:tc>
        <w:tc>
          <w:tcPr>
            <w:tcW w:w="1944" w:type="dxa"/>
            <w:tcBorders>
              <w:top w:val="single" w:color="auto" w:sz="2" w:space="0"/>
              <w:left w:val="single" w:color="auto" w:sz="2" w:space="0"/>
              <w:bottom w:val="single" w:color="auto" w:sz="2" w:space="0"/>
              <w:right w:val="single" w:color="auto" w:sz="2" w:space="0"/>
            </w:tcBorders>
            <w:vAlign w:val="center"/>
          </w:tcPr>
          <w:p w14:paraId="60EBA1E2">
            <w:pPr>
              <w:jc w:val="center"/>
              <w:rPr>
                <w:bCs/>
                <w:spacing w:val="-4"/>
              </w:rPr>
            </w:pPr>
            <w:r>
              <w:rPr>
                <w:bCs/>
                <w:spacing w:val="-4"/>
              </w:rPr>
              <w:t>Management Contractor</w:t>
            </w:r>
          </w:p>
          <w:p w14:paraId="4AAE4EDE">
            <w:pPr>
              <w:jc w:val="center"/>
              <w:rPr>
                <w:bCs/>
                <w:spacing w:val="-4"/>
              </w:rPr>
            </w:pPr>
            <w:r>
              <w:rPr>
                <w:rFonts w:ascii="MS Mincho" w:hAnsi="MS Mincho" w:eastAsia="MS Mincho" w:cs="MS Mincho"/>
                <w:spacing w:val="-2"/>
              </w:rPr>
              <w:sym w:font="Wingdings" w:char="F0A8"/>
            </w:r>
          </w:p>
        </w:tc>
        <w:tc>
          <w:tcPr>
            <w:tcW w:w="1026" w:type="dxa"/>
            <w:tcBorders>
              <w:top w:val="single" w:color="auto" w:sz="2" w:space="0"/>
              <w:left w:val="single" w:color="auto" w:sz="2" w:space="0"/>
              <w:bottom w:val="single" w:color="auto" w:sz="2" w:space="0"/>
              <w:right w:val="single" w:color="auto" w:sz="2" w:space="0"/>
            </w:tcBorders>
            <w:vAlign w:val="center"/>
          </w:tcPr>
          <w:p w14:paraId="1C14667A">
            <w:pPr>
              <w:jc w:val="center"/>
              <w:rPr>
                <w:bCs/>
                <w:spacing w:val="-4"/>
              </w:rPr>
            </w:pPr>
            <w:r>
              <w:rPr>
                <w:bCs/>
                <w:spacing w:val="-4"/>
              </w:rPr>
              <w:t xml:space="preserve">Sub-contractor </w:t>
            </w:r>
            <w:r>
              <w:rPr>
                <w:rFonts w:ascii="MS Mincho" w:hAnsi="MS Mincho" w:eastAsia="MS Mincho" w:cs="MS Mincho"/>
                <w:spacing w:val="-2"/>
              </w:rPr>
              <w:sym w:font="Wingdings" w:char="F0A8"/>
            </w:r>
          </w:p>
        </w:tc>
      </w:tr>
      <w:tr w14:paraId="691AB938">
        <w:tblPrEx>
          <w:tblCellMar>
            <w:top w:w="0" w:type="dxa"/>
            <w:left w:w="0" w:type="dxa"/>
            <w:bottom w:w="0" w:type="dxa"/>
            <w:right w:w="0" w:type="dxa"/>
          </w:tblCellMar>
        </w:tblPrEx>
        <w:tc>
          <w:tcPr>
            <w:tcW w:w="3559" w:type="dxa"/>
            <w:tcBorders>
              <w:top w:val="single" w:color="auto" w:sz="2" w:space="0"/>
              <w:left w:val="single" w:color="auto" w:sz="2" w:space="0"/>
              <w:right w:val="single" w:color="auto" w:sz="2" w:space="0"/>
            </w:tcBorders>
          </w:tcPr>
          <w:p w14:paraId="48B7F277">
            <w:pPr>
              <w:spacing w:before="144" w:after="324"/>
              <w:ind w:left="42"/>
              <w:rPr>
                <w:bCs/>
                <w:spacing w:val="-11"/>
              </w:rPr>
            </w:pPr>
            <w:r>
              <w:rPr>
                <w:bCs/>
                <w:spacing w:val="-11"/>
              </w:rPr>
              <w:t>Total Contract Amount</w:t>
            </w:r>
          </w:p>
        </w:tc>
        <w:tc>
          <w:tcPr>
            <w:tcW w:w="2921" w:type="dxa"/>
            <w:gridSpan w:val="3"/>
            <w:tcBorders>
              <w:top w:val="single" w:color="auto" w:sz="2" w:space="0"/>
              <w:left w:val="single" w:color="auto" w:sz="2" w:space="0"/>
              <w:right w:val="single" w:color="auto" w:sz="2" w:space="0"/>
            </w:tcBorders>
          </w:tcPr>
          <w:p w14:paraId="53DD9420">
            <w:pPr>
              <w:spacing w:before="144"/>
              <w:ind w:left="61"/>
              <w:rPr>
                <w:bCs/>
                <w:i/>
                <w:iCs/>
                <w:spacing w:val="2"/>
              </w:rPr>
            </w:pPr>
          </w:p>
        </w:tc>
        <w:tc>
          <w:tcPr>
            <w:tcW w:w="2970" w:type="dxa"/>
            <w:gridSpan w:val="2"/>
            <w:tcBorders>
              <w:top w:val="single" w:color="auto" w:sz="2" w:space="0"/>
              <w:left w:val="single" w:color="auto" w:sz="2" w:space="0"/>
              <w:right w:val="single" w:color="auto" w:sz="2" w:space="0"/>
            </w:tcBorders>
          </w:tcPr>
          <w:p w14:paraId="768861BE">
            <w:pPr>
              <w:spacing w:before="144"/>
              <w:ind w:left="61"/>
              <w:rPr>
                <w:bCs/>
                <w:i/>
                <w:iCs/>
                <w:spacing w:val="2"/>
              </w:rPr>
            </w:pPr>
            <w:r>
              <w:rPr>
                <w:bCs/>
                <w:spacing w:val="-4"/>
              </w:rPr>
              <w:t xml:space="preserve">US$ </w:t>
            </w:r>
            <w:r>
              <w:rPr>
                <w:bCs/>
                <w:i/>
                <w:iCs/>
                <w:spacing w:val="2"/>
              </w:rPr>
              <w:t>*</w:t>
            </w:r>
          </w:p>
        </w:tc>
      </w:tr>
      <w:tr w14:paraId="34F08C54">
        <w:tblPrEx>
          <w:tblCellMar>
            <w:top w:w="0" w:type="dxa"/>
            <w:left w:w="0" w:type="dxa"/>
            <w:bottom w:w="0" w:type="dxa"/>
            <w:right w:w="0" w:type="dxa"/>
          </w:tblCellMar>
        </w:tblPrEx>
        <w:tc>
          <w:tcPr>
            <w:tcW w:w="3559" w:type="dxa"/>
            <w:tcBorders>
              <w:top w:val="single" w:color="auto" w:sz="2" w:space="0"/>
              <w:left w:val="single" w:color="auto" w:sz="2" w:space="0"/>
              <w:right w:val="single" w:color="auto" w:sz="2" w:space="0"/>
            </w:tcBorders>
          </w:tcPr>
          <w:p w14:paraId="41409BA5">
            <w:pPr>
              <w:spacing w:before="288"/>
              <w:ind w:left="42"/>
              <w:rPr>
                <w:bCs/>
              </w:rPr>
            </w:pPr>
            <w:r>
              <w:rPr>
                <w:bCs/>
              </w:rPr>
              <w:t>If member in a JV or sub-contractor, specify participation in total Contract amount</w:t>
            </w:r>
          </w:p>
        </w:tc>
        <w:tc>
          <w:tcPr>
            <w:tcW w:w="1301" w:type="dxa"/>
            <w:tcBorders>
              <w:top w:val="single" w:color="auto" w:sz="2" w:space="0"/>
              <w:left w:val="single" w:color="auto" w:sz="2" w:space="0"/>
              <w:right w:val="single" w:color="auto" w:sz="2" w:space="0"/>
            </w:tcBorders>
          </w:tcPr>
          <w:p w14:paraId="669FDDE8">
            <w:pPr>
              <w:spacing w:before="144"/>
              <w:ind w:left="61"/>
              <w:rPr>
                <w:bCs/>
                <w:i/>
                <w:iCs/>
              </w:rPr>
            </w:pPr>
          </w:p>
        </w:tc>
        <w:tc>
          <w:tcPr>
            <w:tcW w:w="1620" w:type="dxa"/>
            <w:gridSpan w:val="2"/>
            <w:tcBorders>
              <w:top w:val="single" w:color="auto" w:sz="2" w:space="0"/>
              <w:left w:val="single" w:color="auto" w:sz="2" w:space="0"/>
              <w:right w:val="single" w:color="auto" w:sz="2" w:space="0"/>
            </w:tcBorders>
          </w:tcPr>
          <w:p w14:paraId="1E110CBD">
            <w:pPr>
              <w:spacing w:before="144"/>
              <w:ind w:left="61"/>
              <w:rPr>
                <w:bCs/>
                <w:i/>
                <w:iCs/>
              </w:rPr>
            </w:pPr>
          </w:p>
        </w:tc>
        <w:tc>
          <w:tcPr>
            <w:tcW w:w="2970" w:type="dxa"/>
            <w:gridSpan w:val="2"/>
            <w:tcBorders>
              <w:top w:val="single" w:color="auto" w:sz="2" w:space="0"/>
              <w:left w:val="single" w:color="auto" w:sz="2" w:space="0"/>
              <w:right w:val="single" w:color="auto" w:sz="2" w:space="0"/>
            </w:tcBorders>
          </w:tcPr>
          <w:p w14:paraId="0F226104">
            <w:pPr>
              <w:spacing w:before="144"/>
              <w:ind w:left="61"/>
              <w:rPr>
                <w:bCs/>
                <w:i/>
                <w:iCs/>
              </w:rPr>
            </w:pPr>
            <w:r>
              <w:rPr>
                <w:bCs/>
                <w:i/>
                <w:spacing w:val="-4"/>
              </w:rPr>
              <w:t>*</w:t>
            </w:r>
          </w:p>
        </w:tc>
      </w:tr>
      <w:tr w14:paraId="0B55E3BE">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0B443CFF">
            <w:pPr>
              <w:spacing w:before="144"/>
              <w:ind w:left="42"/>
              <w:rPr>
                <w:bCs/>
              </w:rPr>
            </w:pPr>
            <w:r>
              <w:rPr>
                <w:bCs/>
              </w:rPr>
              <w:t>Employer's Name:</w:t>
            </w:r>
          </w:p>
        </w:tc>
        <w:tc>
          <w:tcPr>
            <w:tcW w:w="5891" w:type="dxa"/>
            <w:gridSpan w:val="5"/>
            <w:tcBorders>
              <w:top w:val="single" w:color="auto" w:sz="2" w:space="0"/>
              <w:left w:val="single" w:color="auto" w:sz="2" w:space="0"/>
              <w:bottom w:val="single" w:color="auto" w:sz="2" w:space="0"/>
              <w:right w:val="single" w:color="auto" w:sz="2" w:space="0"/>
            </w:tcBorders>
          </w:tcPr>
          <w:p w14:paraId="53E4CB3E">
            <w:pPr>
              <w:spacing w:before="144"/>
              <w:rPr>
                <w:bCs/>
                <w:i/>
                <w:iCs/>
              </w:rPr>
            </w:pPr>
          </w:p>
        </w:tc>
      </w:tr>
      <w:tr w14:paraId="5B99E090">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790E97CF">
            <w:pPr>
              <w:ind w:left="42"/>
              <w:rPr>
                <w:bCs/>
              </w:rPr>
            </w:pPr>
            <w:r>
              <w:rPr>
                <w:bCs/>
              </w:rPr>
              <w:t>Address:</w:t>
            </w:r>
          </w:p>
          <w:p w14:paraId="3FE2CB59">
            <w:pPr>
              <w:spacing w:before="252"/>
              <w:ind w:left="42"/>
              <w:rPr>
                <w:bCs/>
              </w:rPr>
            </w:pPr>
            <w:r>
              <w:rPr>
                <w:bCs/>
              </w:rPr>
              <w:t>Telephone/fax number</w:t>
            </w:r>
          </w:p>
          <w:p w14:paraId="7A9FE594">
            <w:pPr>
              <w:spacing w:before="540" w:after="252"/>
              <w:ind w:left="42"/>
              <w:rPr>
                <w:bCs/>
              </w:rPr>
            </w:pPr>
            <w:r>
              <w:rPr>
                <w:bCs/>
              </w:rPr>
              <w:t>E-mail:</w:t>
            </w:r>
          </w:p>
        </w:tc>
        <w:tc>
          <w:tcPr>
            <w:tcW w:w="5891" w:type="dxa"/>
            <w:gridSpan w:val="5"/>
            <w:tcBorders>
              <w:top w:val="single" w:color="auto" w:sz="2" w:space="0"/>
              <w:left w:val="single" w:color="auto" w:sz="2" w:space="0"/>
              <w:bottom w:val="single" w:color="auto" w:sz="2" w:space="0"/>
              <w:right w:val="single" w:color="auto" w:sz="2" w:space="0"/>
            </w:tcBorders>
          </w:tcPr>
          <w:p w14:paraId="63374D35">
            <w:pPr>
              <w:spacing w:before="288" w:after="120"/>
              <w:rPr>
                <w:bCs/>
                <w:i/>
                <w:iCs/>
                <w:spacing w:val="2"/>
              </w:rPr>
            </w:pPr>
          </w:p>
        </w:tc>
      </w:tr>
    </w:tbl>
    <w:p w14:paraId="3948ED3F">
      <w:pPr>
        <w:jc w:val="center"/>
        <w:rPr>
          <w:b/>
          <w:sz w:val="32"/>
          <w:szCs w:val="32"/>
        </w:rPr>
      </w:pPr>
      <w:r>
        <w:rPr>
          <w:b/>
          <w:sz w:val="32"/>
          <w:szCs w:val="32"/>
        </w:rPr>
        <w:br w:type="page"/>
      </w:r>
      <w:r>
        <w:rPr>
          <w:b/>
          <w:sz w:val="32"/>
          <w:szCs w:val="32"/>
        </w:rPr>
        <w:t xml:space="preserve"> Form EXP - 4.2(a) (cont.)</w:t>
      </w:r>
    </w:p>
    <w:p w14:paraId="3DC26A2C">
      <w:pPr>
        <w:jc w:val="center"/>
        <w:rPr>
          <w:b/>
          <w:sz w:val="32"/>
          <w:szCs w:val="36"/>
        </w:rPr>
      </w:pPr>
      <w:r>
        <w:rPr>
          <w:b/>
          <w:sz w:val="32"/>
          <w:szCs w:val="36"/>
        </w:rPr>
        <w:t>Specific Construction and Contract Management Experience (cont.)</w:t>
      </w:r>
    </w:p>
    <w:p w14:paraId="666FDD1E">
      <w:pPr>
        <w:jc w:val="center"/>
        <w:rPr>
          <w:b/>
          <w:sz w:val="36"/>
          <w:szCs w:val="36"/>
        </w:rPr>
      </w:pPr>
    </w:p>
    <w:tbl>
      <w:tblPr>
        <w:tblStyle w:val="12"/>
        <w:tblW w:w="0" w:type="auto"/>
        <w:tblInd w:w="3" w:type="dxa"/>
        <w:tblLayout w:type="fixed"/>
        <w:tblCellMar>
          <w:top w:w="0" w:type="dxa"/>
          <w:left w:w="0" w:type="dxa"/>
          <w:bottom w:w="0" w:type="dxa"/>
          <w:right w:w="0" w:type="dxa"/>
        </w:tblCellMar>
      </w:tblPr>
      <w:tblGrid>
        <w:gridCol w:w="3559"/>
        <w:gridCol w:w="5623"/>
      </w:tblGrid>
      <w:tr w14:paraId="205B19F9">
        <w:tc>
          <w:tcPr>
            <w:tcW w:w="3559" w:type="dxa"/>
            <w:tcBorders>
              <w:top w:val="single" w:color="auto" w:sz="2" w:space="0"/>
              <w:left w:val="single" w:color="auto" w:sz="2" w:space="0"/>
              <w:bottom w:val="single" w:color="auto" w:sz="2" w:space="0"/>
              <w:right w:val="single" w:color="auto" w:sz="2" w:space="0"/>
            </w:tcBorders>
          </w:tcPr>
          <w:p w14:paraId="6C82BE82">
            <w:pPr>
              <w:jc w:val="center"/>
              <w:rPr>
                <w:b/>
                <w:bCs/>
                <w:spacing w:val="4"/>
              </w:rPr>
            </w:pPr>
            <w:r>
              <w:rPr>
                <w:b/>
                <w:bCs/>
                <w:spacing w:val="4"/>
              </w:rPr>
              <w:t>Similar Contract No.</w:t>
            </w:r>
          </w:p>
          <w:p w14:paraId="6ED36FAB">
            <w:pPr>
              <w:jc w:val="center"/>
              <w:rPr>
                <w:bCs/>
                <w:i/>
                <w:iCs/>
              </w:rPr>
            </w:pPr>
          </w:p>
        </w:tc>
        <w:tc>
          <w:tcPr>
            <w:tcW w:w="5623" w:type="dxa"/>
            <w:tcBorders>
              <w:top w:val="single" w:color="auto" w:sz="2" w:space="0"/>
              <w:left w:val="single" w:color="auto" w:sz="2" w:space="0"/>
              <w:bottom w:val="single" w:color="auto" w:sz="2" w:space="0"/>
              <w:right w:val="single" w:color="auto" w:sz="2" w:space="0"/>
            </w:tcBorders>
          </w:tcPr>
          <w:p w14:paraId="406FE96F">
            <w:pPr>
              <w:jc w:val="center"/>
              <w:rPr>
                <w:b/>
                <w:bCs/>
                <w:spacing w:val="4"/>
              </w:rPr>
            </w:pPr>
            <w:r>
              <w:rPr>
                <w:b/>
                <w:bCs/>
                <w:spacing w:val="4"/>
              </w:rPr>
              <w:t>Information</w:t>
            </w:r>
          </w:p>
        </w:tc>
      </w:tr>
      <w:tr w14:paraId="3ADD9DF5">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62002658">
            <w:pPr>
              <w:jc w:val="center"/>
              <w:rPr>
                <w:b/>
                <w:bCs/>
                <w:spacing w:val="4"/>
              </w:rPr>
            </w:pPr>
            <w:r>
              <w:t>Description of the similarity in accordance with Sub-Factor 4.2(a) of Section III:</w:t>
            </w:r>
          </w:p>
        </w:tc>
        <w:tc>
          <w:tcPr>
            <w:tcW w:w="5623" w:type="dxa"/>
            <w:tcBorders>
              <w:top w:val="single" w:color="auto" w:sz="2" w:space="0"/>
              <w:left w:val="single" w:color="auto" w:sz="2" w:space="0"/>
              <w:bottom w:val="single" w:color="auto" w:sz="2" w:space="0"/>
              <w:right w:val="single" w:color="auto" w:sz="2" w:space="0"/>
            </w:tcBorders>
          </w:tcPr>
          <w:p w14:paraId="3ACBE359">
            <w:pPr>
              <w:jc w:val="center"/>
              <w:rPr>
                <w:b/>
                <w:bCs/>
                <w:spacing w:val="4"/>
              </w:rPr>
            </w:pPr>
          </w:p>
        </w:tc>
      </w:tr>
      <w:tr w14:paraId="6AB55684">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63018490">
            <w:pPr>
              <w:spacing w:before="120" w:after="120"/>
              <w:ind w:left="86"/>
            </w:pPr>
            <w:r>
              <w:t>1. Amount</w:t>
            </w:r>
          </w:p>
        </w:tc>
        <w:tc>
          <w:tcPr>
            <w:tcW w:w="5623" w:type="dxa"/>
            <w:tcBorders>
              <w:top w:val="single" w:color="auto" w:sz="2" w:space="0"/>
              <w:left w:val="single" w:color="auto" w:sz="2" w:space="0"/>
              <w:bottom w:val="single" w:color="auto" w:sz="2" w:space="0"/>
              <w:right w:val="single" w:color="auto" w:sz="2" w:space="0"/>
            </w:tcBorders>
          </w:tcPr>
          <w:p w14:paraId="4C4769DE">
            <w:pPr>
              <w:jc w:val="center"/>
              <w:rPr>
                <w:b/>
                <w:bCs/>
                <w:spacing w:val="4"/>
              </w:rPr>
            </w:pPr>
          </w:p>
        </w:tc>
      </w:tr>
      <w:tr w14:paraId="4A2FC88B">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49C5033C">
            <w:pPr>
              <w:spacing w:before="120" w:after="120"/>
              <w:ind w:left="86"/>
            </w:pPr>
            <w:r>
              <w:t>2. Physical size of required works items</w:t>
            </w:r>
          </w:p>
        </w:tc>
        <w:tc>
          <w:tcPr>
            <w:tcW w:w="5623" w:type="dxa"/>
            <w:tcBorders>
              <w:top w:val="single" w:color="auto" w:sz="2" w:space="0"/>
              <w:left w:val="single" w:color="auto" w:sz="2" w:space="0"/>
              <w:bottom w:val="single" w:color="auto" w:sz="2" w:space="0"/>
              <w:right w:val="single" w:color="auto" w:sz="2" w:space="0"/>
            </w:tcBorders>
          </w:tcPr>
          <w:p w14:paraId="2619E340">
            <w:pPr>
              <w:jc w:val="center"/>
              <w:rPr>
                <w:b/>
                <w:bCs/>
                <w:spacing w:val="4"/>
              </w:rPr>
            </w:pPr>
          </w:p>
        </w:tc>
      </w:tr>
      <w:tr w14:paraId="28E3D6B0">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262D627A">
            <w:pPr>
              <w:spacing w:before="120" w:after="120"/>
              <w:ind w:left="86"/>
            </w:pPr>
            <w:r>
              <w:t>3. Complexity</w:t>
            </w:r>
          </w:p>
        </w:tc>
        <w:tc>
          <w:tcPr>
            <w:tcW w:w="5623" w:type="dxa"/>
            <w:tcBorders>
              <w:top w:val="single" w:color="auto" w:sz="2" w:space="0"/>
              <w:left w:val="single" w:color="auto" w:sz="2" w:space="0"/>
              <w:bottom w:val="single" w:color="auto" w:sz="2" w:space="0"/>
              <w:right w:val="single" w:color="auto" w:sz="2" w:space="0"/>
            </w:tcBorders>
          </w:tcPr>
          <w:p w14:paraId="36279DF7">
            <w:pPr>
              <w:jc w:val="center"/>
              <w:rPr>
                <w:b/>
                <w:bCs/>
                <w:spacing w:val="4"/>
              </w:rPr>
            </w:pPr>
          </w:p>
        </w:tc>
      </w:tr>
      <w:tr w14:paraId="55E66177">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47AFDC21">
            <w:pPr>
              <w:spacing w:before="120" w:after="120"/>
              <w:ind w:left="86"/>
            </w:pPr>
            <w:r>
              <w:t>4. Methods/Technology</w:t>
            </w:r>
          </w:p>
        </w:tc>
        <w:tc>
          <w:tcPr>
            <w:tcW w:w="5623" w:type="dxa"/>
            <w:tcBorders>
              <w:top w:val="single" w:color="auto" w:sz="2" w:space="0"/>
              <w:left w:val="single" w:color="auto" w:sz="2" w:space="0"/>
              <w:bottom w:val="single" w:color="auto" w:sz="2" w:space="0"/>
              <w:right w:val="single" w:color="auto" w:sz="2" w:space="0"/>
            </w:tcBorders>
          </w:tcPr>
          <w:p w14:paraId="409CAEB0">
            <w:pPr>
              <w:jc w:val="center"/>
              <w:rPr>
                <w:b/>
                <w:bCs/>
                <w:spacing w:val="4"/>
              </w:rPr>
            </w:pPr>
          </w:p>
        </w:tc>
      </w:tr>
      <w:tr w14:paraId="0A160BC4">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0235EFAC">
            <w:pPr>
              <w:spacing w:before="120" w:after="120"/>
              <w:ind w:left="86"/>
            </w:pPr>
            <w:r>
              <w:t>5. Construction rate for key activities</w:t>
            </w:r>
          </w:p>
        </w:tc>
        <w:tc>
          <w:tcPr>
            <w:tcW w:w="5623" w:type="dxa"/>
            <w:tcBorders>
              <w:top w:val="single" w:color="auto" w:sz="2" w:space="0"/>
              <w:left w:val="single" w:color="auto" w:sz="2" w:space="0"/>
              <w:bottom w:val="single" w:color="auto" w:sz="2" w:space="0"/>
              <w:right w:val="single" w:color="auto" w:sz="2" w:space="0"/>
            </w:tcBorders>
          </w:tcPr>
          <w:p w14:paraId="6A383A00">
            <w:pPr>
              <w:jc w:val="center"/>
              <w:rPr>
                <w:b/>
                <w:bCs/>
                <w:spacing w:val="4"/>
              </w:rPr>
            </w:pPr>
          </w:p>
        </w:tc>
      </w:tr>
      <w:tr w14:paraId="5A7E419C">
        <w:tblPrEx>
          <w:tblCellMar>
            <w:top w:w="0" w:type="dxa"/>
            <w:left w:w="0" w:type="dxa"/>
            <w:bottom w:w="0" w:type="dxa"/>
            <w:right w:w="0" w:type="dxa"/>
          </w:tblCellMar>
        </w:tblPrEx>
        <w:tc>
          <w:tcPr>
            <w:tcW w:w="3559" w:type="dxa"/>
            <w:tcBorders>
              <w:top w:val="single" w:color="auto" w:sz="2" w:space="0"/>
              <w:left w:val="single" w:color="auto" w:sz="2" w:space="0"/>
              <w:bottom w:val="single" w:color="auto" w:sz="2" w:space="0"/>
              <w:right w:val="single" w:color="auto" w:sz="2" w:space="0"/>
            </w:tcBorders>
          </w:tcPr>
          <w:p w14:paraId="0ACE08B1">
            <w:pPr>
              <w:spacing w:before="120" w:after="120"/>
              <w:ind w:left="86"/>
            </w:pPr>
            <w:r>
              <w:t>6. Other Characteristics</w:t>
            </w:r>
          </w:p>
        </w:tc>
        <w:tc>
          <w:tcPr>
            <w:tcW w:w="5623" w:type="dxa"/>
            <w:tcBorders>
              <w:top w:val="single" w:color="auto" w:sz="2" w:space="0"/>
              <w:left w:val="single" w:color="auto" w:sz="2" w:space="0"/>
              <w:bottom w:val="single" w:color="auto" w:sz="2" w:space="0"/>
              <w:right w:val="single" w:color="auto" w:sz="2" w:space="0"/>
            </w:tcBorders>
          </w:tcPr>
          <w:p w14:paraId="1D302168">
            <w:pPr>
              <w:jc w:val="center"/>
              <w:rPr>
                <w:b/>
                <w:bCs/>
                <w:spacing w:val="4"/>
              </w:rPr>
            </w:pPr>
          </w:p>
        </w:tc>
      </w:tr>
    </w:tbl>
    <w:p w14:paraId="38A7EBAB">
      <w:pPr>
        <w:pStyle w:val="156"/>
      </w:pPr>
      <w:r>
        <w:br w:type="page"/>
      </w:r>
      <w:bookmarkStart w:id="489" w:name="_Toc178519613"/>
      <w:r>
        <w:rPr>
          <w:szCs w:val="32"/>
        </w:rPr>
        <w:t xml:space="preserve">Form EXP </w:t>
      </w:r>
      <w:r>
        <w:rPr>
          <w:spacing w:val="22"/>
          <w:szCs w:val="32"/>
        </w:rPr>
        <w:t xml:space="preserve">- </w:t>
      </w:r>
      <w:r>
        <w:rPr>
          <w:spacing w:val="21"/>
          <w:szCs w:val="32"/>
        </w:rPr>
        <w:t xml:space="preserve">4.2(b): </w:t>
      </w:r>
      <w:bookmarkStart w:id="490" w:name="_Toc108424570"/>
      <w:r>
        <w:t>Construction Experience in Key Activities</w:t>
      </w:r>
      <w:bookmarkEnd w:id="489"/>
      <w:bookmarkEnd w:id="490"/>
    </w:p>
    <w:p w14:paraId="1D08CB7A">
      <w:pPr>
        <w:spacing w:before="288" w:after="324" w:line="264" w:lineRule="exact"/>
        <w:jc w:val="right"/>
        <w:rPr>
          <w:bCs/>
          <w:i/>
          <w:iCs/>
        </w:rPr>
      </w:pPr>
      <w:r>
        <w:rPr>
          <w:spacing w:val="-4"/>
        </w:rPr>
        <w:t xml:space="preserve">Bidder’s Name: </w:t>
      </w:r>
      <w:r>
        <w:rPr>
          <w:i/>
          <w:iCs/>
          <w:spacing w:val="-6"/>
        </w:rPr>
        <w:t>________________</w:t>
      </w:r>
      <w:r>
        <w:rPr>
          <w:i/>
          <w:iCs/>
          <w:spacing w:val="-6"/>
        </w:rPr>
        <w:br w:type="textWrapping"/>
      </w:r>
      <w:r>
        <w:rPr>
          <w:spacing w:val="-4"/>
        </w:rPr>
        <w:t xml:space="preserve">Date: </w:t>
      </w:r>
      <w:r>
        <w:rPr>
          <w:i/>
          <w:iCs/>
          <w:spacing w:val="-6"/>
        </w:rPr>
        <w:t>______________________</w:t>
      </w:r>
      <w:r>
        <w:rPr>
          <w:i/>
          <w:iCs/>
          <w:spacing w:val="-6"/>
        </w:rPr>
        <w:br w:type="textWrapping"/>
      </w:r>
      <w:r>
        <w:rPr>
          <w:spacing w:val="-4"/>
        </w:rPr>
        <w:t>Joint Venture Member’s Name_________________________</w:t>
      </w:r>
      <w:r>
        <w:rPr>
          <w:i/>
          <w:iCs/>
          <w:spacing w:val="-6"/>
        </w:rPr>
        <w:br w:type="textWrapping"/>
      </w:r>
      <w:r>
        <w:rPr>
          <w:bCs/>
          <w:spacing w:val="-2"/>
        </w:rPr>
        <w:t>Sub-contractor's Name</w:t>
      </w:r>
      <w:r>
        <w:rPr>
          <w:rStyle w:val="28"/>
          <w:bCs/>
          <w:spacing w:val="-2"/>
        </w:rPr>
        <w:footnoteReference w:id="18"/>
      </w:r>
      <w:r>
        <w:rPr>
          <w:bCs/>
          <w:spacing w:val="-2"/>
        </w:rPr>
        <w:t xml:space="preserve"> (as per ITB 34.2 and 34.3): </w:t>
      </w:r>
      <w:r>
        <w:rPr>
          <w:bCs/>
          <w:i/>
          <w:iCs/>
        </w:rPr>
        <w:t>________________</w:t>
      </w:r>
    </w:p>
    <w:p w14:paraId="7572BE51">
      <w:pPr>
        <w:spacing w:before="288" w:after="324" w:line="264" w:lineRule="exact"/>
        <w:jc w:val="right"/>
        <w:rPr>
          <w:bCs/>
          <w:i/>
          <w:iCs/>
        </w:rPr>
      </w:pPr>
      <w:r>
        <w:rPr>
          <w:rFonts w:hint="default"/>
          <w:spacing w:val="-4"/>
          <w:lang w:val="en-US"/>
        </w:rPr>
        <w:t>N</w:t>
      </w:r>
      <w:r>
        <w:rPr>
          <w:spacing w:val="-4"/>
        </w:rPr>
        <w:t xml:space="preserve">CB No. and title: </w:t>
      </w:r>
      <w:r>
        <w:rPr>
          <w:i/>
          <w:iCs/>
          <w:spacing w:val="-6"/>
        </w:rPr>
        <w:t>___________________________</w:t>
      </w:r>
      <w:r>
        <w:rPr>
          <w:i/>
          <w:iCs/>
          <w:spacing w:val="-6"/>
        </w:rPr>
        <w:br w:type="textWrapping"/>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p w14:paraId="4DFC0FB4">
      <w:pPr>
        <w:rPr>
          <w:bCs/>
          <w:i/>
          <w:iCs/>
          <w:spacing w:val="2"/>
        </w:rPr>
      </w:pPr>
      <w:r>
        <w:rPr>
          <w:bCs/>
          <w:spacing w:val="-2"/>
        </w:rPr>
        <w:t xml:space="preserve">Sub-contractor's Name (as per ITB 34.2 and 34.3): </w:t>
      </w:r>
      <w:r>
        <w:rPr>
          <w:bCs/>
          <w:i/>
          <w:iCs/>
        </w:rPr>
        <w:t>________________</w:t>
      </w:r>
    </w:p>
    <w:p w14:paraId="59F343FB">
      <w:pPr>
        <w:pStyle w:val="174"/>
        <w:spacing w:line="240" w:lineRule="auto"/>
        <w:ind w:right="144"/>
        <w:rPr>
          <w:bCs/>
          <w:spacing w:val="-6"/>
        </w:rPr>
      </w:pPr>
      <w:r>
        <w:rPr>
          <w:bCs/>
          <w:spacing w:val="-2"/>
        </w:rPr>
        <w:t xml:space="preserve">All Sub-contractors for key activities must complete the information in this form as per ITB </w:t>
      </w:r>
      <w:r>
        <w:rPr>
          <w:bCs/>
          <w:spacing w:val="-6"/>
        </w:rPr>
        <w:t>34.2 and 34.3 and Section III, Qualification Criteria and Requirements, Sub-Factor 4.2.</w:t>
      </w:r>
    </w:p>
    <w:p w14:paraId="6483DAFC">
      <w:pPr>
        <w:rPr>
          <w:bCs/>
          <w:i/>
          <w:iCs/>
          <w:spacing w:val="2"/>
        </w:rPr>
      </w:pPr>
    </w:p>
    <w:p w14:paraId="3174D77B">
      <w:pPr>
        <w:pStyle w:val="174"/>
        <w:tabs>
          <w:tab w:val="left" w:pos="720"/>
        </w:tabs>
        <w:spacing w:after="72" w:line="240" w:lineRule="auto"/>
        <w:ind w:right="144" w:firstLine="72"/>
        <w:rPr>
          <w:bCs/>
          <w:i/>
          <w:iCs/>
          <w:spacing w:val="-2"/>
        </w:rPr>
      </w:pPr>
      <w:r>
        <w:rPr>
          <w:bCs/>
          <w:spacing w:val="-2"/>
        </w:rPr>
        <w:t>1.</w:t>
      </w:r>
      <w:r>
        <w:rPr>
          <w:bCs/>
          <w:spacing w:val="-2"/>
        </w:rPr>
        <w:tab/>
      </w:r>
      <w:r>
        <w:rPr>
          <w:bCs/>
          <w:spacing w:val="-2"/>
        </w:rPr>
        <w:t xml:space="preserve">Key Activity No One: </w:t>
      </w:r>
      <w:r>
        <w:rPr>
          <w:bCs/>
          <w:i/>
          <w:iCs/>
          <w:spacing w:val="2"/>
        </w:rPr>
        <w:t>________________________</w:t>
      </w:r>
    </w:p>
    <w:p w14:paraId="6A7B4CAB">
      <w:pPr>
        <w:pStyle w:val="174"/>
        <w:tabs>
          <w:tab w:val="left" w:pos="720"/>
        </w:tabs>
        <w:spacing w:after="72" w:line="240" w:lineRule="auto"/>
        <w:ind w:right="144" w:firstLine="72"/>
        <w:rPr>
          <w:bCs/>
          <w:i/>
          <w:iCs/>
          <w:spacing w:val="-2"/>
        </w:rPr>
      </w:pPr>
    </w:p>
    <w:tbl>
      <w:tblPr>
        <w:tblStyle w:val="12"/>
        <w:tblW w:w="0" w:type="auto"/>
        <w:tblInd w:w="3" w:type="dxa"/>
        <w:tblLayout w:type="fixed"/>
        <w:tblCellMar>
          <w:top w:w="0" w:type="dxa"/>
          <w:left w:w="0" w:type="dxa"/>
          <w:bottom w:w="0" w:type="dxa"/>
          <w:right w:w="0" w:type="dxa"/>
        </w:tblCellMar>
      </w:tblPr>
      <w:tblGrid>
        <w:gridCol w:w="3835"/>
        <w:gridCol w:w="1385"/>
        <w:gridCol w:w="420"/>
        <w:gridCol w:w="1020"/>
        <w:gridCol w:w="1350"/>
        <w:gridCol w:w="1271"/>
        <w:gridCol w:w="11"/>
      </w:tblGrid>
      <w:tr w14:paraId="31DD4F60">
        <w:tblPrEx>
          <w:tblCellMar>
            <w:top w:w="0" w:type="dxa"/>
            <w:left w:w="0" w:type="dxa"/>
            <w:bottom w:w="0" w:type="dxa"/>
            <w:right w:w="0" w:type="dxa"/>
          </w:tblCellMar>
        </w:tblPrEx>
        <w:trPr>
          <w:gridAfter w:val="1"/>
          <w:wAfter w:w="11" w:type="dxa"/>
        </w:trPr>
        <w:tc>
          <w:tcPr>
            <w:tcW w:w="3835" w:type="dxa"/>
            <w:tcBorders>
              <w:top w:val="single" w:color="auto" w:sz="2" w:space="0"/>
              <w:left w:val="single" w:color="auto" w:sz="2" w:space="0"/>
              <w:bottom w:val="single" w:color="auto" w:sz="2" w:space="0"/>
              <w:right w:val="single" w:color="auto" w:sz="2" w:space="0"/>
            </w:tcBorders>
          </w:tcPr>
          <w:p w14:paraId="173924CC"/>
        </w:tc>
        <w:tc>
          <w:tcPr>
            <w:tcW w:w="5446" w:type="dxa"/>
            <w:gridSpan w:val="5"/>
            <w:tcBorders>
              <w:top w:val="single" w:color="auto" w:sz="2" w:space="0"/>
              <w:left w:val="single" w:color="auto" w:sz="2" w:space="0"/>
              <w:bottom w:val="single" w:color="auto" w:sz="2" w:space="0"/>
              <w:right w:val="single" w:color="auto" w:sz="2" w:space="0"/>
            </w:tcBorders>
          </w:tcPr>
          <w:p w14:paraId="06457670">
            <w:pPr>
              <w:spacing w:before="120"/>
              <w:ind w:right="1757"/>
              <w:jc w:val="right"/>
              <w:rPr>
                <w:b/>
                <w:bCs/>
                <w:spacing w:val="12"/>
              </w:rPr>
            </w:pPr>
            <w:r>
              <w:rPr>
                <w:b/>
                <w:bCs/>
                <w:spacing w:val="12"/>
              </w:rPr>
              <w:t>Information</w:t>
            </w:r>
          </w:p>
        </w:tc>
      </w:tr>
      <w:tr w14:paraId="2BA1B139">
        <w:tblPrEx>
          <w:tblCellMar>
            <w:top w:w="0" w:type="dxa"/>
            <w:left w:w="0" w:type="dxa"/>
            <w:bottom w:w="0" w:type="dxa"/>
            <w:right w:w="0" w:type="dxa"/>
          </w:tblCellMar>
        </w:tblPrEx>
        <w:trPr>
          <w:gridAfter w:val="1"/>
          <w:wAfter w:w="11" w:type="dxa"/>
          <w:trHeight w:val="413" w:hRule="exact"/>
        </w:trPr>
        <w:tc>
          <w:tcPr>
            <w:tcW w:w="3835" w:type="dxa"/>
            <w:tcBorders>
              <w:top w:val="single" w:color="auto" w:sz="2" w:space="0"/>
              <w:left w:val="single" w:color="auto" w:sz="2" w:space="0"/>
              <w:bottom w:val="single" w:color="auto" w:sz="2" w:space="0"/>
              <w:right w:val="single" w:color="auto" w:sz="2" w:space="0"/>
            </w:tcBorders>
          </w:tcPr>
          <w:p w14:paraId="123AE18E">
            <w:pPr>
              <w:spacing w:before="144"/>
              <w:ind w:left="65"/>
              <w:rPr>
                <w:bCs/>
                <w:spacing w:val="-8"/>
              </w:rPr>
            </w:pPr>
            <w:r>
              <w:rPr>
                <w:bCs/>
                <w:spacing w:val="-8"/>
              </w:rPr>
              <w:t>Contract Identification</w:t>
            </w:r>
          </w:p>
        </w:tc>
        <w:tc>
          <w:tcPr>
            <w:tcW w:w="5446" w:type="dxa"/>
            <w:gridSpan w:val="5"/>
            <w:tcBorders>
              <w:top w:val="single" w:color="auto" w:sz="2" w:space="0"/>
              <w:left w:val="single" w:color="auto" w:sz="2" w:space="0"/>
              <w:bottom w:val="single" w:color="auto" w:sz="2" w:space="0"/>
              <w:right w:val="single" w:color="auto" w:sz="2" w:space="0"/>
            </w:tcBorders>
          </w:tcPr>
          <w:p w14:paraId="77EBC998">
            <w:pPr>
              <w:spacing w:before="144"/>
              <w:ind w:left="425"/>
              <w:rPr>
                <w:bCs/>
                <w:i/>
                <w:iCs/>
                <w:spacing w:val="2"/>
              </w:rPr>
            </w:pPr>
          </w:p>
        </w:tc>
      </w:tr>
      <w:tr w14:paraId="77D8E041">
        <w:tblPrEx>
          <w:tblCellMar>
            <w:top w:w="0" w:type="dxa"/>
            <w:left w:w="0" w:type="dxa"/>
            <w:bottom w:w="0" w:type="dxa"/>
            <w:right w:w="0" w:type="dxa"/>
          </w:tblCellMar>
        </w:tblPrEx>
        <w:trPr>
          <w:gridAfter w:val="1"/>
          <w:wAfter w:w="11" w:type="dxa"/>
          <w:trHeight w:val="408" w:hRule="exact"/>
        </w:trPr>
        <w:tc>
          <w:tcPr>
            <w:tcW w:w="3835" w:type="dxa"/>
            <w:tcBorders>
              <w:top w:val="single" w:color="auto" w:sz="2" w:space="0"/>
              <w:left w:val="single" w:color="auto" w:sz="2" w:space="0"/>
              <w:bottom w:val="single" w:color="auto" w:sz="2" w:space="0"/>
              <w:right w:val="single" w:color="auto" w:sz="2" w:space="0"/>
            </w:tcBorders>
          </w:tcPr>
          <w:p w14:paraId="7518ABD9">
            <w:pPr>
              <w:spacing w:before="144"/>
              <w:ind w:left="65"/>
              <w:rPr>
                <w:bCs/>
                <w:spacing w:val="-10"/>
              </w:rPr>
            </w:pPr>
            <w:r>
              <w:rPr>
                <w:bCs/>
                <w:spacing w:val="-10"/>
              </w:rPr>
              <w:t>Award date</w:t>
            </w:r>
          </w:p>
        </w:tc>
        <w:tc>
          <w:tcPr>
            <w:tcW w:w="5446" w:type="dxa"/>
            <w:gridSpan w:val="5"/>
            <w:tcBorders>
              <w:top w:val="single" w:color="auto" w:sz="2" w:space="0"/>
              <w:left w:val="single" w:color="auto" w:sz="2" w:space="0"/>
              <w:bottom w:val="single" w:color="auto" w:sz="2" w:space="0"/>
              <w:right w:val="single" w:color="auto" w:sz="2" w:space="0"/>
            </w:tcBorders>
          </w:tcPr>
          <w:p w14:paraId="4E85A35C">
            <w:pPr>
              <w:spacing w:before="144"/>
              <w:ind w:left="245"/>
              <w:rPr>
                <w:bCs/>
                <w:i/>
                <w:iCs/>
                <w:spacing w:val="2"/>
              </w:rPr>
            </w:pPr>
          </w:p>
        </w:tc>
      </w:tr>
      <w:tr w14:paraId="2905A6E0">
        <w:tblPrEx>
          <w:tblCellMar>
            <w:top w:w="0" w:type="dxa"/>
            <w:left w:w="0" w:type="dxa"/>
            <w:bottom w:w="0" w:type="dxa"/>
            <w:right w:w="0" w:type="dxa"/>
          </w:tblCellMar>
        </w:tblPrEx>
        <w:trPr>
          <w:gridAfter w:val="1"/>
          <w:wAfter w:w="11" w:type="dxa"/>
          <w:trHeight w:val="413" w:hRule="exact"/>
        </w:trPr>
        <w:tc>
          <w:tcPr>
            <w:tcW w:w="3835" w:type="dxa"/>
            <w:tcBorders>
              <w:top w:val="single" w:color="auto" w:sz="2" w:space="0"/>
              <w:left w:val="single" w:color="auto" w:sz="2" w:space="0"/>
              <w:bottom w:val="single" w:color="auto" w:sz="2" w:space="0"/>
              <w:right w:val="single" w:color="auto" w:sz="2" w:space="0"/>
            </w:tcBorders>
          </w:tcPr>
          <w:p w14:paraId="562003AA">
            <w:pPr>
              <w:spacing w:before="144"/>
              <w:ind w:left="65"/>
              <w:rPr>
                <w:bCs/>
                <w:spacing w:val="-2"/>
              </w:rPr>
            </w:pPr>
            <w:r>
              <w:rPr>
                <w:bCs/>
                <w:spacing w:val="-2"/>
              </w:rPr>
              <w:t>Completion date</w:t>
            </w:r>
          </w:p>
        </w:tc>
        <w:tc>
          <w:tcPr>
            <w:tcW w:w="5446" w:type="dxa"/>
            <w:gridSpan w:val="5"/>
            <w:tcBorders>
              <w:top w:val="single" w:color="auto" w:sz="2" w:space="0"/>
              <w:left w:val="single" w:color="auto" w:sz="2" w:space="0"/>
              <w:bottom w:val="single" w:color="auto" w:sz="2" w:space="0"/>
              <w:right w:val="single" w:color="auto" w:sz="2" w:space="0"/>
            </w:tcBorders>
          </w:tcPr>
          <w:p w14:paraId="253979E2">
            <w:pPr>
              <w:spacing w:before="144"/>
              <w:ind w:left="245"/>
              <w:rPr>
                <w:bCs/>
                <w:i/>
                <w:iCs/>
                <w:spacing w:val="2"/>
              </w:rPr>
            </w:pPr>
          </w:p>
        </w:tc>
      </w:tr>
      <w:tr w14:paraId="2A30ED64">
        <w:tblPrEx>
          <w:tblCellMar>
            <w:top w:w="0" w:type="dxa"/>
            <w:left w:w="0" w:type="dxa"/>
            <w:bottom w:w="0" w:type="dxa"/>
            <w:right w:w="0" w:type="dxa"/>
          </w:tblCellMar>
        </w:tblPrEx>
        <w:trPr>
          <w:gridAfter w:val="1"/>
          <w:wAfter w:w="11" w:type="dxa"/>
          <w:trHeight w:val="1109" w:hRule="exact"/>
        </w:trPr>
        <w:tc>
          <w:tcPr>
            <w:tcW w:w="3835" w:type="dxa"/>
            <w:tcBorders>
              <w:top w:val="single" w:color="auto" w:sz="2" w:space="0"/>
              <w:left w:val="single" w:color="auto" w:sz="2" w:space="0"/>
              <w:bottom w:val="single" w:color="auto" w:sz="2" w:space="0"/>
              <w:right w:val="single" w:color="auto" w:sz="2" w:space="0"/>
            </w:tcBorders>
          </w:tcPr>
          <w:p w14:paraId="58DF95B2">
            <w:pPr>
              <w:spacing w:before="144"/>
              <w:ind w:left="65"/>
              <w:rPr>
                <w:bCs/>
                <w:spacing w:val="-2"/>
              </w:rPr>
            </w:pPr>
            <w:r>
              <w:rPr>
                <w:bCs/>
                <w:spacing w:val="-2"/>
              </w:rPr>
              <w:t>Role in Contract</w:t>
            </w:r>
          </w:p>
          <w:p w14:paraId="147EC1F5">
            <w:pPr>
              <w:spacing w:after="396"/>
              <w:ind w:left="46"/>
              <w:rPr>
                <w:bCs/>
                <w:i/>
                <w:iCs/>
                <w:spacing w:val="2"/>
              </w:rPr>
            </w:pPr>
          </w:p>
        </w:tc>
        <w:tc>
          <w:tcPr>
            <w:tcW w:w="1385" w:type="dxa"/>
            <w:tcBorders>
              <w:top w:val="single" w:color="auto" w:sz="2" w:space="0"/>
              <w:left w:val="single" w:color="auto" w:sz="2" w:space="0"/>
              <w:bottom w:val="single" w:color="auto" w:sz="2" w:space="0"/>
              <w:right w:val="single" w:color="auto" w:sz="2" w:space="0"/>
            </w:tcBorders>
            <w:vAlign w:val="center"/>
          </w:tcPr>
          <w:p w14:paraId="5DE383E2">
            <w:pPr>
              <w:jc w:val="center"/>
              <w:rPr>
                <w:bCs/>
                <w:spacing w:val="-4"/>
              </w:rPr>
            </w:pPr>
            <w:r>
              <w:rPr>
                <w:bCs/>
                <w:spacing w:val="-4"/>
              </w:rPr>
              <w:t>Prime Contractor</w:t>
            </w:r>
          </w:p>
          <w:p w14:paraId="7C47518F">
            <w:pPr>
              <w:jc w:val="center"/>
              <w:rPr>
                <w:bCs/>
                <w:spacing w:val="-4"/>
              </w:rPr>
            </w:pPr>
            <w:r>
              <w:rPr>
                <w:rFonts w:eastAsia="MS Mincho"/>
                <w:spacing w:val="-2"/>
              </w:rPr>
              <w:sym w:font="Wingdings" w:char="F0A8"/>
            </w:r>
          </w:p>
        </w:tc>
        <w:tc>
          <w:tcPr>
            <w:tcW w:w="1440" w:type="dxa"/>
            <w:gridSpan w:val="2"/>
            <w:tcBorders>
              <w:top w:val="single" w:color="auto" w:sz="2" w:space="0"/>
              <w:left w:val="single" w:color="auto" w:sz="2" w:space="0"/>
              <w:bottom w:val="single" w:color="auto" w:sz="2" w:space="0"/>
              <w:right w:val="single" w:color="auto" w:sz="2" w:space="0"/>
            </w:tcBorders>
            <w:vAlign w:val="center"/>
          </w:tcPr>
          <w:p w14:paraId="5710E0B2">
            <w:pPr>
              <w:ind w:right="374"/>
              <w:jc w:val="center"/>
              <w:rPr>
                <w:rFonts w:eastAsia="MS Mincho"/>
                <w:spacing w:val="-2"/>
              </w:rPr>
            </w:pPr>
            <w:r>
              <w:rPr>
                <w:bCs/>
                <w:spacing w:val="-4"/>
              </w:rPr>
              <w:t xml:space="preserve">Member in </w:t>
            </w:r>
            <w:r>
              <w:rPr>
                <w:bCs/>
                <w:spacing w:val="-4"/>
              </w:rPr>
              <w:br w:type="textWrapping"/>
            </w:r>
            <w:r>
              <w:rPr>
                <w:bCs/>
                <w:spacing w:val="-4"/>
              </w:rPr>
              <w:t>JV</w:t>
            </w:r>
          </w:p>
          <w:p w14:paraId="3D88EF58">
            <w:pPr>
              <w:ind w:right="374"/>
              <w:jc w:val="center"/>
              <w:rPr>
                <w:bCs/>
                <w:spacing w:val="-4"/>
              </w:rPr>
            </w:pPr>
            <w:r>
              <w:rPr>
                <w:rFonts w:eastAsia="MS Mincho"/>
                <w:spacing w:val="-2"/>
              </w:rPr>
              <w:sym w:font="Wingdings" w:char="F0A8"/>
            </w:r>
          </w:p>
        </w:tc>
        <w:tc>
          <w:tcPr>
            <w:tcW w:w="1350" w:type="dxa"/>
            <w:tcBorders>
              <w:top w:val="single" w:color="auto" w:sz="2" w:space="0"/>
              <w:left w:val="single" w:color="auto" w:sz="2" w:space="0"/>
              <w:bottom w:val="single" w:color="auto" w:sz="2" w:space="0"/>
              <w:right w:val="single" w:color="auto" w:sz="2" w:space="0"/>
            </w:tcBorders>
            <w:vAlign w:val="center"/>
          </w:tcPr>
          <w:p w14:paraId="4952E546">
            <w:pPr>
              <w:jc w:val="center"/>
              <w:rPr>
                <w:bCs/>
                <w:spacing w:val="-4"/>
              </w:rPr>
            </w:pPr>
            <w:r>
              <w:rPr>
                <w:bCs/>
                <w:spacing w:val="-4"/>
              </w:rPr>
              <w:t>Management Contractor</w:t>
            </w:r>
          </w:p>
          <w:p w14:paraId="0C329443">
            <w:pPr>
              <w:jc w:val="center"/>
              <w:rPr>
                <w:bCs/>
                <w:spacing w:val="-4"/>
              </w:rPr>
            </w:pPr>
            <w:r>
              <w:rPr>
                <w:rFonts w:eastAsia="MS Mincho"/>
                <w:spacing w:val="-2"/>
              </w:rPr>
              <w:sym w:font="Wingdings" w:char="F0A8"/>
            </w:r>
          </w:p>
        </w:tc>
        <w:tc>
          <w:tcPr>
            <w:tcW w:w="1271" w:type="dxa"/>
            <w:tcBorders>
              <w:top w:val="single" w:color="auto" w:sz="2" w:space="0"/>
              <w:left w:val="single" w:color="auto" w:sz="2" w:space="0"/>
              <w:bottom w:val="single" w:color="auto" w:sz="2" w:space="0"/>
              <w:right w:val="single" w:color="auto" w:sz="2" w:space="0"/>
            </w:tcBorders>
            <w:vAlign w:val="center"/>
          </w:tcPr>
          <w:p w14:paraId="0B6E7C0D">
            <w:pPr>
              <w:jc w:val="center"/>
              <w:rPr>
                <w:bCs/>
                <w:spacing w:val="-4"/>
              </w:rPr>
            </w:pPr>
            <w:r>
              <w:rPr>
                <w:bCs/>
                <w:spacing w:val="-4"/>
              </w:rPr>
              <w:t>Sub-contractor</w:t>
            </w:r>
          </w:p>
          <w:p w14:paraId="2899AA8F">
            <w:pPr>
              <w:jc w:val="center"/>
              <w:rPr>
                <w:bCs/>
                <w:spacing w:val="-4"/>
              </w:rPr>
            </w:pPr>
            <w:r>
              <w:rPr>
                <w:rFonts w:eastAsia="MS Mincho"/>
                <w:spacing w:val="-2"/>
              </w:rPr>
              <w:sym w:font="Wingdings" w:char="F0A8"/>
            </w:r>
          </w:p>
        </w:tc>
      </w:tr>
      <w:tr w14:paraId="0B6EB9C4">
        <w:tblPrEx>
          <w:tblCellMar>
            <w:top w:w="0" w:type="dxa"/>
            <w:left w:w="0" w:type="dxa"/>
            <w:bottom w:w="0" w:type="dxa"/>
            <w:right w:w="0" w:type="dxa"/>
          </w:tblCellMar>
        </w:tblPrEx>
        <w:trPr>
          <w:gridAfter w:val="1"/>
          <w:wAfter w:w="11" w:type="dxa"/>
          <w:trHeight w:val="877" w:hRule="atLeast"/>
        </w:trPr>
        <w:tc>
          <w:tcPr>
            <w:tcW w:w="3835" w:type="dxa"/>
            <w:tcBorders>
              <w:top w:val="single" w:color="auto" w:sz="2" w:space="0"/>
              <w:left w:val="single" w:color="auto" w:sz="2" w:space="0"/>
              <w:bottom w:val="single" w:color="auto" w:sz="2" w:space="0"/>
              <w:right w:val="single" w:color="auto" w:sz="2" w:space="0"/>
            </w:tcBorders>
          </w:tcPr>
          <w:p w14:paraId="320FED12">
            <w:pPr>
              <w:spacing w:before="144"/>
              <w:ind w:left="72"/>
              <w:rPr>
                <w:bCs/>
                <w:spacing w:val="-11"/>
              </w:rPr>
            </w:pPr>
            <w:r>
              <w:rPr>
                <w:bCs/>
                <w:spacing w:val="-11"/>
              </w:rPr>
              <w:t>Total Contract Amount</w:t>
            </w:r>
          </w:p>
        </w:tc>
        <w:tc>
          <w:tcPr>
            <w:tcW w:w="2825" w:type="dxa"/>
            <w:gridSpan w:val="3"/>
            <w:tcBorders>
              <w:top w:val="single" w:color="auto" w:sz="2" w:space="0"/>
              <w:left w:val="single" w:color="auto" w:sz="2" w:space="0"/>
              <w:bottom w:val="single" w:color="auto" w:sz="2" w:space="0"/>
              <w:right w:val="single" w:color="auto" w:sz="2" w:space="0"/>
            </w:tcBorders>
            <w:vAlign w:val="center"/>
          </w:tcPr>
          <w:p w14:paraId="280699EA">
            <w:pPr>
              <w:ind w:left="72"/>
              <w:rPr>
                <w:bCs/>
                <w:i/>
                <w:iCs/>
                <w:spacing w:val="2"/>
              </w:rPr>
            </w:pPr>
          </w:p>
        </w:tc>
        <w:tc>
          <w:tcPr>
            <w:tcW w:w="2621" w:type="dxa"/>
            <w:gridSpan w:val="2"/>
            <w:tcBorders>
              <w:top w:val="single" w:color="auto" w:sz="2" w:space="0"/>
              <w:left w:val="single" w:color="auto" w:sz="2" w:space="0"/>
              <w:bottom w:val="single" w:color="auto" w:sz="2" w:space="0"/>
              <w:right w:val="single" w:color="auto" w:sz="2" w:space="0"/>
            </w:tcBorders>
            <w:vAlign w:val="center"/>
          </w:tcPr>
          <w:p w14:paraId="204B7FB3">
            <w:pPr>
              <w:ind w:left="47" w:right="101"/>
              <w:rPr>
                <w:bCs/>
                <w:i/>
                <w:iCs/>
                <w:spacing w:val="2"/>
              </w:rPr>
            </w:pPr>
            <w:r>
              <w:rPr>
                <w:bCs/>
                <w:spacing w:val="-2"/>
              </w:rPr>
              <w:t xml:space="preserve">US$ </w:t>
            </w:r>
          </w:p>
        </w:tc>
      </w:tr>
      <w:tr w14:paraId="2922561B">
        <w:tblPrEx>
          <w:tblCellMar>
            <w:top w:w="0" w:type="dxa"/>
            <w:left w:w="0" w:type="dxa"/>
            <w:bottom w:w="0" w:type="dxa"/>
            <w:right w:w="0" w:type="dxa"/>
          </w:tblCellMar>
        </w:tblPrEx>
        <w:trPr>
          <w:gridAfter w:val="1"/>
          <w:wAfter w:w="11" w:type="dxa"/>
          <w:cantSplit/>
          <w:trHeight w:val="439" w:hRule="atLeast"/>
        </w:trPr>
        <w:tc>
          <w:tcPr>
            <w:tcW w:w="3835" w:type="dxa"/>
            <w:tcBorders>
              <w:top w:val="single" w:color="auto" w:sz="2" w:space="0"/>
              <w:left w:val="single" w:color="auto" w:sz="2" w:space="0"/>
              <w:bottom w:val="single" w:color="auto" w:sz="4" w:space="0"/>
              <w:right w:val="single" w:color="auto" w:sz="2" w:space="0"/>
            </w:tcBorders>
          </w:tcPr>
          <w:p w14:paraId="31D94F79">
            <w:pPr>
              <w:ind w:left="72"/>
              <w:rPr>
                <w:bCs/>
              </w:rPr>
            </w:pPr>
            <w:r>
              <w:rPr>
                <w:bCs/>
              </w:rPr>
              <w:t>Quantity (Volume, number or rate of production, as applicable) performed under the contract per year or part of the year</w:t>
            </w:r>
          </w:p>
          <w:p w14:paraId="78CAA26E">
            <w:pPr>
              <w:ind w:left="72"/>
              <w:rPr>
                <w:bCs/>
              </w:rPr>
            </w:pPr>
          </w:p>
        </w:tc>
        <w:tc>
          <w:tcPr>
            <w:tcW w:w="1805" w:type="dxa"/>
            <w:gridSpan w:val="2"/>
            <w:tcBorders>
              <w:top w:val="single" w:color="auto" w:sz="2" w:space="0"/>
              <w:left w:val="single" w:color="auto" w:sz="2" w:space="0"/>
              <w:bottom w:val="single" w:color="auto" w:sz="2" w:space="0"/>
              <w:right w:val="single" w:color="auto" w:sz="2" w:space="0"/>
            </w:tcBorders>
          </w:tcPr>
          <w:p w14:paraId="10C64F20">
            <w:pPr>
              <w:ind w:left="37"/>
              <w:jc w:val="center"/>
              <w:rPr>
                <w:bCs/>
                <w:iCs/>
                <w:spacing w:val="2"/>
              </w:rPr>
            </w:pPr>
            <w:r>
              <w:rPr>
                <w:bCs/>
                <w:iCs/>
                <w:spacing w:val="2"/>
              </w:rPr>
              <w:t>Total quantity in the contract</w:t>
            </w:r>
          </w:p>
          <w:p w14:paraId="22D6272A">
            <w:pPr>
              <w:ind w:left="37"/>
              <w:jc w:val="center"/>
              <w:rPr>
                <w:bCs/>
                <w:iCs/>
                <w:spacing w:val="2"/>
              </w:rPr>
            </w:pPr>
            <w:r>
              <w:rPr>
                <w:bCs/>
                <w:iCs/>
                <w:spacing w:val="2"/>
              </w:rPr>
              <w:t>(i)</w:t>
            </w:r>
          </w:p>
        </w:tc>
        <w:tc>
          <w:tcPr>
            <w:tcW w:w="2370" w:type="dxa"/>
            <w:gridSpan w:val="2"/>
            <w:tcBorders>
              <w:top w:val="single" w:color="auto" w:sz="2" w:space="0"/>
              <w:left w:val="single" w:color="auto" w:sz="2" w:space="0"/>
              <w:bottom w:val="single" w:color="auto" w:sz="2" w:space="0"/>
              <w:right w:val="single" w:color="auto" w:sz="2" w:space="0"/>
            </w:tcBorders>
          </w:tcPr>
          <w:p w14:paraId="0CA93401">
            <w:pPr>
              <w:jc w:val="center"/>
              <w:rPr>
                <w:bCs/>
                <w:iCs/>
                <w:spacing w:val="2"/>
              </w:rPr>
            </w:pPr>
            <w:r>
              <w:rPr>
                <w:bCs/>
                <w:iCs/>
                <w:spacing w:val="2"/>
              </w:rPr>
              <w:t xml:space="preserve">Percentage </w:t>
            </w:r>
          </w:p>
          <w:p w14:paraId="523CB140">
            <w:pPr>
              <w:jc w:val="center"/>
              <w:rPr>
                <w:bCs/>
                <w:iCs/>
                <w:spacing w:val="2"/>
              </w:rPr>
            </w:pPr>
            <w:r>
              <w:rPr>
                <w:bCs/>
                <w:iCs/>
                <w:spacing w:val="2"/>
              </w:rPr>
              <w:t>participation</w:t>
            </w:r>
          </w:p>
          <w:p w14:paraId="7D68C880">
            <w:pPr>
              <w:jc w:val="center"/>
              <w:rPr>
                <w:bCs/>
                <w:iCs/>
                <w:spacing w:val="2"/>
              </w:rPr>
            </w:pPr>
            <w:r>
              <w:rPr>
                <w:bCs/>
                <w:iCs/>
                <w:spacing w:val="2"/>
              </w:rPr>
              <w:t>(ii)</w:t>
            </w:r>
          </w:p>
        </w:tc>
        <w:tc>
          <w:tcPr>
            <w:tcW w:w="1271" w:type="dxa"/>
            <w:tcBorders>
              <w:top w:val="single" w:color="auto" w:sz="2" w:space="0"/>
              <w:left w:val="single" w:color="auto" w:sz="2" w:space="0"/>
              <w:bottom w:val="single" w:color="auto" w:sz="2" w:space="0"/>
              <w:right w:val="single" w:color="auto" w:sz="2" w:space="0"/>
            </w:tcBorders>
          </w:tcPr>
          <w:p w14:paraId="37E0D80D">
            <w:pPr>
              <w:ind w:left="32"/>
              <w:jc w:val="center"/>
              <w:rPr>
                <w:bCs/>
                <w:iCs/>
                <w:spacing w:val="2"/>
              </w:rPr>
            </w:pPr>
            <w:r>
              <w:rPr>
                <w:bCs/>
                <w:iCs/>
                <w:spacing w:val="2"/>
              </w:rPr>
              <w:t xml:space="preserve">Actual Quantity Performed </w:t>
            </w:r>
          </w:p>
          <w:p w14:paraId="47CD46CF">
            <w:pPr>
              <w:ind w:left="32"/>
              <w:jc w:val="center"/>
              <w:rPr>
                <w:bCs/>
                <w:i/>
                <w:iCs/>
                <w:spacing w:val="2"/>
              </w:rPr>
            </w:pPr>
            <w:r>
              <w:rPr>
                <w:bCs/>
                <w:iCs/>
                <w:spacing w:val="2"/>
              </w:rPr>
              <w:t>(i) x (ii)</w:t>
            </w:r>
            <w:r>
              <w:rPr>
                <w:bCs/>
                <w:i/>
                <w:iCs/>
                <w:spacing w:val="2"/>
              </w:rPr>
              <w:t xml:space="preserve"> </w:t>
            </w:r>
          </w:p>
        </w:tc>
      </w:tr>
      <w:tr w14:paraId="41D23EF1">
        <w:tblPrEx>
          <w:tblCellMar>
            <w:top w:w="0" w:type="dxa"/>
            <w:left w:w="0" w:type="dxa"/>
            <w:bottom w:w="0" w:type="dxa"/>
            <w:right w:w="0" w:type="dxa"/>
          </w:tblCellMar>
        </w:tblPrEx>
        <w:trPr>
          <w:gridAfter w:val="1"/>
          <w:wAfter w:w="11" w:type="dxa"/>
          <w:cantSplit/>
          <w:trHeight w:val="438" w:hRule="exact"/>
        </w:trPr>
        <w:tc>
          <w:tcPr>
            <w:tcW w:w="3835" w:type="dxa"/>
            <w:tcBorders>
              <w:top w:val="single" w:color="auto" w:sz="2" w:space="0"/>
              <w:left w:val="single" w:color="auto" w:sz="2" w:space="0"/>
              <w:bottom w:val="single" w:color="auto" w:sz="4" w:space="0"/>
              <w:right w:val="single" w:color="auto" w:sz="2" w:space="0"/>
            </w:tcBorders>
            <w:vAlign w:val="center"/>
          </w:tcPr>
          <w:p w14:paraId="254E1AA8">
            <w:pPr>
              <w:ind w:left="72"/>
              <w:jc w:val="center"/>
              <w:rPr>
                <w:bCs/>
              </w:rPr>
            </w:pPr>
            <w:r>
              <w:rPr>
                <w:bCs/>
              </w:rPr>
              <w:t>Year 1</w:t>
            </w:r>
          </w:p>
        </w:tc>
        <w:tc>
          <w:tcPr>
            <w:tcW w:w="1805" w:type="dxa"/>
            <w:gridSpan w:val="2"/>
            <w:tcBorders>
              <w:top w:val="single" w:color="auto" w:sz="2" w:space="0"/>
              <w:left w:val="single" w:color="auto" w:sz="2" w:space="0"/>
              <w:bottom w:val="single" w:color="auto" w:sz="2" w:space="0"/>
              <w:right w:val="single" w:color="auto" w:sz="2" w:space="0"/>
            </w:tcBorders>
          </w:tcPr>
          <w:p w14:paraId="4061787F">
            <w:pPr>
              <w:ind w:left="37"/>
              <w:jc w:val="center"/>
              <w:rPr>
                <w:bCs/>
                <w:i/>
                <w:iCs/>
                <w:spacing w:val="2"/>
              </w:rPr>
            </w:pPr>
          </w:p>
        </w:tc>
        <w:tc>
          <w:tcPr>
            <w:tcW w:w="2370" w:type="dxa"/>
            <w:gridSpan w:val="2"/>
            <w:tcBorders>
              <w:top w:val="single" w:color="auto" w:sz="2" w:space="0"/>
              <w:left w:val="single" w:color="auto" w:sz="2" w:space="0"/>
              <w:bottom w:val="single" w:color="auto" w:sz="2" w:space="0"/>
              <w:right w:val="single" w:color="auto" w:sz="2" w:space="0"/>
            </w:tcBorders>
          </w:tcPr>
          <w:p w14:paraId="76587554">
            <w:pPr>
              <w:jc w:val="center"/>
              <w:rPr>
                <w:bCs/>
                <w:i/>
                <w:iCs/>
                <w:spacing w:val="2"/>
              </w:rPr>
            </w:pPr>
          </w:p>
        </w:tc>
        <w:tc>
          <w:tcPr>
            <w:tcW w:w="1271" w:type="dxa"/>
            <w:tcBorders>
              <w:top w:val="single" w:color="auto" w:sz="2" w:space="0"/>
              <w:left w:val="single" w:color="auto" w:sz="2" w:space="0"/>
              <w:bottom w:val="single" w:color="auto" w:sz="2" w:space="0"/>
              <w:right w:val="single" w:color="auto" w:sz="2" w:space="0"/>
            </w:tcBorders>
          </w:tcPr>
          <w:p w14:paraId="3A9A0583">
            <w:pPr>
              <w:ind w:left="32"/>
              <w:jc w:val="center"/>
              <w:rPr>
                <w:bCs/>
                <w:i/>
                <w:iCs/>
                <w:spacing w:val="2"/>
              </w:rPr>
            </w:pPr>
          </w:p>
        </w:tc>
      </w:tr>
      <w:tr w14:paraId="360A73AF">
        <w:tblPrEx>
          <w:tblCellMar>
            <w:top w:w="0" w:type="dxa"/>
            <w:left w:w="0" w:type="dxa"/>
            <w:bottom w:w="0" w:type="dxa"/>
            <w:right w:w="0" w:type="dxa"/>
          </w:tblCellMar>
        </w:tblPrEx>
        <w:trPr>
          <w:gridAfter w:val="1"/>
          <w:wAfter w:w="11" w:type="dxa"/>
          <w:cantSplit/>
          <w:trHeight w:val="438" w:hRule="exact"/>
        </w:trPr>
        <w:tc>
          <w:tcPr>
            <w:tcW w:w="3835" w:type="dxa"/>
            <w:tcBorders>
              <w:top w:val="single" w:color="auto" w:sz="2" w:space="0"/>
              <w:left w:val="single" w:color="auto" w:sz="2" w:space="0"/>
              <w:bottom w:val="single" w:color="auto" w:sz="4" w:space="0"/>
              <w:right w:val="single" w:color="auto" w:sz="2" w:space="0"/>
            </w:tcBorders>
            <w:vAlign w:val="center"/>
          </w:tcPr>
          <w:p w14:paraId="39C580EA">
            <w:pPr>
              <w:ind w:left="72"/>
              <w:jc w:val="center"/>
              <w:rPr>
                <w:bCs/>
              </w:rPr>
            </w:pPr>
            <w:r>
              <w:rPr>
                <w:bCs/>
              </w:rPr>
              <w:t>Year 2</w:t>
            </w:r>
          </w:p>
        </w:tc>
        <w:tc>
          <w:tcPr>
            <w:tcW w:w="1805" w:type="dxa"/>
            <w:gridSpan w:val="2"/>
            <w:tcBorders>
              <w:top w:val="single" w:color="auto" w:sz="2" w:space="0"/>
              <w:left w:val="single" w:color="auto" w:sz="2" w:space="0"/>
              <w:bottom w:val="single" w:color="auto" w:sz="2" w:space="0"/>
              <w:right w:val="single" w:color="auto" w:sz="2" w:space="0"/>
            </w:tcBorders>
          </w:tcPr>
          <w:p w14:paraId="68EF50EB">
            <w:pPr>
              <w:ind w:left="37"/>
              <w:jc w:val="center"/>
              <w:rPr>
                <w:bCs/>
                <w:i/>
                <w:iCs/>
                <w:spacing w:val="2"/>
              </w:rPr>
            </w:pPr>
          </w:p>
        </w:tc>
        <w:tc>
          <w:tcPr>
            <w:tcW w:w="2370" w:type="dxa"/>
            <w:gridSpan w:val="2"/>
            <w:tcBorders>
              <w:top w:val="single" w:color="auto" w:sz="2" w:space="0"/>
              <w:left w:val="single" w:color="auto" w:sz="2" w:space="0"/>
              <w:bottom w:val="single" w:color="auto" w:sz="2" w:space="0"/>
              <w:right w:val="single" w:color="auto" w:sz="2" w:space="0"/>
            </w:tcBorders>
          </w:tcPr>
          <w:p w14:paraId="40004540">
            <w:pPr>
              <w:jc w:val="center"/>
              <w:rPr>
                <w:bCs/>
                <w:i/>
                <w:iCs/>
                <w:spacing w:val="2"/>
              </w:rPr>
            </w:pPr>
          </w:p>
        </w:tc>
        <w:tc>
          <w:tcPr>
            <w:tcW w:w="1271" w:type="dxa"/>
            <w:tcBorders>
              <w:top w:val="single" w:color="auto" w:sz="2" w:space="0"/>
              <w:left w:val="single" w:color="auto" w:sz="2" w:space="0"/>
              <w:bottom w:val="single" w:color="auto" w:sz="2" w:space="0"/>
              <w:right w:val="single" w:color="auto" w:sz="2" w:space="0"/>
            </w:tcBorders>
          </w:tcPr>
          <w:p w14:paraId="656D8815">
            <w:pPr>
              <w:ind w:left="32"/>
              <w:jc w:val="center"/>
              <w:rPr>
                <w:bCs/>
                <w:i/>
                <w:iCs/>
                <w:spacing w:val="2"/>
              </w:rPr>
            </w:pPr>
          </w:p>
        </w:tc>
      </w:tr>
      <w:tr w14:paraId="6DA678D9">
        <w:tblPrEx>
          <w:tblCellMar>
            <w:top w:w="0" w:type="dxa"/>
            <w:left w:w="0" w:type="dxa"/>
            <w:bottom w:w="0" w:type="dxa"/>
            <w:right w:w="0" w:type="dxa"/>
          </w:tblCellMar>
        </w:tblPrEx>
        <w:trPr>
          <w:gridAfter w:val="1"/>
          <w:wAfter w:w="11" w:type="dxa"/>
          <w:cantSplit/>
          <w:trHeight w:val="438" w:hRule="exact"/>
        </w:trPr>
        <w:tc>
          <w:tcPr>
            <w:tcW w:w="3835" w:type="dxa"/>
            <w:tcBorders>
              <w:top w:val="single" w:color="auto" w:sz="2" w:space="0"/>
              <w:left w:val="single" w:color="auto" w:sz="2" w:space="0"/>
              <w:bottom w:val="single" w:color="auto" w:sz="4" w:space="0"/>
              <w:right w:val="single" w:color="auto" w:sz="2" w:space="0"/>
            </w:tcBorders>
            <w:vAlign w:val="center"/>
          </w:tcPr>
          <w:p w14:paraId="4A04C32F">
            <w:pPr>
              <w:ind w:left="72"/>
              <w:jc w:val="center"/>
              <w:rPr>
                <w:bCs/>
              </w:rPr>
            </w:pPr>
            <w:r>
              <w:rPr>
                <w:bCs/>
              </w:rPr>
              <w:t>Year 3</w:t>
            </w:r>
          </w:p>
        </w:tc>
        <w:tc>
          <w:tcPr>
            <w:tcW w:w="1805" w:type="dxa"/>
            <w:gridSpan w:val="2"/>
            <w:tcBorders>
              <w:top w:val="single" w:color="auto" w:sz="2" w:space="0"/>
              <w:left w:val="single" w:color="auto" w:sz="2" w:space="0"/>
              <w:bottom w:val="single" w:color="auto" w:sz="2" w:space="0"/>
              <w:right w:val="single" w:color="auto" w:sz="2" w:space="0"/>
            </w:tcBorders>
          </w:tcPr>
          <w:p w14:paraId="33C0CE46">
            <w:pPr>
              <w:ind w:left="37"/>
              <w:jc w:val="center"/>
              <w:rPr>
                <w:bCs/>
                <w:i/>
                <w:iCs/>
                <w:spacing w:val="2"/>
              </w:rPr>
            </w:pPr>
          </w:p>
        </w:tc>
        <w:tc>
          <w:tcPr>
            <w:tcW w:w="2370" w:type="dxa"/>
            <w:gridSpan w:val="2"/>
            <w:tcBorders>
              <w:top w:val="single" w:color="auto" w:sz="2" w:space="0"/>
              <w:left w:val="single" w:color="auto" w:sz="2" w:space="0"/>
              <w:bottom w:val="single" w:color="auto" w:sz="2" w:space="0"/>
              <w:right w:val="single" w:color="auto" w:sz="2" w:space="0"/>
            </w:tcBorders>
          </w:tcPr>
          <w:p w14:paraId="06B61200">
            <w:pPr>
              <w:jc w:val="center"/>
              <w:rPr>
                <w:bCs/>
                <w:i/>
                <w:iCs/>
                <w:spacing w:val="2"/>
              </w:rPr>
            </w:pPr>
          </w:p>
        </w:tc>
        <w:tc>
          <w:tcPr>
            <w:tcW w:w="1271" w:type="dxa"/>
            <w:tcBorders>
              <w:top w:val="single" w:color="auto" w:sz="2" w:space="0"/>
              <w:left w:val="single" w:color="auto" w:sz="2" w:space="0"/>
              <w:bottom w:val="single" w:color="auto" w:sz="2" w:space="0"/>
              <w:right w:val="single" w:color="auto" w:sz="2" w:space="0"/>
            </w:tcBorders>
          </w:tcPr>
          <w:p w14:paraId="11DD30D1">
            <w:pPr>
              <w:ind w:left="32"/>
              <w:jc w:val="center"/>
              <w:rPr>
                <w:bCs/>
                <w:i/>
                <w:iCs/>
                <w:spacing w:val="2"/>
              </w:rPr>
            </w:pPr>
          </w:p>
        </w:tc>
      </w:tr>
      <w:tr w14:paraId="14104F0F">
        <w:tblPrEx>
          <w:tblCellMar>
            <w:top w:w="0" w:type="dxa"/>
            <w:left w:w="0" w:type="dxa"/>
            <w:bottom w:w="0" w:type="dxa"/>
            <w:right w:w="0" w:type="dxa"/>
          </w:tblCellMar>
        </w:tblPrEx>
        <w:trPr>
          <w:gridAfter w:val="1"/>
          <w:wAfter w:w="11" w:type="dxa"/>
          <w:cantSplit/>
          <w:trHeight w:val="438" w:hRule="exact"/>
        </w:trPr>
        <w:tc>
          <w:tcPr>
            <w:tcW w:w="3835" w:type="dxa"/>
            <w:tcBorders>
              <w:top w:val="single" w:color="auto" w:sz="2" w:space="0"/>
              <w:left w:val="single" w:color="auto" w:sz="2" w:space="0"/>
              <w:bottom w:val="single" w:color="auto" w:sz="4" w:space="0"/>
              <w:right w:val="single" w:color="auto" w:sz="2" w:space="0"/>
            </w:tcBorders>
            <w:vAlign w:val="center"/>
          </w:tcPr>
          <w:p w14:paraId="2676FC25">
            <w:pPr>
              <w:ind w:left="72"/>
              <w:jc w:val="center"/>
              <w:rPr>
                <w:bCs/>
              </w:rPr>
            </w:pPr>
            <w:r>
              <w:rPr>
                <w:bCs/>
              </w:rPr>
              <w:t>Year 4</w:t>
            </w:r>
          </w:p>
        </w:tc>
        <w:tc>
          <w:tcPr>
            <w:tcW w:w="1805" w:type="dxa"/>
            <w:gridSpan w:val="2"/>
            <w:tcBorders>
              <w:top w:val="single" w:color="auto" w:sz="2" w:space="0"/>
              <w:left w:val="single" w:color="auto" w:sz="2" w:space="0"/>
              <w:bottom w:val="single" w:color="auto" w:sz="4" w:space="0"/>
              <w:right w:val="single" w:color="auto" w:sz="2" w:space="0"/>
            </w:tcBorders>
          </w:tcPr>
          <w:p w14:paraId="3DB3CCB7">
            <w:pPr>
              <w:ind w:left="37"/>
              <w:jc w:val="center"/>
              <w:rPr>
                <w:bCs/>
                <w:i/>
                <w:iCs/>
                <w:spacing w:val="2"/>
              </w:rPr>
            </w:pPr>
          </w:p>
        </w:tc>
        <w:tc>
          <w:tcPr>
            <w:tcW w:w="2370" w:type="dxa"/>
            <w:gridSpan w:val="2"/>
            <w:tcBorders>
              <w:top w:val="single" w:color="auto" w:sz="2" w:space="0"/>
              <w:left w:val="single" w:color="auto" w:sz="2" w:space="0"/>
              <w:bottom w:val="single" w:color="auto" w:sz="4" w:space="0"/>
              <w:right w:val="single" w:color="auto" w:sz="2" w:space="0"/>
            </w:tcBorders>
          </w:tcPr>
          <w:p w14:paraId="35C167F1">
            <w:pPr>
              <w:jc w:val="center"/>
              <w:rPr>
                <w:bCs/>
                <w:i/>
                <w:iCs/>
                <w:spacing w:val="2"/>
              </w:rPr>
            </w:pPr>
          </w:p>
        </w:tc>
        <w:tc>
          <w:tcPr>
            <w:tcW w:w="1271" w:type="dxa"/>
            <w:tcBorders>
              <w:top w:val="single" w:color="auto" w:sz="2" w:space="0"/>
              <w:left w:val="single" w:color="auto" w:sz="2" w:space="0"/>
              <w:bottom w:val="single" w:color="auto" w:sz="4" w:space="0"/>
              <w:right w:val="single" w:color="auto" w:sz="2" w:space="0"/>
            </w:tcBorders>
          </w:tcPr>
          <w:p w14:paraId="57BD4BC3">
            <w:pPr>
              <w:ind w:left="32"/>
              <w:jc w:val="center"/>
              <w:rPr>
                <w:bCs/>
                <w:i/>
                <w:iCs/>
                <w:spacing w:val="2"/>
              </w:rPr>
            </w:pPr>
          </w:p>
        </w:tc>
      </w:tr>
      <w:tr w14:paraId="0149CCE8">
        <w:tblPrEx>
          <w:tblCellMar>
            <w:top w:w="0" w:type="dxa"/>
            <w:left w:w="0" w:type="dxa"/>
            <w:bottom w:w="0" w:type="dxa"/>
            <w:right w:w="0" w:type="dxa"/>
          </w:tblCellMar>
        </w:tblPrEx>
        <w:trPr>
          <w:trHeight w:val="901" w:hRule="exact"/>
        </w:trPr>
        <w:tc>
          <w:tcPr>
            <w:tcW w:w="3835" w:type="dxa"/>
            <w:tcBorders>
              <w:top w:val="single" w:color="auto" w:sz="2" w:space="0"/>
              <w:left w:val="single" w:color="auto" w:sz="2" w:space="0"/>
              <w:bottom w:val="single" w:color="auto" w:sz="2" w:space="0"/>
              <w:right w:val="single" w:color="auto" w:sz="2" w:space="0"/>
            </w:tcBorders>
          </w:tcPr>
          <w:p w14:paraId="50B5B669">
            <w:pPr>
              <w:ind w:left="40"/>
              <w:rPr>
                <w:spacing w:val="-4"/>
              </w:rPr>
            </w:pPr>
            <w:r>
              <w:rPr>
                <w:spacing w:val="-4"/>
              </w:rPr>
              <w:t>Employer’s Name:</w:t>
            </w:r>
          </w:p>
        </w:tc>
        <w:tc>
          <w:tcPr>
            <w:tcW w:w="5457" w:type="dxa"/>
            <w:gridSpan w:val="6"/>
            <w:tcBorders>
              <w:top w:val="single" w:color="auto" w:sz="2" w:space="0"/>
              <w:left w:val="single" w:color="auto" w:sz="2" w:space="0"/>
              <w:bottom w:val="single" w:color="auto" w:sz="2" w:space="0"/>
              <w:right w:val="single" w:color="auto" w:sz="2" w:space="0"/>
            </w:tcBorders>
          </w:tcPr>
          <w:p w14:paraId="6623AA51">
            <w:pPr>
              <w:rPr>
                <w:i/>
                <w:iCs/>
                <w:spacing w:val="-4"/>
              </w:rPr>
            </w:pPr>
            <w:r>
              <w:rPr>
                <w:i/>
                <w:iCs/>
                <w:spacing w:val="-4"/>
              </w:rPr>
              <w:t xml:space="preserve"> </w:t>
            </w:r>
          </w:p>
        </w:tc>
      </w:tr>
      <w:tr w14:paraId="133A9637">
        <w:tblPrEx>
          <w:tblCellMar>
            <w:top w:w="0" w:type="dxa"/>
            <w:left w:w="0" w:type="dxa"/>
            <w:bottom w:w="0" w:type="dxa"/>
            <w:right w:w="0" w:type="dxa"/>
          </w:tblCellMar>
        </w:tblPrEx>
        <w:trPr>
          <w:trHeight w:val="1507" w:hRule="atLeast"/>
        </w:trPr>
        <w:tc>
          <w:tcPr>
            <w:tcW w:w="3835" w:type="dxa"/>
            <w:tcBorders>
              <w:top w:val="single" w:color="auto" w:sz="2" w:space="0"/>
              <w:left w:val="single" w:color="auto" w:sz="2" w:space="0"/>
              <w:bottom w:val="single" w:color="auto" w:sz="2" w:space="0"/>
              <w:right w:val="single" w:color="auto" w:sz="2" w:space="0"/>
            </w:tcBorders>
          </w:tcPr>
          <w:p w14:paraId="07468DD7">
            <w:pPr>
              <w:ind w:left="40"/>
              <w:rPr>
                <w:spacing w:val="-4"/>
              </w:rPr>
            </w:pPr>
            <w:r>
              <w:rPr>
                <w:spacing w:val="-4"/>
              </w:rPr>
              <w:t>Address:</w:t>
            </w:r>
          </w:p>
          <w:p w14:paraId="38BC355E">
            <w:pPr>
              <w:spacing w:before="252"/>
              <w:ind w:left="40"/>
              <w:rPr>
                <w:spacing w:val="-4"/>
              </w:rPr>
            </w:pPr>
            <w:r>
              <w:rPr>
                <w:spacing w:val="-4"/>
              </w:rPr>
              <w:t>Telephone/fax number</w:t>
            </w:r>
          </w:p>
          <w:p w14:paraId="27582856">
            <w:pPr>
              <w:spacing w:before="504" w:after="252"/>
              <w:ind w:left="40"/>
              <w:rPr>
                <w:spacing w:val="-4"/>
              </w:rPr>
            </w:pPr>
            <w:r>
              <w:rPr>
                <w:spacing w:val="-4"/>
              </w:rPr>
              <w:t>E-mail:</w:t>
            </w:r>
          </w:p>
        </w:tc>
        <w:tc>
          <w:tcPr>
            <w:tcW w:w="5457" w:type="dxa"/>
            <w:gridSpan w:val="6"/>
            <w:tcBorders>
              <w:top w:val="single" w:color="auto" w:sz="2" w:space="0"/>
              <w:left w:val="single" w:color="auto" w:sz="2" w:space="0"/>
              <w:bottom w:val="single" w:color="auto" w:sz="2" w:space="0"/>
              <w:right w:val="single" w:color="auto" w:sz="2" w:space="0"/>
            </w:tcBorders>
          </w:tcPr>
          <w:p w14:paraId="7C102A7A">
            <w:pPr>
              <w:spacing w:before="252" w:after="252"/>
              <w:rPr>
                <w:i/>
                <w:iCs/>
                <w:spacing w:val="-4"/>
              </w:rPr>
            </w:pPr>
          </w:p>
        </w:tc>
      </w:tr>
    </w:tbl>
    <w:p w14:paraId="49A17440">
      <w:pPr>
        <w:pStyle w:val="174"/>
        <w:tabs>
          <w:tab w:val="left" w:pos="720"/>
        </w:tabs>
        <w:spacing w:after="72" w:line="240" w:lineRule="auto"/>
        <w:ind w:right="144" w:firstLine="72"/>
        <w:rPr>
          <w:bCs/>
          <w:i/>
          <w:iCs/>
          <w:spacing w:val="-2"/>
        </w:rPr>
      </w:pPr>
    </w:p>
    <w:p w14:paraId="51F5A4E6">
      <w:r>
        <w:br w:type="page"/>
      </w:r>
    </w:p>
    <w:tbl>
      <w:tblPr>
        <w:tblStyle w:val="12"/>
        <w:tblW w:w="0" w:type="auto"/>
        <w:tblInd w:w="3" w:type="dxa"/>
        <w:tblLayout w:type="fixed"/>
        <w:tblCellMar>
          <w:top w:w="0" w:type="dxa"/>
          <w:left w:w="0" w:type="dxa"/>
          <w:bottom w:w="0" w:type="dxa"/>
          <w:right w:w="0" w:type="dxa"/>
        </w:tblCellMar>
      </w:tblPr>
      <w:tblGrid>
        <w:gridCol w:w="3835"/>
        <w:gridCol w:w="5455"/>
      </w:tblGrid>
      <w:tr w14:paraId="7A4E37D4">
        <w:tblPrEx>
          <w:tblCellMar>
            <w:top w:w="0" w:type="dxa"/>
            <w:left w:w="0" w:type="dxa"/>
            <w:bottom w:w="0" w:type="dxa"/>
            <w:right w:w="0" w:type="dxa"/>
          </w:tblCellMar>
        </w:tblPrEx>
        <w:trPr>
          <w:trHeight w:val="801" w:hRule="exact"/>
        </w:trPr>
        <w:tc>
          <w:tcPr>
            <w:tcW w:w="3835" w:type="dxa"/>
            <w:tcBorders>
              <w:top w:val="single" w:color="auto" w:sz="2" w:space="0"/>
              <w:left w:val="single" w:color="auto" w:sz="2" w:space="0"/>
              <w:bottom w:val="single" w:color="auto" w:sz="2" w:space="0"/>
              <w:right w:val="single" w:color="auto" w:sz="2" w:space="0"/>
            </w:tcBorders>
          </w:tcPr>
          <w:p w14:paraId="57C3E9BD"/>
        </w:tc>
        <w:tc>
          <w:tcPr>
            <w:tcW w:w="5455" w:type="dxa"/>
            <w:tcBorders>
              <w:top w:val="single" w:color="auto" w:sz="2" w:space="0"/>
              <w:left w:val="single" w:color="auto" w:sz="2" w:space="0"/>
              <w:bottom w:val="single" w:color="auto" w:sz="2" w:space="0"/>
              <w:right w:val="single" w:color="auto" w:sz="2" w:space="0"/>
            </w:tcBorders>
          </w:tcPr>
          <w:p w14:paraId="11EADDDE">
            <w:pPr>
              <w:spacing w:before="252"/>
              <w:ind w:right="20"/>
              <w:jc w:val="center"/>
              <w:rPr>
                <w:b/>
                <w:bCs/>
                <w:spacing w:val="4"/>
                <w:sz w:val="26"/>
                <w:szCs w:val="26"/>
              </w:rPr>
            </w:pPr>
            <w:r>
              <w:rPr>
                <w:b/>
                <w:bCs/>
                <w:spacing w:val="4"/>
                <w:sz w:val="26"/>
                <w:szCs w:val="26"/>
              </w:rPr>
              <w:t>Information</w:t>
            </w:r>
          </w:p>
        </w:tc>
      </w:tr>
      <w:tr w14:paraId="710467D2">
        <w:tblPrEx>
          <w:tblCellMar>
            <w:top w:w="0" w:type="dxa"/>
            <w:left w:w="0" w:type="dxa"/>
            <w:bottom w:w="0" w:type="dxa"/>
            <w:right w:w="0" w:type="dxa"/>
          </w:tblCellMar>
        </w:tblPrEx>
        <w:trPr>
          <w:trHeight w:val="403" w:hRule="exact"/>
        </w:trPr>
        <w:tc>
          <w:tcPr>
            <w:tcW w:w="3835" w:type="dxa"/>
            <w:tcBorders>
              <w:top w:val="single" w:color="auto" w:sz="2" w:space="0"/>
              <w:left w:val="single" w:color="auto" w:sz="2" w:space="0"/>
              <w:bottom w:val="single" w:color="auto" w:sz="2" w:space="0"/>
              <w:right w:val="single" w:color="auto" w:sz="2" w:space="0"/>
            </w:tcBorders>
          </w:tcPr>
          <w:p w14:paraId="25C0CA56">
            <w:pPr>
              <w:ind w:left="40"/>
              <w:rPr>
                <w:spacing w:val="-4"/>
              </w:rPr>
            </w:pPr>
            <w:r>
              <w:rPr>
                <w:spacing w:val="-4"/>
              </w:rPr>
              <w:t>Employer’s Name:</w:t>
            </w:r>
          </w:p>
        </w:tc>
        <w:tc>
          <w:tcPr>
            <w:tcW w:w="5455" w:type="dxa"/>
            <w:tcBorders>
              <w:top w:val="single" w:color="auto" w:sz="2" w:space="0"/>
              <w:left w:val="single" w:color="auto" w:sz="2" w:space="0"/>
              <w:bottom w:val="single" w:color="auto" w:sz="2" w:space="0"/>
              <w:right w:val="single" w:color="auto" w:sz="2" w:space="0"/>
            </w:tcBorders>
          </w:tcPr>
          <w:p w14:paraId="701F04B4">
            <w:pPr>
              <w:rPr>
                <w:i/>
                <w:iCs/>
                <w:spacing w:val="-4"/>
              </w:rPr>
            </w:pPr>
            <w:r>
              <w:rPr>
                <w:i/>
                <w:iCs/>
                <w:spacing w:val="-4"/>
              </w:rPr>
              <w:t xml:space="preserve"> </w:t>
            </w:r>
          </w:p>
        </w:tc>
      </w:tr>
      <w:tr w14:paraId="4BF7D303">
        <w:tblPrEx>
          <w:tblCellMar>
            <w:top w:w="0" w:type="dxa"/>
            <w:left w:w="0" w:type="dxa"/>
            <w:bottom w:w="0" w:type="dxa"/>
            <w:right w:w="0" w:type="dxa"/>
          </w:tblCellMar>
        </w:tblPrEx>
        <w:trPr>
          <w:trHeight w:val="2050" w:hRule="exact"/>
        </w:trPr>
        <w:tc>
          <w:tcPr>
            <w:tcW w:w="3835" w:type="dxa"/>
            <w:tcBorders>
              <w:top w:val="single" w:color="auto" w:sz="2" w:space="0"/>
              <w:left w:val="single" w:color="auto" w:sz="2" w:space="0"/>
              <w:bottom w:val="single" w:color="auto" w:sz="2" w:space="0"/>
              <w:right w:val="single" w:color="auto" w:sz="2" w:space="0"/>
            </w:tcBorders>
          </w:tcPr>
          <w:p w14:paraId="510FDBFF">
            <w:pPr>
              <w:ind w:left="40"/>
              <w:rPr>
                <w:spacing w:val="-4"/>
              </w:rPr>
            </w:pPr>
            <w:r>
              <w:rPr>
                <w:spacing w:val="-4"/>
              </w:rPr>
              <w:t>Address:</w:t>
            </w:r>
          </w:p>
          <w:p w14:paraId="6877B773">
            <w:pPr>
              <w:spacing w:before="252"/>
              <w:ind w:left="40"/>
              <w:rPr>
                <w:spacing w:val="-4"/>
              </w:rPr>
            </w:pPr>
            <w:r>
              <w:rPr>
                <w:spacing w:val="-4"/>
              </w:rPr>
              <w:t>Telephone/fax number</w:t>
            </w:r>
          </w:p>
          <w:p w14:paraId="53C5B39B">
            <w:pPr>
              <w:spacing w:before="504" w:after="252"/>
              <w:ind w:left="40"/>
              <w:rPr>
                <w:spacing w:val="-4"/>
              </w:rPr>
            </w:pPr>
            <w:r>
              <w:rPr>
                <w:spacing w:val="-4"/>
              </w:rPr>
              <w:t>E-mail:</w:t>
            </w:r>
          </w:p>
        </w:tc>
        <w:tc>
          <w:tcPr>
            <w:tcW w:w="5455" w:type="dxa"/>
            <w:tcBorders>
              <w:top w:val="single" w:color="auto" w:sz="2" w:space="0"/>
              <w:left w:val="single" w:color="auto" w:sz="2" w:space="0"/>
              <w:bottom w:val="single" w:color="auto" w:sz="2" w:space="0"/>
              <w:right w:val="single" w:color="auto" w:sz="2" w:space="0"/>
            </w:tcBorders>
          </w:tcPr>
          <w:p w14:paraId="628832AC">
            <w:pPr>
              <w:rPr>
                <w:i/>
                <w:iCs/>
                <w:spacing w:val="-4"/>
              </w:rPr>
            </w:pPr>
          </w:p>
          <w:p w14:paraId="1E0CE9DF">
            <w:pPr>
              <w:spacing w:before="252"/>
              <w:rPr>
                <w:i/>
                <w:iCs/>
                <w:spacing w:val="-4"/>
              </w:rPr>
            </w:pPr>
          </w:p>
          <w:p w14:paraId="7074CD60">
            <w:pPr>
              <w:spacing w:before="252" w:after="252"/>
              <w:rPr>
                <w:i/>
                <w:iCs/>
                <w:spacing w:val="-4"/>
              </w:rPr>
            </w:pPr>
          </w:p>
        </w:tc>
      </w:tr>
    </w:tbl>
    <w:p w14:paraId="7D66ECBB">
      <w:pPr>
        <w:spacing w:after="200"/>
        <w:jc w:val="center"/>
      </w:pPr>
    </w:p>
    <w:p w14:paraId="7094CF8C">
      <w:pPr>
        <w:pStyle w:val="183"/>
        <w:spacing w:before="0" w:after="120" w:line="240" w:lineRule="auto"/>
        <w:rPr>
          <w:spacing w:val="-4"/>
        </w:rPr>
      </w:pPr>
      <w:r>
        <w:rPr>
          <w:spacing w:val="-4"/>
        </w:rPr>
        <w:t xml:space="preserve">2. Activity No. Two </w:t>
      </w:r>
    </w:p>
    <w:p w14:paraId="17EB1364">
      <w:pPr>
        <w:pStyle w:val="183"/>
        <w:spacing w:before="0" w:after="120" w:line="240" w:lineRule="auto"/>
        <w:rPr>
          <w:spacing w:val="-4"/>
        </w:rPr>
      </w:pPr>
      <w:r>
        <w:rPr>
          <w:spacing w:val="-4"/>
        </w:rPr>
        <w:t>3. …………………</w:t>
      </w:r>
    </w:p>
    <w:p w14:paraId="30539B9A">
      <w:pPr>
        <w:pStyle w:val="183"/>
        <w:spacing w:before="0" w:after="120" w:line="240" w:lineRule="auto"/>
        <w:rPr>
          <w:spacing w:val="-4"/>
        </w:rPr>
      </w:pPr>
    </w:p>
    <w:tbl>
      <w:tblPr>
        <w:tblStyle w:val="12"/>
        <w:tblW w:w="0" w:type="auto"/>
        <w:tblInd w:w="3" w:type="dxa"/>
        <w:tblLayout w:type="fixed"/>
        <w:tblCellMar>
          <w:top w:w="0" w:type="dxa"/>
          <w:left w:w="0" w:type="dxa"/>
          <w:bottom w:w="0" w:type="dxa"/>
          <w:right w:w="0" w:type="dxa"/>
        </w:tblCellMar>
      </w:tblPr>
      <w:tblGrid>
        <w:gridCol w:w="3870"/>
        <w:gridCol w:w="5400"/>
      </w:tblGrid>
      <w:tr w14:paraId="5C7E2A99">
        <w:tblPrEx>
          <w:tblCellMar>
            <w:top w:w="0" w:type="dxa"/>
            <w:left w:w="0" w:type="dxa"/>
            <w:bottom w:w="0" w:type="dxa"/>
            <w:right w:w="0" w:type="dxa"/>
          </w:tblCellMar>
        </w:tblPrEx>
        <w:trPr>
          <w:trHeight w:val="801" w:hRule="exact"/>
        </w:trPr>
        <w:tc>
          <w:tcPr>
            <w:tcW w:w="3870" w:type="dxa"/>
            <w:tcBorders>
              <w:top w:val="single" w:color="auto" w:sz="2" w:space="0"/>
              <w:left w:val="single" w:color="auto" w:sz="2" w:space="0"/>
              <w:bottom w:val="single" w:color="auto" w:sz="2" w:space="0"/>
              <w:right w:val="single" w:color="auto" w:sz="2" w:space="0"/>
            </w:tcBorders>
          </w:tcPr>
          <w:p w14:paraId="1285263C"/>
        </w:tc>
        <w:tc>
          <w:tcPr>
            <w:tcW w:w="5400" w:type="dxa"/>
            <w:tcBorders>
              <w:top w:val="single" w:color="auto" w:sz="2" w:space="0"/>
              <w:left w:val="single" w:color="auto" w:sz="2" w:space="0"/>
              <w:bottom w:val="single" w:color="auto" w:sz="2" w:space="0"/>
              <w:right w:val="single" w:color="auto" w:sz="2" w:space="0"/>
            </w:tcBorders>
          </w:tcPr>
          <w:p w14:paraId="1918839F">
            <w:pPr>
              <w:spacing w:before="252"/>
              <w:jc w:val="center"/>
              <w:rPr>
                <w:b/>
                <w:bCs/>
                <w:spacing w:val="4"/>
                <w:sz w:val="26"/>
                <w:szCs w:val="26"/>
              </w:rPr>
            </w:pPr>
            <w:r>
              <w:rPr>
                <w:b/>
                <w:bCs/>
                <w:spacing w:val="4"/>
                <w:sz w:val="26"/>
                <w:szCs w:val="26"/>
              </w:rPr>
              <w:t>Information</w:t>
            </w:r>
          </w:p>
        </w:tc>
      </w:tr>
      <w:tr w14:paraId="14BA2C67">
        <w:tblPrEx>
          <w:tblCellMar>
            <w:top w:w="0" w:type="dxa"/>
            <w:left w:w="0" w:type="dxa"/>
            <w:bottom w:w="0" w:type="dxa"/>
            <w:right w:w="0" w:type="dxa"/>
          </w:tblCellMar>
        </w:tblPrEx>
        <w:trPr>
          <w:trHeight w:val="878" w:hRule="exact"/>
        </w:trPr>
        <w:tc>
          <w:tcPr>
            <w:tcW w:w="3870" w:type="dxa"/>
            <w:tcBorders>
              <w:top w:val="single" w:color="auto" w:sz="2" w:space="0"/>
              <w:left w:val="single" w:color="auto" w:sz="2" w:space="0"/>
              <w:bottom w:val="single" w:color="auto" w:sz="2" w:space="0"/>
              <w:right w:val="single" w:color="auto" w:sz="2" w:space="0"/>
            </w:tcBorders>
          </w:tcPr>
          <w:p w14:paraId="6F35267E">
            <w:pPr>
              <w:ind w:left="40"/>
              <w:rPr>
                <w:spacing w:val="-4"/>
              </w:rPr>
            </w:pPr>
            <w:r>
              <w:rPr>
                <w:spacing w:val="-4"/>
              </w:rPr>
              <w:t>Description of the key activities in accordance with Sub-Factor 4.2(b) of Section III:</w:t>
            </w:r>
          </w:p>
        </w:tc>
        <w:tc>
          <w:tcPr>
            <w:tcW w:w="5400" w:type="dxa"/>
            <w:tcBorders>
              <w:top w:val="single" w:color="auto" w:sz="2" w:space="0"/>
              <w:left w:val="single" w:color="auto" w:sz="2" w:space="0"/>
              <w:bottom w:val="single" w:color="auto" w:sz="2" w:space="0"/>
              <w:right w:val="single" w:color="auto" w:sz="2" w:space="0"/>
            </w:tcBorders>
          </w:tcPr>
          <w:p w14:paraId="651293BA">
            <w:pPr>
              <w:ind w:left="40"/>
              <w:rPr>
                <w:spacing w:val="-4"/>
              </w:rPr>
            </w:pPr>
          </w:p>
        </w:tc>
      </w:tr>
      <w:tr w14:paraId="2D799E76">
        <w:tblPrEx>
          <w:tblCellMar>
            <w:top w:w="0" w:type="dxa"/>
            <w:left w:w="0" w:type="dxa"/>
            <w:bottom w:w="0" w:type="dxa"/>
            <w:right w:w="0" w:type="dxa"/>
          </w:tblCellMar>
        </w:tblPrEx>
        <w:trPr>
          <w:trHeight w:val="710" w:hRule="exact"/>
        </w:trPr>
        <w:tc>
          <w:tcPr>
            <w:tcW w:w="3870" w:type="dxa"/>
            <w:tcBorders>
              <w:top w:val="single" w:color="auto" w:sz="2" w:space="0"/>
              <w:left w:val="single" w:color="auto" w:sz="2" w:space="0"/>
              <w:bottom w:val="single" w:color="auto" w:sz="2" w:space="0"/>
              <w:right w:val="single" w:color="auto" w:sz="2" w:space="0"/>
            </w:tcBorders>
          </w:tcPr>
          <w:p w14:paraId="45461920"/>
        </w:tc>
        <w:tc>
          <w:tcPr>
            <w:tcW w:w="5400" w:type="dxa"/>
            <w:tcBorders>
              <w:top w:val="single" w:color="auto" w:sz="2" w:space="0"/>
              <w:left w:val="single" w:color="auto" w:sz="2" w:space="0"/>
              <w:bottom w:val="single" w:color="auto" w:sz="2" w:space="0"/>
              <w:right w:val="single" w:color="auto" w:sz="2" w:space="0"/>
            </w:tcBorders>
          </w:tcPr>
          <w:p w14:paraId="2D3EB2D3">
            <w:pPr>
              <w:rPr>
                <w:i/>
                <w:iCs/>
                <w:spacing w:val="-4"/>
              </w:rPr>
            </w:pPr>
          </w:p>
          <w:p w14:paraId="595F0618">
            <w:pPr>
              <w:rPr>
                <w:i/>
                <w:iCs/>
                <w:spacing w:val="-4"/>
              </w:rPr>
            </w:pPr>
          </w:p>
        </w:tc>
      </w:tr>
      <w:tr w14:paraId="6C8150B7">
        <w:tblPrEx>
          <w:tblCellMar>
            <w:top w:w="0" w:type="dxa"/>
            <w:left w:w="0" w:type="dxa"/>
            <w:bottom w:w="0" w:type="dxa"/>
            <w:right w:w="0" w:type="dxa"/>
          </w:tblCellMar>
        </w:tblPrEx>
        <w:trPr>
          <w:trHeight w:val="710" w:hRule="exact"/>
        </w:trPr>
        <w:tc>
          <w:tcPr>
            <w:tcW w:w="3870" w:type="dxa"/>
            <w:tcBorders>
              <w:top w:val="single" w:color="auto" w:sz="2" w:space="0"/>
              <w:left w:val="single" w:color="auto" w:sz="2" w:space="0"/>
              <w:bottom w:val="single" w:color="auto" w:sz="2" w:space="0"/>
              <w:right w:val="single" w:color="auto" w:sz="2" w:space="0"/>
            </w:tcBorders>
          </w:tcPr>
          <w:p w14:paraId="2DC0E33E"/>
        </w:tc>
        <w:tc>
          <w:tcPr>
            <w:tcW w:w="5400" w:type="dxa"/>
            <w:tcBorders>
              <w:top w:val="single" w:color="auto" w:sz="2" w:space="0"/>
              <w:left w:val="single" w:color="auto" w:sz="2" w:space="0"/>
              <w:bottom w:val="single" w:color="auto" w:sz="2" w:space="0"/>
              <w:right w:val="single" w:color="auto" w:sz="2" w:space="0"/>
            </w:tcBorders>
          </w:tcPr>
          <w:p w14:paraId="5BDA9B36"/>
        </w:tc>
      </w:tr>
      <w:tr w14:paraId="5730C1C1">
        <w:tblPrEx>
          <w:tblCellMar>
            <w:top w:w="0" w:type="dxa"/>
            <w:left w:w="0" w:type="dxa"/>
            <w:bottom w:w="0" w:type="dxa"/>
            <w:right w:w="0" w:type="dxa"/>
          </w:tblCellMar>
        </w:tblPrEx>
        <w:trPr>
          <w:trHeight w:val="706" w:hRule="exact"/>
        </w:trPr>
        <w:tc>
          <w:tcPr>
            <w:tcW w:w="3870" w:type="dxa"/>
            <w:tcBorders>
              <w:top w:val="single" w:color="auto" w:sz="2" w:space="0"/>
              <w:left w:val="single" w:color="auto" w:sz="2" w:space="0"/>
              <w:bottom w:val="single" w:color="auto" w:sz="2" w:space="0"/>
              <w:right w:val="single" w:color="auto" w:sz="2" w:space="0"/>
            </w:tcBorders>
          </w:tcPr>
          <w:p w14:paraId="38025E1D"/>
        </w:tc>
        <w:tc>
          <w:tcPr>
            <w:tcW w:w="5400" w:type="dxa"/>
            <w:tcBorders>
              <w:top w:val="single" w:color="auto" w:sz="2" w:space="0"/>
              <w:left w:val="single" w:color="auto" w:sz="2" w:space="0"/>
              <w:bottom w:val="single" w:color="auto" w:sz="2" w:space="0"/>
              <w:right w:val="single" w:color="auto" w:sz="2" w:space="0"/>
            </w:tcBorders>
          </w:tcPr>
          <w:p w14:paraId="4DE14C16"/>
        </w:tc>
      </w:tr>
      <w:tr w14:paraId="5CD21C8E">
        <w:tblPrEx>
          <w:tblCellMar>
            <w:top w:w="0" w:type="dxa"/>
            <w:left w:w="0" w:type="dxa"/>
            <w:bottom w:w="0" w:type="dxa"/>
            <w:right w:w="0" w:type="dxa"/>
          </w:tblCellMar>
        </w:tblPrEx>
        <w:trPr>
          <w:trHeight w:val="710" w:hRule="exact"/>
        </w:trPr>
        <w:tc>
          <w:tcPr>
            <w:tcW w:w="3870" w:type="dxa"/>
            <w:tcBorders>
              <w:top w:val="single" w:color="auto" w:sz="2" w:space="0"/>
              <w:left w:val="single" w:color="auto" w:sz="2" w:space="0"/>
              <w:bottom w:val="single" w:color="auto" w:sz="2" w:space="0"/>
              <w:right w:val="single" w:color="auto" w:sz="2" w:space="0"/>
            </w:tcBorders>
          </w:tcPr>
          <w:p w14:paraId="0485FA2F"/>
        </w:tc>
        <w:tc>
          <w:tcPr>
            <w:tcW w:w="5400" w:type="dxa"/>
            <w:tcBorders>
              <w:top w:val="single" w:color="auto" w:sz="2" w:space="0"/>
              <w:left w:val="single" w:color="auto" w:sz="2" w:space="0"/>
              <w:bottom w:val="single" w:color="auto" w:sz="2" w:space="0"/>
              <w:right w:val="single" w:color="auto" w:sz="2" w:space="0"/>
            </w:tcBorders>
          </w:tcPr>
          <w:p w14:paraId="22DB9439"/>
        </w:tc>
      </w:tr>
      <w:tr w14:paraId="41A745E4">
        <w:trPr>
          <w:trHeight w:val="816" w:hRule="exact"/>
        </w:trPr>
        <w:tc>
          <w:tcPr>
            <w:tcW w:w="3870" w:type="dxa"/>
            <w:tcBorders>
              <w:top w:val="single" w:color="auto" w:sz="2" w:space="0"/>
              <w:left w:val="single" w:color="auto" w:sz="2" w:space="0"/>
              <w:bottom w:val="single" w:color="auto" w:sz="2" w:space="0"/>
              <w:right w:val="single" w:color="auto" w:sz="2" w:space="0"/>
            </w:tcBorders>
          </w:tcPr>
          <w:p w14:paraId="039E693A"/>
        </w:tc>
        <w:tc>
          <w:tcPr>
            <w:tcW w:w="5400" w:type="dxa"/>
            <w:tcBorders>
              <w:top w:val="single" w:color="auto" w:sz="2" w:space="0"/>
              <w:left w:val="single" w:color="auto" w:sz="2" w:space="0"/>
              <w:bottom w:val="single" w:color="auto" w:sz="2" w:space="0"/>
              <w:right w:val="single" w:color="auto" w:sz="2" w:space="0"/>
            </w:tcBorders>
          </w:tcPr>
          <w:p w14:paraId="6F379049"/>
        </w:tc>
      </w:tr>
    </w:tbl>
    <w:p w14:paraId="493121F5">
      <w:pPr>
        <w:pStyle w:val="199"/>
        <w:rPr>
          <w:szCs w:val="32"/>
        </w:rPr>
      </w:pPr>
      <w:bookmarkStart w:id="491" w:name="_Toc25233341"/>
    </w:p>
    <w:p w14:paraId="7CF07D95">
      <w:pPr>
        <w:rPr>
          <w:b/>
          <w:sz w:val="32"/>
          <w:szCs w:val="32"/>
        </w:rPr>
      </w:pPr>
      <w:r>
        <w:rPr>
          <w:szCs w:val="32"/>
        </w:rPr>
        <w:br w:type="page"/>
      </w:r>
    </w:p>
    <w:p w14:paraId="310EA535">
      <w:pPr>
        <w:pStyle w:val="156"/>
        <w:rPr>
          <w:szCs w:val="32"/>
        </w:rPr>
      </w:pPr>
      <w:bookmarkStart w:id="492" w:name="_Toc178519614"/>
      <w:r>
        <w:rPr>
          <w:szCs w:val="32"/>
        </w:rPr>
        <w:t>Form EXP - 4.2(c): Specific Experience in Managing ES aspects</w:t>
      </w:r>
      <w:bookmarkEnd w:id="492"/>
      <w:r>
        <w:rPr>
          <w:szCs w:val="32"/>
        </w:rPr>
        <w:t xml:space="preserve"> </w:t>
      </w:r>
      <w:bookmarkEnd w:id="491"/>
    </w:p>
    <w:p w14:paraId="19E4A145">
      <w:pPr>
        <w:spacing w:before="432"/>
        <w:ind w:right="743"/>
        <w:rPr>
          <w:bCs/>
          <w:i/>
          <w:iCs/>
          <w:spacing w:val="2"/>
        </w:rPr>
      </w:pPr>
      <w:r>
        <w:rPr>
          <w:bCs/>
          <w:i/>
          <w:spacing w:val="14"/>
        </w:rPr>
        <w:t>[</w:t>
      </w:r>
      <w:r>
        <w:rPr>
          <w:bCs/>
          <w:i/>
          <w:iCs/>
          <w:spacing w:val="2"/>
        </w:rPr>
        <w:t>The following table shall be filled in for contracts performed by the Bidder, and each member of a Joint Venture]</w:t>
      </w:r>
    </w:p>
    <w:p w14:paraId="730BA4B0">
      <w:pPr>
        <w:spacing w:before="240"/>
        <w:jc w:val="right"/>
        <w:rPr>
          <w:bCs/>
          <w:i/>
          <w:iCs/>
          <w:color w:val="000000" w:themeColor="text1"/>
          <w:spacing w:val="2"/>
          <w14:textFill>
            <w14:solidFill>
              <w14:schemeClr w14:val="tx1"/>
            </w14:solidFill>
          </w14:textFill>
        </w:rPr>
      </w:pPr>
      <w:r>
        <w:rPr>
          <w:bCs/>
          <w:color w:val="000000" w:themeColor="text1"/>
          <w:spacing w:val="-2"/>
          <w14:textFill>
            <w14:solidFill>
              <w14:schemeClr w14:val="tx1"/>
            </w14:solidFill>
          </w14:textFill>
        </w:rPr>
        <w:t xml:space="preserve">Bidder's Name: </w:t>
      </w:r>
      <w:r>
        <w:rPr>
          <w:bCs/>
          <w:i/>
          <w:iCs/>
          <w:color w:val="000000" w:themeColor="text1"/>
          <w14:textFill>
            <w14:solidFill>
              <w14:schemeClr w14:val="tx1"/>
            </w14:solidFill>
          </w14:textFill>
        </w:rPr>
        <w:t>________________</w:t>
      </w:r>
      <w:r>
        <w:rPr>
          <w:bCs/>
          <w:i/>
          <w:iCs/>
          <w:color w:val="000000" w:themeColor="text1"/>
          <w14:textFill>
            <w14:solidFill>
              <w14:schemeClr w14:val="tx1"/>
            </w14:solidFill>
          </w14:textFill>
        </w:rPr>
        <w:br w:type="textWrapping"/>
      </w:r>
      <w:r>
        <w:rPr>
          <w:bCs/>
          <w:color w:val="000000" w:themeColor="text1"/>
          <w:spacing w:val="-2"/>
          <w14:textFill>
            <w14:solidFill>
              <w14:schemeClr w14:val="tx1"/>
            </w14:solidFill>
          </w14:textFill>
        </w:rPr>
        <w:t xml:space="preserve">Date: </w:t>
      </w:r>
      <w:r>
        <w:rPr>
          <w:bCs/>
          <w:i/>
          <w:iCs/>
          <w:color w:val="000000" w:themeColor="text1"/>
          <w:spacing w:val="2"/>
          <w14:textFill>
            <w14:solidFill>
              <w14:schemeClr w14:val="tx1"/>
            </w14:solidFill>
          </w14:textFill>
        </w:rPr>
        <w:t>___________________</w:t>
      </w:r>
      <w:r>
        <w:rPr>
          <w:bCs/>
          <w:i/>
          <w:iCs/>
          <w:color w:val="000000" w:themeColor="text1"/>
          <w:spacing w:val="2"/>
          <w14:textFill>
            <w14:solidFill>
              <w14:schemeClr w14:val="tx1"/>
            </w14:solidFill>
          </w14:textFill>
        </w:rPr>
        <w:br w:type="textWrapping"/>
      </w:r>
      <w:r>
        <w:rPr>
          <w:bCs/>
          <w:color w:val="000000" w:themeColor="text1"/>
          <w:spacing w:val="-2"/>
          <w14:textFill>
            <w14:solidFill>
              <w14:schemeClr w14:val="tx1"/>
            </w14:solidFill>
          </w14:textFill>
        </w:rPr>
        <w:t xml:space="preserve">Bidder's JV Member Name: </w:t>
      </w:r>
      <w:r>
        <w:rPr>
          <w:bCs/>
          <w:i/>
          <w:iCs/>
          <w:color w:val="000000" w:themeColor="text1"/>
          <w14:textFill>
            <w14:solidFill>
              <w14:schemeClr w14:val="tx1"/>
            </w14:solidFill>
          </w14:textFill>
        </w:rPr>
        <w:t>__________________</w:t>
      </w:r>
      <w:r>
        <w:rPr>
          <w:bCs/>
          <w:i/>
          <w:iCs/>
          <w:color w:val="000000" w:themeColor="text1"/>
          <w14:textFill>
            <w14:solidFill>
              <w14:schemeClr w14:val="tx1"/>
            </w14:solidFill>
          </w14:textFill>
        </w:rPr>
        <w:br w:type="textWrapping"/>
      </w:r>
      <w:r>
        <w:rPr>
          <w:bCs/>
          <w:color w:val="000000" w:themeColor="text1"/>
          <w:spacing w:val="-2"/>
          <w14:textFill>
            <w14:solidFill>
              <w14:schemeClr w14:val="tx1"/>
            </w14:solidFill>
          </w14:textFill>
        </w:rPr>
        <w:t xml:space="preserve">RFB No. and title: </w:t>
      </w:r>
      <w:r>
        <w:rPr>
          <w:bCs/>
          <w:i/>
          <w:iCs/>
          <w:color w:val="000000" w:themeColor="text1"/>
          <w:spacing w:val="2"/>
          <w14:textFill>
            <w14:solidFill>
              <w14:schemeClr w14:val="tx1"/>
            </w14:solidFill>
          </w14:textFill>
        </w:rPr>
        <w:t>_____________________</w:t>
      </w:r>
    </w:p>
    <w:p w14:paraId="20B9DEDD">
      <w:pPr>
        <w:pStyle w:val="181"/>
        <w:adjustRightInd/>
        <w:spacing w:after="120"/>
        <w:ind w:left="2880"/>
        <w:jc w:val="right"/>
        <w:rPr>
          <w:bCs/>
          <w:color w:val="000000" w:themeColor="text1"/>
          <w:spacing w:val="-2"/>
          <w14:textFill>
            <w14:solidFill>
              <w14:schemeClr w14:val="tx1"/>
            </w14:solidFill>
          </w14:textFill>
        </w:rPr>
      </w:pPr>
      <w:r>
        <w:rPr>
          <w:bCs/>
          <w:color w:val="000000" w:themeColor="text1"/>
          <w:spacing w:val="-2"/>
          <w14:textFill>
            <w14:solidFill>
              <w14:schemeClr w14:val="tx1"/>
            </w14:solidFill>
          </w14:textFill>
        </w:rPr>
        <w:t xml:space="preserve">Page </w:t>
      </w:r>
      <w:r>
        <w:rPr>
          <w:bCs/>
          <w:i/>
          <w:iCs/>
          <w:color w:val="000000" w:themeColor="text1"/>
          <w:spacing w:val="2"/>
          <w14:textFill>
            <w14:solidFill>
              <w14:schemeClr w14:val="tx1"/>
            </w14:solidFill>
          </w14:textFill>
        </w:rPr>
        <w:t>__________________</w:t>
      </w:r>
      <w:r>
        <w:rPr>
          <w:bCs/>
          <w:color w:val="000000" w:themeColor="text1"/>
          <w:spacing w:val="-2"/>
          <w14:textFill>
            <w14:solidFill>
              <w14:schemeClr w14:val="tx1"/>
            </w14:solidFill>
          </w14:textFill>
        </w:rPr>
        <w:t xml:space="preserve">of </w:t>
      </w:r>
      <w:r>
        <w:rPr>
          <w:bCs/>
          <w:i/>
          <w:iCs/>
          <w:color w:val="000000" w:themeColor="text1"/>
          <w:spacing w:val="2"/>
          <w14:textFill>
            <w14:solidFill>
              <w14:schemeClr w14:val="tx1"/>
            </w14:solidFill>
          </w14:textFill>
        </w:rPr>
        <w:t>________________</w:t>
      </w:r>
      <w:r>
        <w:rPr>
          <w:bCs/>
          <w:color w:val="000000" w:themeColor="text1"/>
          <w:spacing w:val="-2"/>
          <w14:textFill>
            <w14:solidFill>
              <w14:schemeClr w14:val="tx1"/>
            </w14:solidFill>
          </w14:textFill>
        </w:rPr>
        <w:t>pages</w:t>
      </w:r>
    </w:p>
    <w:p w14:paraId="15A77F8E">
      <w:pPr>
        <w:spacing w:before="40" w:after="40"/>
        <w:rPr>
          <w:bCs/>
          <w:color w:val="000000" w:themeColor="text1"/>
          <w:spacing w:val="6"/>
          <w:sz w:val="46"/>
          <w:szCs w:val="46"/>
          <w14:textFill>
            <w14:solidFill>
              <w14:schemeClr w14:val="tx1"/>
            </w14:solidFill>
          </w14:textFill>
        </w:rPr>
      </w:pPr>
      <w:r>
        <w:rPr>
          <w:b/>
          <w:bCs/>
          <w:color w:val="000000" w:themeColor="text1"/>
          <w:spacing w:val="6"/>
          <w:sz w:val="46"/>
          <w:szCs w:val="46"/>
          <w14:textFill>
            <w14:solidFill>
              <w14:schemeClr w14:val="tx1"/>
            </w14:solidFill>
          </w14:textFill>
        </w:rPr>
        <w:tab/>
      </w:r>
    </w:p>
    <w:p w14:paraId="55D53810">
      <w:pPr>
        <w:pStyle w:val="176"/>
        <w:numPr>
          <w:ilvl w:val="3"/>
          <w:numId w:val="57"/>
        </w:numPr>
        <w:spacing w:before="40" w:after="40"/>
        <w:ind w:left="360"/>
        <w:jc w:val="left"/>
        <w:rPr>
          <w:bCs/>
          <w:iCs/>
          <w:color w:val="000000" w:themeColor="text1"/>
          <w:spacing w:val="-2"/>
          <w14:textFill>
            <w14:solidFill>
              <w14:schemeClr w14:val="tx1"/>
            </w14:solidFill>
          </w14:textFill>
        </w:rPr>
      </w:pPr>
      <w:r>
        <w:rPr>
          <w:bCs/>
          <w:color w:val="000000" w:themeColor="text1"/>
          <w:spacing w:val="-2"/>
          <w14:textFill>
            <w14:solidFill>
              <w14:schemeClr w14:val="tx1"/>
            </w14:solidFill>
          </w14:textFill>
        </w:rPr>
        <w:t xml:space="preserve">Key </w:t>
      </w:r>
      <w:r>
        <w:rPr>
          <w:bCs/>
          <w:color w:val="000000" w:themeColor="text1"/>
          <w:spacing w:val="4"/>
          <w14:textFill>
            <w14:solidFill>
              <w14:schemeClr w14:val="tx1"/>
            </w14:solidFill>
          </w14:textFill>
        </w:rPr>
        <w:t xml:space="preserve">Requirement no 1 in accordance with 4.2 (c): </w:t>
      </w:r>
      <w:r>
        <w:rPr>
          <w:bCs/>
          <w:iCs/>
          <w:color w:val="000000" w:themeColor="text1"/>
          <w:spacing w:val="2"/>
          <w14:textFill>
            <w14:solidFill>
              <w14:schemeClr w14:val="tx1"/>
            </w14:solidFill>
          </w14:textFill>
        </w:rPr>
        <w:t>______________________</w:t>
      </w:r>
    </w:p>
    <w:p w14:paraId="6FD4909B">
      <w:pPr>
        <w:pStyle w:val="176"/>
        <w:spacing w:before="40" w:after="40"/>
        <w:ind w:left="360"/>
        <w:rPr>
          <w:bCs/>
          <w:iCs/>
          <w:color w:val="000000" w:themeColor="text1"/>
          <w:spacing w:val="-2"/>
          <w14:textFill>
            <w14:solidFill>
              <w14:schemeClr w14:val="tx1"/>
            </w14:solidFill>
          </w14:textFill>
        </w:rPr>
      </w:pPr>
    </w:p>
    <w:tbl>
      <w:tblPr>
        <w:tblStyle w:val="12"/>
        <w:tblW w:w="9354" w:type="dxa"/>
        <w:tblInd w:w="3" w:type="dxa"/>
        <w:tblLayout w:type="fixed"/>
        <w:tblCellMar>
          <w:top w:w="0" w:type="dxa"/>
          <w:left w:w="0" w:type="dxa"/>
          <w:bottom w:w="0" w:type="dxa"/>
          <w:right w:w="0" w:type="dxa"/>
        </w:tblCellMar>
      </w:tblPr>
      <w:tblGrid>
        <w:gridCol w:w="3835"/>
        <w:gridCol w:w="1385"/>
        <w:gridCol w:w="1440"/>
        <w:gridCol w:w="1350"/>
        <w:gridCol w:w="1344"/>
      </w:tblGrid>
      <w:tr w14:paraId="386E36CD">
        <w:tblPrEx>
          <w:tblCellMar>
            <w:top w:w="0" w:type="dxa"/>
            <w:left w:w="0" w:type="dxa"/>
            <w:bottom w:w="0" w:type="dxa"/>
            <w:right w:w="0" w:type="dxa"/>
          </w:tblCellMar>
        </w:tblPrEx>
        <w:trPr>
          <w:trHeight w:val="413" w:hRule="exact"/>
        </w:trPr>
        <w:tc>
          <w:tcPr>
            <w:tcW w:w="3835" w:type="dxa"/>
            <w:tcBorders>
              <w:top w:val="single" w:color="auto" w:sz="2" w:space="0"/>
              <w:left w:val="single" w:color="auto" w:sz="2" w:space="0"/>
              <w:bottom w:val="single" w:color="auto" w:sz="2" w:space="0"/>
              <w:right w:val="single" w:color="auto" w:sz="2" w:space="0"/>
            </w:tcBorders>
          </w:tcPr>
          <w:p w14:paraId="48BC7F7F">
            <w:pPr>
              <w:spacing w:before="40" w:after="40"/>
              <w:ind w:left="43"/>
              <w:rPr>
                <w:bCs/>
                <w:color w:val="000000" w:themeColor="text1"/>
                <w:spacing w:val="-8"/>
                <w:sz w:val="22"/>
                <w:szCs w:val="22"/>
                <w14:textFill>
                  <w14:solidFill>
                    <w14:schemeClr w14:val="tx1"/>
                  </w14:solidFill>
                </w14:textFill>
              </w:rPr>
            </w:pPr>
            <w:r>
              <w:rPr>
                <w:bCs/>
                <w:color w:val="000000" w:themeColor="text1"/>
                <w:spacing w:val="-8"/>
                <w:sz w:val="22"/>
                <w:szCs w:val="22"/>
                <w14:textFill>
                  <w14:solidFill>
                    <w14:schemeClr w14:val="tx1"/>
                  </w14:solidFill>
                </w14:textFill>
              </w:rPr>
              <w:t>Contract Identification</w:t>
            </w:r>
          </w:p>
        </w:tc>
        <w:tc>
          <w:tcPr>
            <w:tcW w:w="5519" w:type="dxa"/>
            <w:gridSpan w:val="4"/>
            <w:tcBorders>
              <w:top w:val="single" w:color="auto" w:sz="2" w:space="0"/>
              <w:left w:val="single" w:color="auto" w:sz="2" w:space="0"/>
              <w:bottom w:val="single" w:color="auto" w:sz="2" w:space="0"/>
              <w:right w:val="single" w:color="auto" w:sz="2" w:space="0"/>
            </w:tcBorders>
          </w:tcPr>
          <w:p w14:paraId="02740847">
            <w:pPr>
              <w:spacing w:before="40" w:after="40"/>
              <w:ind w:left="284"/>
              <w:rPr>
                <w:bCs/>
                <w:i/>
                <w:iCs/>
                <w:color w:val="000000" w:themeColor="text1"/>
                <w:spacing w:val="2"/>
                <w:sz w:val="22"/>
                <w:szCs w:val="22"/>
                <w14:textFill>
                  <w14:solidFill>
                    <w14:schemeClr w14:val="tx1"/>
                  </w14:solidFill>
                </w14:textFill>
              </w:rPr>
            </w:pPr>
          </w:p>
        </w:tc>
      </w:tr>
      <w:tr w14:paraId="02647169">
        <w:tblPrEx>
          <w:tblCellMar>
            <w:top w:w="0" w:type="dxa"/>
            <w:left w:w="0" w:type="dxa"/>
            <w:bottom w:w="0" w:type="dxa"/>
            <w:right w:w="0" w:type="dxa"/>
          </w:tblCellMar>
        </w:tblPrEx>
        <w:trPr>
          <w:trHeight w:val="408" w:hRule="exact"/>
        </w:trPr>
        <w:tc>
          <w:tcPr>
            <w:tcW w:w="3835" w:type="dxa"/>
            <w:tcBorders>
              <w:top w:val="single" w:color="auto" w:sz="2" w:space="0"/>
              <w:left w:val="single" w:color="auto" w:sz="2" w:space="0"/>
              <w:bottom w:val="single" w:color="auto" w:sz="2" w:space="0"/>
              <w:right w:val="single" w:color="auto" w:sz="2" w:space="0"/>
            </w:tcBorders>
          </w:tcPr>
          <w:p w14:paraId="77393A5A">
            <w:pPr>
              <w:spacing w:before="40" w:after="40"/>
              <w:ind w:left="43"/>
              <w:rPr>
                <w:bCs/>
                <w:color w:val="000000" w:themeColor="text1"/>
                <w:spacing w:val="-10"/>
                <w:sz w:val="22"/>
                <w:szCs w:val="22"/>
                <w14:textFill>
                  <w14:solidFill>
                    <w14:schemeClr w14:val="tx1"/>
                  </w14:solidFill>
                </w14:textFill>
              </w:rPr>
            </w:pPr>
            <w:r>
              <w:rPr>
                <w:bCs/>
                <w:color w:val="000000" w:themeColor="text1"/>
                <w:spacing w:val="-10"/>
                <w:sz w:val="22"/>
                <w:szCs w:val="22"/>
                <w14:textFill>
                  <w14:solidFill>
                    <w14:schemeClr w14:val="tx1"/>
                  </w14:solidFill>
                </w14:textFill>
              </w:rPr>
              <w:t>Award date</w:t>
            </w:r>
          </w:p>
        </w:tc>
        <w:tc>
          <w:tcPr>
            <w:tcW w:w="5519" w:type="dxa"/>
            <w:gridSpan w:val="4"/>
            <w:tcBorders>
              <w:top w:val="single" w:color="auto" w:sz="2" w:space="0"/>
              <w:left w:val="single" w:color="auto" w:sz="2" w:space="0"/>
              <w:bottom w:val="single" w:color="auto" w:sz="2" w:space="0"/>
              <w:right w:val="single" w:color="auto" w:sz="2" w:space="0"/>
            </w:tcBorders>
          </w:tcPr>
          <w:p w14:paraId="69808468">
            <w:pPr>
              <w:spacing w:before="40" w:after="40"/>
              <w:ind w:left="164"/>
              <w:rPr>
                <w:bCs/>
                <w:i/>
                <w:iCs/>
                <w:color w:val="000000" w:themeColor="text1"/>
                <w:spacing w:val="2"/>
                <w:sz w:val="22"/>
                <w:szCs w:val="22"/>
                <w14:textFill>
                  <w14:solidFill>
                    <w14:schemeClr w14:val="tx1"/>
                  </w14:solidFill>
                </w14:textFill>
              </w:rPr>
            </w:pPr>
          </w:p>
        </w:tc>
      </w:tr>
      <w:tr w14:paraId="3EDE2205">
        <w:tblPrEx>
          <w:tblCellMar>
            <w:top w:w="0" w:type="dxa"/>
            <w:left w:w="0" w:type="dxa"/>
            <w:bottom w:w="0" w:type="dxa"/>
            <w:right w:w="0" w:type="dxa"/>
          </w:tblCellMar>
        </w:tblPrEx>
        <w:trPr>
          <w:trHeight w:val="413" w:hRule="exact"/>
        </w:trPr>
        <w:tc>
          <w:tcPr>
            <w:tcW w:w="3835" w:type="dxa"/>
            <w:tcBorders>
              <w:top w:val="single" w:color="auto" w:sz="2" w:space="0"/>
              <w:left w:val="single" w:color="auto" w:sz="2" w:space="0"/>
              <w:bottom w:val="single" w:color="auto" w:sz="2" w:space="0"/>
              <w:right w:val="single" w:color="auto" w:sz="2" w:space="0"/>
            </w:tcBorders>
          </w:tcPr>
          <w:p w14:paraId="625F84A3">
            <w:pPr>
              <w:spacing w:before="40" w:after="40"/>
              <w:ind w:left="43"/>
              <w:rPr>
                <w:bCs/>
                <w:color w:val="000000" w:themeColor="text1"/>
                <w:spacing w:val="-2"/>
                <w:sz w:val="22"/>
                <w:szCs w:val="22"/>
                <w14:textFill>
                  <w14:solidFill>
                    <w14:schemeClr w14:val="tx1"/>
                  </w14:solidFill>
                </w14:textFill>
              </w:rPr>
            </w:pPr>
            <w:r>
              <w:rPr>
                <w:bCs/>
                <w:color w:val="000000" w:themeColor="text1"/>
                <w:spacing w:val="-2"/>
                <w:sz w:val="22"/>
                <w:szCs w:val="22"/>
                <w14:textFill>
                  <w14:solidFill>
                    <w14:schemeClr w14:val="tx1"/>
                  </w14:solidFill>
                </w14:textFill>
              </w:rPr>
              <w:t>Completion date</w:t>
            </w:r>
          </w:p>
        </w:tc>
        <w:tc>
          <w:tcPr>
            <w:tcW w:w="5519" w:type="dxa"/>
            <w:gridSpan w:val="4"/>
            <w:tcBorders>
              <w:top w:val="single" w:color="auto" w:sz="2" w:space="0"/>
              <w:left w:val="single" w:color="auto" w:sz="2" w:space="0"/>
              <w:bottom w:val="single" w:color="auto" w:sz="2" w:space="0"/>
              <w:right w:val="single" w:color="auto" w:sz="2" w:space="0"/>
            </w:tcBorders>
          </w:tcPr>
          <w:p w14:paraId="0570439A">
            <w:pPr>
              <w:spacing w:before="40" w:after="40"/>
              <w:ind w:left="164"/>
              <w:rPr>
                <w:bCs/>
                <w:i/>
                <w:iCs/>
                <w:color w:val="000000" w:themeColor="text1"/>
                <w:spacing w:val="2"/>
                <w:sz w:val="22"/>
                <w:szCs w:val="22"/>
                <w14:textFill>
                  <w14:solidFill>
                    <w14:schemeClr w14:val="tx1"/>
                  </w14:solidFill>
                </w14:textFill>
              </w:rPr>
            </w:pPr>
          </w:p>
        </w:tc>
      </w:tr>
      <w:tr w14:paraId="60F0A1FC">
        <w:tblPrEx>
          <w:tblCellMar>
            <w:top w:w="0" w:type="dxa"/>
            <w:left w:w="0" w:type="dxa"/>
            <w:bottom w:w="0" w:type="dxa"/>
            <w:right w:w="0" w:type="dxa"/>
          </w:tblCellMar>
        </w:tblPrEx>
        <w:trPr>
          <w:trHeight w:val="1109" w:hRule="exact"/>
        </w:trPr>
        <w:tc>
          <w:tcPr>
            <w:tcW w:w="3835" w:type="dxa"/>
            <w:tcBorders>
              <w:top w:val="single" w:color="auto" w:sz="2" w:space="0"/>
              <w:left w:val="single" w:color="auto" w:sz="2" w:space="0"/>
              <w:bottom w:val="single" w:color="auto" w:sz="2" w:space="0"/>
              <w:right w:val="single" w:color="auto" w:sz="2" w:space="0"/>
            </w:tcBorders>
          </w:tcPr>
          <w:p w14:paraId="6ACBE0B2">
            <w:pPr>
              <w:spacing w:before="40" w:after="40"/>
              <w:ind w:left="43"/>
              <w:rPr>
                <w:bCs/>
                <w:color w:val="000000" w:themeColor="text1"/>
                <w:spacing w:val="-2"/>
                <w:sz w:val="22"/>
                <w:szCs w:val="22"/>
                <w14:textFill>
                  <w14:solidFill>
                    <w14:schemeClr w14:val="tx1"/>
                  </w14:solidFill>
                </w14:textFill>
              </w:rPr>
            </w:pPr>
            <w:r>
              <w:rPr>
                <w:bCs/>
                <w:color w:val="000000" w:themeColor="text1"/>
                <w:spacing w:val="-2"/>
                <w:sz w:val="22"/>
                <w:szCs w:val="22"/>
                <w14:textFill>
                  <w14:solidFill>
                    <w14:schemeClr w14:val="tx1"/>
                  </w14:solidFill>
                </w14:textFill>
              </w:rPr>
              <w:t>Role in Contract</w:t>
            </w:r>
          </w:p>
          <w:p w14:paraId="2A78066D">
            <w:pPr>
              <w:spacing w:before="40" w:after="40"/>
              <w:ind w:left="30"/>
              <w:rPr>
                <w:bCs/>
                <w:i/>
                <w:iCs/>
                <w:color w:val="000000" w:themeColor="text1"/>
                <w:spacing w:val="2"/>
                <w:sz w:val="22"/>
                <w:szCs w:val="22"/>
                <w14:textFill>
                  <w14:solidFill>
                    <w14:schemeClr w14:val="tx1"/>
                  </w14:solidFill>
                </w14:textFill>
              </w:rPr>
            </w:pPr>
          </w:p>
        </w:tc>
        <w:tc>
          <w:tcPr>
            <w:tcW w:w="1385" w:type="dxa"/>
            <w:tcBorders>
              <w:top w:val="single" w:color="auto" w:sz="2" w:space="0"/>
              <w:left w:val="single" w:color="auto" w:sz="2" w:space="0"/>
              <w:bottom w:val="single" w:color="auto" w:sz="2" w:space="0"/>
              <w:right w:val="single" w:color="auto" w:sz="2" w:space="0"/>
            </w:tcBorders>
            <w:vAlign w:val="center"/>
          </w:tcPr>
          <w:p w14:paraId="599B3D84">
            <w:pPr>
              <w:spacing w:before="40" w:after="40"/>
              <w:ind w:right="250"/>
              <w:jc w:val="center"/>
              <w:rPr>
                <w:bCs/>
                <w:color w:val="000000" w:themeColor="text1"/>
                <w:spacing w:val="-4"/>
                <w14:textFill>
                  <w14:solidFill>
                    <w14:schemeClr w14:val="tx1"/>
                  </w14:solidFill>
                </w14:textFill>
              </w:rPr>
            </w:pPr>
            <w:r>
              <w:rPr>
                <w:bCs/>
                <w:color w:val="000000" w:themeColor="text1"/>
                <w:spacing w:val="-4"/>
                <w14:textFill>
                  <w14:solidFill>
                    <w14:schemeClr w14:val="tx1"/>
                  </w14:solidFill>
                </w14:textFill>
              </w:rPr>
              <w:t>Prime Contractor</w:t>
            </w:r>
          </w:p>
          <w:p w14:paraId="3393DA74">
            <w:pPr>
              <w:spacing w:before="40" w:after="40"/>
              <w:ind w:right="250"/>
              <w:jc w:val="center"/>
              <w:rPr>
                <w:bCs/>
                <w:color w:val="000000" w:themeColor="text1"/>
                <w:spacing w:val="-4"/>
                <w14:textFill>
                  <w14:solidFill>
                    <w14:schemeClr w14:val="tx1"/>
                  </w14:solidFill>
                </w14:textFill>
              </w:rPr>
            </w:pPr>
            <w:r>
              <w:rPr>
                <w:rFonts w:ascii="Wingdings" w:hAnsi="Wingdings" w:eastAsia="Wingdings" w:cs="Wingdings"/>
                <w:color w:val="000000" w:themeColor="text1"/>
                <w:spacing w:val="-2"/>
                <w14:textFill>
                  <w14:solidFill>
                    <w14:schemeClr w14:val="tx1"/>
                  </w14:solidFill>
                </w14:textFill>
              </w:rPr>
              <w:t></w:t>
            </w:r>
          </w:p>
        </w:tc>
        <w:tc>
          <w:tcPr>
            <w:tcW w:w="1440" w:type="dxa"/>
            <w:tcBorders>
              <w:top w:val="single" w:color="auto" w:sz="2" w:space="0"/>
              <w:left w:val="single" w:color="auto" w:sz="2" w:space="0"/>
              <w:bottom w:val="single" w:color="auto" w:sz="2" w:space="0"/>
              <w:right w:val="single" w:color="auto" w:sz="2" w:space="0"/>
            </w:tcBorders>
            <w:vAlign w:val="center"/>
          </w:tcPr>
          <w:p w14:paraId="4A306463">
            <w:pPr>
              <w:spacing w:before="40" w:after="40"/>
              <w:ind w:right="250"/>
              <w:jc w:val="center"/>
              <w:rPr>
                <w:rFonts w:ascii="MS Mincho" w:hAnsi="MS Mincho" w:eastAsia="MS Mincho" w:cs="MS Mincho"/>
                <w:color w:val="000000" w:themeColor="text1"/>
                <w:spacing w:val="-2"/>
                <w14:textFill>
                  <w14:solidFill>
                    <w14:schemeClr w14:val="tx1"/>
                  </w14:solidFill>
                </w14:textFill>
              </w:rPr>
            </w:pPr>
            <w:r>
              <w:rPr>
                <w:bCs/>
                <w:color w:val="000000" w:themeColor="text1"/>
                <w:spacing w:val="-4"/>
                <w14:textFill>
                  <w14:solidFill>
                    <w14:schemeClr w14:val="tx1"/>
                  </w14:solidFill>
                </w14:textFill>
              </w:rPr>
              <w:t xml:space="preserve">Member in </w:t>
            </w:r>
            <w:r>
              <w:rPr>
                <w:bCs/>
                <w:color w:val="000000" w:themeColor="text1"/>
                <w:spacing w:val="-4"/>
                <w14:textFill>
                  <w14:solidFill>
                    <w14:schemeClr w14:val="tx1"/>
                  </w14:solidFill>
                </w14:textFill>
              </w:rPr>
              <w:br w:type="textWrapping"/>
            </w:r>
            <w:r>
              <w:rPr>
                <w:bCs/>
                <w:color w:val="000000" w:themeColor="text1"/>
                <w:spacing w:val="-4"/>
                <w14:textFill>
                  <w14:solidFill>
                    <w14:schemeClr w14:val="tx1"/>
                  </w14:solidFill>
                </w14:textFill>
              </w:rPr>
              <w:t>JV</w:t>
            </w:r>
            <w:r>
              <w:rPr>
                <w:rFonts w:ascii="MS Mincho" w:hAnsi="MS Mincho" w:eastAsia="MS Mincho" w:cs="MS Mincho"/>
                <w:color w:val="000000" w:themeColor="text1"/>
                <w:spacing w:val="-2"/>
                <w14:textFill>
                  <w14:solidFill>
                    <w14:schemeClr w14:val="tx1"/>
                  </w14:solidFill>
                </w14:textFill>
              </w:rPr>
              <w:t xml:space="preserve"> </w:t>
            </w:r>
          </w:p>
          <w:p w14:paraId="3D881869">
            <w:pPr>
              <w:spacing w:before="40" w:after="40"/>
              <w:ind w:right="250"/>
              <w:jc w:val="center"/>
              <w:rPr>
                <w:bCs/>
                <w:color w:val="000000" w:themeColor="text1"/>
                <w:spacing w:val="-4"/>
                <w14:textFill>
                  <w14:solidFill>
                    <w14:schemeClr w14:val="tx1"/>
                  </w14:solidFill>
                </w14:textFill>
              </w:rPr>
            </w:pPr>
            <w:r>
              <w:rPr>
                <w:rFonts w:ascii="Wingdings" w:hAnsi="Wingdings" w:eastAsia="Wingdings" w:cs="Wingdings"/>
                <w:color w:val="000000" w:themeColor="text1"/>
                <w:spacing w:val="-2"/>
                <w14:textFill>
                  <w14:solidFill>
                    <w14:schemeClr w14:val="tx1"/>
                  </w14:solidFill>
                </w14:textFill>
              </w:rPr>
              <w:t></w:t>
            </w:r>
          </w:p>
        </w:tc>
        <w:tc>
          <w:tcPr>
            <w:tcW w:w="1350" w:type="dxa"/>
            <w:tcBorders>
              <w:top w:val="single" w:color="auto" w:sz="2" w:space="0"/>
              <w:left w:val="single" w:color="auto" w:sz="2" w:space="0"/>
              <w:bottom w:val="single" w:color="auto" w:sz="2" w:space="0"/>
              <w:right w:val="single" w:color="auto" w:sz="2" w:space="0"/>
            </w:tcBorders>
            <w:vAlign w:val="center"/>
          </w:tcPr>
          <w:p w14:paraId="291D43F2">
            <w:pPr>
              <w:spacing w:before="40" w:after="40"/>
              <w:jc w:val="center"/>
              <w:rPr>
                <w:bCs/>
                <w:color w:val="000000" w:themeColor="text1"/>
                <w:spacing w:val="-4"/>
                <w14:textFill>
                  <w14:solidFill>
                    <w14:schemeClr w14:val="tx1"/>
                  </w14:solidFill>
                </w14:textFill>
              </w:rPr>
            </w:pPr>
            <w:r>
              <w:rPr>
                <w:bCs/>
                <w:color w:val="000000" w:themeColor="text1"/>
                <w:spacing w:val="-4"/>
                <w14:textFill>
                  <w14:solidFill>
                    <w14:schemeClr w14:val="tx1"/>
                  </w14:solidFill>
                </w14:textFill>
              </w:rPr>
              <w:t>Management Contractor</w:t>
            </w:r>
          </w:p>
          <w:p w14:paraId="62C45F8C">
            <w:pPr>
              <w:spacing w:before="40" w:after="40"/>
              <w:jc w:val="center"/>
              <w:rPr>
                <w:bCs/>
                <w:color w:val="000000" w:themeColor="text1"/>
                <w:spacing w:val="-4"/>
                <w14:textFill>
                  <w14:solidFill>
                    <w14:schemeClr w14:val="tx1"/>
                  </w14:solidFill>
                </w14:textFill>
              </w:rPr>
            </w:pPr>
            <w:r>
              <w:rPr>
                <w:rFonts w:ascii="Wingdings" w:hAnsi="Wingdings" w:eastAsia="Wingdings" w:cs="Wingdings"/>
                <w:color w:val="000000" w:themeColor="text1"/>
                <w:spacing w:val="-2"/>
                <w14:textFill>
                  <w14:solidFill>
                    <w14:schemeClr w14:val="tx1"/>
                  </w14:solidFill>
                </w14:textFill>
              </w:rPr>
              <w:t></w:t>
            </w:r>
          </w:p>
        </w:tc>
        <w:tc>
          <w:tcPr>
            <w:tcW w:w="1344" w:type="dxa"/>
            <w:tcBorders>
              <w:top w:val="single" w:color="auto" w:sz="2" w:space="0"/>
              <w:left w:val="single" w:color="auto" w:sz="2" w:space="0"/>
              <w:bottom w:val="single" w:color="auto" w:sz="2" w:space="0"/>
              <w:right w:val="single" w:color="auto" w:sz="2" w:space="0"/>
            </w:tcBorders>
            <w:vAlign w:val="center"/>
          </w:tcPr>
          <w:p w14:paraId="22926663">
            <w:pPr>
              <w:spacing w:before="40" w:after="40"/>
              <w:jc w:val="center"/>
              <w:rPr>
                <w:bCs/>
                <w:color w:val="000000" w:themeColor="text1"/>
                <w:spacing w:val="-4"/>
                <w14:textFill>
                  <w14:solidFill>
                    <w14:schemeClr w14:val="tx1"/>
                  </w14:solidFill>
                </w14:textFill>
              </w:rPr>
            </w:pPr>
            <w:r>
              <w:rPr>
                <w:bCs/>
                <w:color w:val="000000" w:themeColor="text1"/>
                <w:spacing w:val="-4"/>
                <w14:textFill>
                  <w14:solidFill>
                    <w14:schemeClr w14:val="tx1"/>
                  </w14:solidFill>
                </w14:textFill>
              </w:rPr>
              <w:t xml:space="preserve">Subcontractor </w:t>
            </w:r>
          </w:p>
          <w:p w14:paraId="656EA659">
            <w:pPr>
              <w:spacing w:before="40" w:after="40"/>
              <w:jc w:val="center"/>
              <w:rPr>
                <w:bCs/>
                <w:color w:val="000000" w:themeColor="text1"/>
                <w:spacing w:val="-4"/>
                <w14:textFill>
                  <w14:solidFill>
                    <w14:schemeClr w14:val="tx1"/>
                  </w14:solidFill>
                </w14:textFill>
              </w:rPr>
            </w:pPr>
            <w:r>
              <w:rPr>
                <w:rFonts w:ascii="Wingdings" w:hAnsi="Wingdings" w:eastAsia="Wingdings" w:cs="Wingdings"/>
                <w:color w:val="000000" w:themeColor="text1"/>
                <w:spacing w:val="-2"/>
                <w14:textFill>
                  <w14:solidFill>
                    <w14:schemeClr w14:val="tx1"/>
                  </w14:solidFill>
                </w14:textFill>
              </w:rPr>
              <w:t></w:t>
            </w:r>
          </w:p>
        </w:tc>
      </w:tr>
      <w:tr w14:paraId="634126FF">
        <w:tblPrEx>
          <w:tblCellMar>
            <w:top w:w="0" w:type="dxa"/>
            <w:left w:w="0" w:type="dxa"/>
            <w:bottom w:w="0" w:type="dxa"/>
            <w:right w:w="0" w:type="dxa"/>
          </w:tblCellMar>
        </w:tblPrEx>
        <w:trPr>
          <w:trHeight w:val="877" w:hRule="atLeast"/>
        </w:trPr>
        <w:tc>
          <w:tcPr>
            <w:tcW w:w="3835" w:type="dxa"/>
            <w:tcBorders>
              <w:top w:val="single" w:color="auto" w:sz="2" w:space="0"/>
              <w:left w:val="single" w:color="auto" w:sz="2" w:space="0"/>
              <w:bottom w:val="single" w:color="auto" w:sz="2" w:space="0"/>
              <w:right w:val="single" w:color="auto" w:sz="2" w:space="0"/>
            </w:tcBorders>
          </w:tcPr>
          <w:p w14:paraId="0A8331D8">
            <w:pPr>
              <w:spacing w:before="40" w:after="40"/>
              <w:ind w:left="48"/>
              <w:rPr>
                <w:bCs/>
                <w:color w:val="000000" w:themeColor="text1"/>
                <w:spacing w:val="-11"/>
                <w:sz w:val="22"/>
                <w:szCs w:val="22"/>
                <w14:textFill>
                  <w14:solidFill>
                    <w14:schemeClr w14:val="tx1"/>
                  </w14:solidFill>
                </w14:textFill>
              </w:rPr>
            </w:pPr>
            <w:r>
              <w:rPr>
                <w:bCs/>
                <w:color w:val="000000" w:themeColor="text1"/>
                <w:spacing w:val="-11"/>
                <w:sz w:val="22"/>
                <w:szCs w:val="22"/>
                <w14:textFill>
                  <w14:solidFill>
                    <w14:schemeClr w14:val="tx1"/>
                  </w14:solidFill>
                </w14:textFill>
              </w:rPr>
              <w:t>Total Contract Amount</w:t>
            </w:r>
          </w:p>
        </w:tc>
        <w:tc>
          <w:tcPr>
            <w:tcW w:w="2825" w:type="dxa"/>
            <w:gridSpan w:val="2"/>
            <w:tcBorders>
              <w:top w:val="single" w:color="auto" w:sz="2" w:space="0"/>
              <w:left w:val="single" w:color="auto" w:sz="2" w:space="0"/>
              <w:bottom w:val="single" w:color="auto" w:sz="2" w:space="0"/>
              <w:right w:val="single" w:color="auto" w:sz="2" w:space="0"/>
            </w:tcBorders>
            <w:vAlign w:val="center"/>
          </w:tcPr>
          <w:p w14:paraId="661BD128">
            <w:pPr>
              <w:spacing w:before="40" w:after="40"/>
              <w:ind w:left="48"/>
              <w:rPr>
                <w:bCs/>
                <w:i/>
                <w:iCs/>
                <w:color w:val="000000" w:themeColor="text1"/>
                <w:spacing w:val="2"/>
                <w:sz w:val="22"/>
                <w:szCs w:val="22"/>
                <w14:textFill>
                  <w14:solidFill>
                    <w14:schemeClr w14:val="tx1"/>
                  </w14:solidFill>
                </w14:textFill>
              </w:rPr>
            </w:pPr>
          </w:p>
        </w:tc>
        <w:tc>
          <w:tcPr>
            <w:tcW w:w="2694" w:type="dxa"/>
            <w:gridSpan w:val="2"/>
            <w:tcBorders>
              <w:top w:val="single" w:color="auto" w:sz="2" w:space="0"/>
              <w:left w:val="single" w:color="auto" w:sz="2" w:space="0"/>
              <w:bottom w:val="single" w:color="auto" w:sz="2" w:space="0"/>
              <w:right w:val="single" w:color="auto" w:sz="2" w:space="0"/>
            </w:tcBorders>
            <w:vAlign w:val="center"/>
          </w:tcPr>
          <w:p w14:paraId="5433D362">
            <w:pPr>
              <w:spacing w:before="40" w:after="40"/>
              <w:ind w:left="31" w:right="67"/>
              <w:rPr>
                <w:bCs/>
                <w:i/>
                <w:iCs/>
                <w:color w:val="000000" w:themeColor="text1"/>
                <w:spacing w:val="2"/>
                <w:sz w:val="22"/>
                <w:szCs w:val="22"/>
                <w14:textFill>
                  <w14:solidFill>
                    <w14:schemeClr w14:val="tx1"/>
                  </w14:solidFill>
                </w14:textFill>
              </w:rPr>
            </w:pPr>
            <w:r>
              <w:rPr>
                <w:bCs/>
                <w:color w:val="000000" w:themeColor="text1"/>
                <w:spacing w:val="-2"/>
                <w:sz w:val="22"/>
                <w:szCs w:val="22"/>
                <w14:textFill>
                  <w14:solidFill>
                    <w14:schemeClr w14:val="tx1"/>
                  </w14:solidFill>
                </w14:textFill>
              </w:rPr>
              <w:t xml:space="preserve">US$ </w:t>
            </w:r>
          </w:p>
        </w:tc>
      </w:tr>
      <w:tr w14:paraId="4DDEFC42">
        <w:tblPrEx>
          <w:tblCellMar>
            <w:top w:w="0" w:type="dxa"/>
            <w:left w:w="0" w:type="dxa"/>
            <w:bottom w:w="0" w:type="dxa"/>
            <w:right w:w="0" w:type="dxa"/>
          </w:tblCellMar>
        </w:tblPrEx>
        <w:trPr>
          <w:trHeight w:val="877" w:hRule="atLeast"/>
        </w:trPr>
        <w:tc>
          <w:tcPr>
            <w:tcW w:w="3835" w:type="dxa"/>
            <w:tcBorders>
              <w:top w:val="single" w:color="auto" w:sz="2" w:space="0"/>
              <w:left w:val="single" w:color="auto" w:sz="2" w:space="0"/>
              <w:bottom w:val="single" w:color="auto" w:sz="2" w:space="0"/>
              <w:right w:val="single" w:color="auto" w:sz="2" w:space="0"/>
            </w:tcBorders>
          </w:tcPr>
          <w:p w14:paraId="55820104">
            <w:pPr>
              <w:spacing w:before="40" w:after="40"/>
              <w:ind w:left="48"/>
              <w:rPr>
                <w:bCs/>
                <w:color w:val="000000" w:themeColor="text1"/>
                <w:spacing w:val="-11"/>
                <w:sz w:val="22"/>
                <w:szCs w:val="22"/>
                <w14:textFill>
                  <w14:solidFill>
                    <w14:schemeClr w14:val="tx1"/>
                  </w14:solidFill>
                </w14:textFill>
              </w:rPr>
            </w:pPr>
            <w:r>
              <w:rPr>
                <w:bCs/>
                <w:color w:val="000000" w:themeColor="text1"/>
                <w:spacing w:val="12"/>
                <w:sz w:val="22"/>
                <w:szCs w:val="22"/>
                <w14:textFill>
                  <w14:solidFill>
                    <w14:schemeClr w14:val="tx1"/>
                  </w14:solidFill>
                </w14:textFill>
              </w:rPr>
              <w:t>Details of relevant experience</w:t>
            </w:r>
          </w:p>
        </w:tc>
        <w:tc>
          <w:tcPr>
            <w:tcW w:w="5519" w:type="dxa"/>
            <w:gridSpan w:val="4"/>
            <w:tcBorders>
              <w:top w:val="single" w:color="auto" w:sz="2" w:space="0"/>
              <w:left w:val="single" w:color="auto" w:sz="2" w:space="0"/>
              <w:bottom w:val="single" w:color="auto" w:sz="2" w:space="0"/>
              <w:right w:val="single" w:color="auto" w:sz="2" w:space="0"/>
            </w:tcBorders>
            <w:vAlign w:val="center"/>
          </w:tcPr>
          <w:p w14:paraId="776DE45F">
            <w:pPr>
              <w:spacing w:before="40" w:after="40"/>
              <w:ind w:left="31" w:right="67"/>
              <w:rPr>
                <w:bCs/>
                <w:color w:val="000000" w:themeColor="text1"/>
                <w:spacing w:val="-2"/>
                <w:sz w:val="22"/>
                <w:szCs w:val="22"/>
                <w14:textFill>
                  <w14:solidFill>
                    <w14:schemeClr w14:val="tx1"/>
                  </w14:solidFill>
                </w14:textFill>
              </w:rPr>
            </w:pPr>
          </w:p>
        </w:tc>
      </w:tr>
    </w:tbl>
    <w:p w14:paraId="7E80519B">
      <w:pPr>
        <w:pStyle w:val="176"/>
        <w:numPr>
          <w:ilvl w:val="3"/>
          <w:numId w:val="57"/>
        </w:numPr>
        <w:spacing w:before="120" w:after="120"/>
        <w:ind w:left="360"/>
        <w:contextualSpacing w:val="0"/>
        <w:jc w:val="left"/>
        <w:rPr>
          <w:bCs/>
          <w:i/>
          <w:iCs/>
          <w:color w:val="000000" w:themeColor="text1"/>
          <w:spacing w:val="-2"/>
          <w14:textFill>
            <w14:solidFill>
              <w14:schemeClr w14:val="tx1"/>
            </w14:solidFill>
          </w14:textFill>
        </w:rPr>
      </w:pPr>
      <w:r>
        <w:rPr>
          <w:bCs/>
          <w:color w:val="000000" w:themeColor="text1"/>
          <w:spacing w:val="-2"/>
          <w14:textFill>
            <w14:solidFill>
              <w14:schemeClr w14:val="tx1"/>
            </w14:solidFill>
          </w14:textFill>
        </w:rPr>
        <w:t xml:space="preserve">Key </w:t>
      </w:r>
      <w:r>
        <w:rPr>
          <w:bCs/>
          <w:color w:val="000000" w:themeColor="text1"/>
          <w:spacing w:val="4"/>
          <w14:textFill>
            <w14:solidFill>
              <w14:schemeClr w14:val="tx1"/>
            </w14:solidFill>
          </w14:textFill>
        </w:rPr>
        <w:t xml:space="preserve">Requirement no 2 in accordance with 4.2 (c): </w:t>
      </w:r>
      <w:r>
        <w:rPr>
          <w:bCs/>
          <w:i/>
          <w:iCs/>
          <w:color w:val="000000" w:themeColor="text1"/>
          <w:spacing w:val="2"/>
          <w14:textFill>
            <w14:solidFill>
              <w14:schemeClr w14:val="tx1"/>
            </w14:solidFill>
          </w14:textFill>
        </w:rPr>
        <w:t>______________________</w:t>
      </w:r>
    </w:p>
    <w:p w14:paraId="1BC79B26">
      <w:pPr>
        <w:pStyle w:val="176"/>
        <w:numPr>
          <w:ilvl w:val="3"/>
          <w:numId w:val="57"/>
        </w:numPr>
        <w:spacing w:before="120" w:after="120"/>
        <w:ind w:left="360"/>
        <w:contextualSpacing w:val="0"/>
        <w:jc w:val="left"/>
        <w:rPr>
          <w:bCs/>
          <w:i/>
          <w:iCs/>
          <w:color w:val="000000" w:themeColor="text1"/>
          <w:spacing w:val="-2"/>
          <w14:textFill>
            <w14:solidFill>
              <w14:schemeClr w14:val="tx1"/>
            </w14:solidFill>
          </w14:textFill>
        </w:rPr>
      </w:pPr>
      <w:r>
        <w:rPr>
          <w:bCs/>
          <w:color w:val="000000" w:themeColor="text1"/>
          <w:spacing w:val="-2"/>
          <w14:textFill>
            <w14:solidFill>
              <w14:schemeClr w14:val="tx1"/>
            </w14:solidFill>
          </w14:textFill>
        </w:rPr>
        <w:t xml:space="preserve">Key </w:t>
      </w:r>
      <w:r>
        <w:rPr>
          <w:bCs/>
          <w:color w:val="000000" w:themeColor="text1"/>
          <w:spacing w:val="4"/>
          <w14:textFill>
            <w14:solidFill>
              <w14:schemeClr w14:val="tx1"/>
            </w14:solidFill>
          </w14:textFill>
        </w:rPr>
        <w:t xml:space="preserve">Requirement no 3 in accordance with 4.2 (c): </w:t>
      </w:r>
      <w:r>
        <w:rPr>
          <w:bCs/>
          <w:i/>
          <w:iCs/>
          <w:color w:val="000000" w:themeColor="text1"/>
          <w:spacing w:val="2"/>
          <w14:textFill>
            <w14:solidFill>
              <w14:schemeClr w14:val="tx1"/>
            </w14:solidFill>
          </w14:textFill>
        </w:rPr>
        <w:t>______________________</w:t>
      </w:r>
    </w:p>
    <w:p w14:paraId="5397D3C0">
      <w:pPr>
        <w:spacing w:after="468" w:line="576" w:lineRule="exact"/>
        <w:jc w:val="center"/>
        <w:rPr>
          <w:b/>
          <w:bCs/>
          <w:spacing w:val="6"/>
          <w:sz w:val="46"/>
          <w:szCs w:val="46"/>
        </w:rPr>
      </w:pPr>
    </w:p>
    <w:p w14:paraId="6AA80EBA">
      <w:pPr>
        <w:spacing w:after="468" w:line="576" w:lineRule="exact"/>
        <w:jc w:val="center"/>
        <w:rPr>
          <w:b/>
          <w:bCs/>
          <w:spacing w:val="6"/>
          <w:sz w:val="46"/>
          <w:szCs w:val="46"/>
        </w:rPr>
        <w:sectPr>
          <w:headerReference r:id="rId24" w:type="default"/>
          <w:headerReference r:id="rId25" w:type="even"/>
          <w:type w:val="evenPage"/>
          <w:pgSz w:w="12240" w:h="15840"/>
          <w:pgMar w:top="1440" w:right="1440" w:bottom="1440" w:left="1440" w:header="720" w:footer="720" w:gutter="0"/>
          <w:pgNumType w:start="52"/>
          <w:cols w:space="720" w:num="1"/>
          <w:titlePg/>
          <w:docGrid w:linePitch="326" w:charSpace="0"/>
        </w:sectPr>
      </w:pPr>
    </w:p>
    <w:p w14:paraId="5D87962B">
      <w:pPr>
        <w:pStyle w:val="54"/>
        <w:ind w:left="180" w:right="288"/>
        <w:rPr>
          <w:rFonts w:cs="Arial"/>
        </w:rPr>
      </w:pPr>
      <w:bookmarkStart w:id="493" w:name="_Toc178543291"/>
      <w:r>
        <w:rPr>
          <w:rFonts w:cs="Arial"/>
        </w:rPr>
        <w:t xml:space="preserve">Section V - </w:t>
      </w:r>
      <w:r>
        <w:t>Eligible Countries</w:t>
      </w:r>
      <w:bookmarkEnd w:id="493"/>
    </w:p>
    <w:p w14:paraId="3598E376">
      <w:pPr>
        <w:pStyle w:val="19"/>
        <w:tabs>
          <w:tab w:val="clear" w:pos="720"/>
        </w:tabs>
        <w:ind w:left="0" w:firstLine="0"/>
        <w:jc w:val="both"/>
        <w:rPr>
          <w:b/>
          <w:bCs/>
          <w:sz w:val="20"/>
        </w:rPr>
      </w:pPr>
    </w:p>
    <w:p w14:paraId="455AF8AA">
      <w:pPr>
        <w:pStyle w:val="19"/>
        <w:tabs>
          <w:tab w:val="clear" w:pos="720"/>
        </w:tabs>
        <w:ind w:left="0" w:firstLine="0"/>
        <w:jc w:val="both"/>
        <w:rPr>
          <w:b/>
          <w:bCs/>
          <w:sz w:val="20"/>
        </w:rPr>
      </w:pPr>
    </w:p>
    <w:p w14:paraId="4E026095">
      <w:pPr>
        <w:jc w:val="center"/>
        <w:rPr>
          <w:b/>
        </w:rPr>
      </w:pPr>
      <w:bookmarkStart w:id="494" w:name="_Toc78357427"/>
      <w:r>
        <w:rPr>
          <w:b/>
        </w:rPr>
        <w:t>Eligibility for the Provision of Goods, Works and Services in Bank-Financed Procurement</w:t>
      </w:r>
    </w:p>
    <w:p w14:paraId="4C401144">
      <w:pPr>
        <w:jc w:val="center"/>
      </w:pPr>
    </w:p>
    <w:p w14:paraId="50E32F13">
      <w:pPr>
        <w:pStyle w:val="19"/>
        <w:tabs>
          <w:tab w:val="clear" w:pos="720"/>
        </w:tabs>
        <w:ind w:left="0" w:firstLine="0"/>
        <w:jc w:val="both"/>
        <w:rPr>
          <w:rFonts w:ascii="Times New Roman" w:hAnsi="Times New Roman"/>
          <w:sz w:val="24"/>
          <w:szCs w:val="24"/>
        </w:rPr>
      </w:pPr>
    </w:p>
    <w:p w14:paraId="3691CFC8">
      <w:r>
        <w:tab/>
      </w:r>
    </w:p>
    <w:p w14:paraId="12DD0A5E">
      <w:pPr>
        <w:pStyle w:val="19"/>
        <w:tabs>
          <w:tab w:val="clear" w:pos="720"/>
        </w:tabs>
        <w:ind w:left="0" w:firstLine="0"/>
        <w:jc w:val="both"/>
        <w:rPr>
          <w:rFonts w:ascii="Times New Roman" w:hAnsi="Times New Roman"/>
          <w:sz w:val="24"/>
          <w:szCs w:val="24"/>
        </w:rPr>
      </w:pPr>
      <w:r>
        <w:rPr>
          <w:rFonts w:ascii="Times New Roman" w:hAnsi="Times New Roman"/>
          <w:sz w:val="24"/>
          <w:szCs w:val="24"/>
        </w:rPr>
        <w:t>1. In reference to ITB 4.7, and 5.1, for the information of the Bidders, at the present time firms, goods and services from the following countries are excluded from this bidding process:</w:t>
      </w:r>
    </w:p>
    <w:p w14:paraId="44E38267">
      <w:pPr>
        <w:pStyle w:val="18"/>
        <w:ind w:left="1440" w:hanging="720"/>
        <w:rPr>
          <w:rFonts w:ascii="Times New Roman" w:hAnsi="Times New Roman" w:cs="Times New Roman"/>
          <w:sz w:val="24"/>
        </w:rPr>
      </w:pPr>
    </w:p>
    <w:p w14:paraId="670E837B">
      <w:pPr>
        <w:tabs>
          <w:tab w:val="left" w:pos="1440"/>
        </w:tabs>
        <w:spacing w:line="468" w:lineRule="atLeast"/>
        <w:ind w:left="3600" w:hanging="2880"/>
        <w:rPr>
          <w:spacing w:val="-4"/>
        </w:rPr>
      </w:pPr>
      <w:r>
        <w:rPr>
          <w:spacing w:val="-2"/>
        </w:rPr>
        <w:t>Under ITB 4.7 (a) and 5.1</w:t>
      </w:r>
      <w:r>
        <w:rPr>
          <w:spacing w:val="-2"/>
        </w:rPr>
        <w:tab/>
      </w:r>
      <w:r>
        <w:rPr>
          <w:spacing w:val="-2"/>
        </w:rPr>
        <w:t>None</w:t>
      </w:r>
      <w:r>
        <w:rPr>
          <w:i/>
          <w:iCs/>
          <w:spacing w:val="-4"/>
        </w:rPr>
        <w:t xml:space="preserve">  </w:t>
      </w:r>
    </w:p>
    <w:p w14:paraId="32D6EC43">
      <w:pPr>
        <w:tabs>
          <w:tab w:val="left" w:pos="1440"/>
        </w:tabs>
        <w:spacing w:line="468" w:lineRule="atLeast"/>
        <w:ind w:left="3600" w:hanging="2880"/>
        <w:rPr>
          <w:i/>
          <w:iCs/>
          <w:spacing w:val="-4"/>
        </w:rPr>
      </w:pPr>
      <w:r>
        <w:rPr>
          <w:spacing w:val="-7"/>
        </w:rPr>
        <w:t>Under ITB 4.7 (b) and 5.1</w:t>
      </w:r>
      <w:r>
        <w:rPr>
          <w:spacing w:val="-7"/>
        </w:rPr>
        <w:tab/>
      </w:r>
      <w:r>
        <w:rPr>
          <w:spacing w:val="-7"/>
        </w:rPr>
        <w:t>None</w:t>
      </w:r>
      <w:r>
        <w:rPr>
          <w:i/>
          <w:iCs/>
          <w:spacing w:val="-4"/>
        </w:rPr>
        <w:t xml:space="preserve">  </w:t>
      </w:r>
    </w:p>
    <w:p w14:paraId="7A32935D">
      <w:pPr>
        <w:pStyle w:val="19"/>
        <w:tabs>
          <w:tab w:val="clear" w:pos="8741"/>
        </w:tabs>
        <w:ind w:left="0" w:firstLine="0"/>
        <w:jc w:val="both"/>
        <w:rPr>
          <w:rFonts w:ascii="Times New Roman" w:hAnsi="Times New Roman"/>
          <w:b/>
          <w:i/>
          <w:sz w:val="24"/>
          <w:szCs w:val="24"/>
        </w:rPr>
      </w:pPr>
    </w:p>
    <w:p w14:paraId="014C4C80"/>
    <w:bookmarkEnd w:id="494"/>
    <w:p w14:paraId="671F8BC3"/>
    <w:p w14:paraId="419C15A4">
      <w:pPr>
        <w:sectPr>
          <w:headerReference r:id="rId28" w:type="first"/>
          <w:headerReference r:id="rId26" w:type="default"/>
          <w:footerReference r:id="rId29" w:type="default"/>
          <w:headerReference r:id="rId27" w:type="even"/>
          <w:footerReference r:id="rId30" w:type="even"/>
          <w:type w:val="oddPage"/>
          <w:pgSz w:w="12240" w:h="15840"/>
          <w:pgMar w:top="1440" w:right="1440" w:bottom="1440" w:left="1800" w:header="720" w:footer="720" w:gutter="0"/>
          <w:paperSrc w:first="15" w:other="15"/>
          <w:cols w:space="720" w:num="1"/>
          <w:titlePg/>
        </w:sectPr>
      </w:pPr>
    </w:p>
    <w:p w14:paraId="2FB22F83">
      <w:pPr>
        <w:pStyle w:val="178"/>
        <w:rPr>
          <w:sz w:val="36"/>
          <w:szCs w:val="36"/>
        </w:rPr>
      </w:pPr>
      <w:r>
        <w:rPr>
          <w:sz w:val="36"/>
          <w:szCs w:val="36"/>
        </w:rPr>
        <w:t>Section VI. Bank Policy - Corrupt and Fraudulent Practices</w:t>
      </w:r>
    </w:p>
    <w:p w14:paraId="61D57301">
      <w:pPr>
        <w:adjustRightInd w:val="0"/>
        <w:spacing w:after="120"/>
        <w:jc w:val="center"/>
      </w:pPr>
      <w:r>
        <w:t>(Section VI shall not be modified)</w:t>
      </w:r>
    </w:p>
    <w:p w14:paraId="54A9D2F7">
      <w:pPr>
        <w:adjustRightInd w:val="0"/>
        <w:spacing w:after="120"/>
        <w:rPr>
          <w:b/>
        </w:rPr>
      </w:pPr>
      <w:r>
        <w:rPr>
          <w:b/>
        </w:rPr>
        <w:t>Guidelines for Procurement of Goods, Works, and Non-Consulting Services under IBRD Loans and IDA Credits &amp; Grants by World Bank Borrowers, dated January 2011:</w:t>
      </w:r>
    </w:p>
    <w:p w14:paraId="120F3343">
      <w:pPr>
        <w:adjustRightInd w:val="0"/>
        <w:spacing w:after="120"/>
        <w:ind w:left="540" w:hanging="540"/>
      </w:pPr>
      <w:r>
        <w:t>“</w:t>
      </w:r>
      <w:r>
        <w:rPr>
          <w:b/>
        </w:rPr>
        <w:t>Fraud and Corruption:</w:t>
      </w:r>
    </w:p>
    <w:p w14:paraId="6C2E4989">
      <w:pPr>
        <w:pStyle w:val="179"/>
        <w:spacing w:after="160"/>
        <w:ind w:left="576" w:hanging="576"/>
        <w:jc w:val="both"/>
        <w:rPr>
          <w:sz w:val="23"/>
          <w:szCs w:val="23"/>
        </w:rPr>
      </w:pPr>
      <w:r>
        <w:rPr>
          <w:sz w:val="23"/>
          <w:szCs w:val="23"/>
        </w:rPr>
        <w:t>1.16</w:t>
      </w:r>
      <w:r>
        <w:rPr>
          <w:sz w:val="23"/>
          <w:szCs w:val="23"/>
        </w:rPr>
        <w:tab/>
      </w:r>
      <w:r>
        <w:rPr>
          <w:sz w:val="23"/>
          <w:szCs w:val="23"/>
        </w:rPr>
        <w:t>It is the Bank’s policy to require that Borrowers (including beneficiaries of Bank loans), bidders, suppliers, contractors and their agents (whether declared or not), sub-contractors, sub-consultants, service providers or suppliers, and any personnel thereof, observe the highest standard of ethics during the procurement and execution of Bank-financed contracts.</w:t>
      </w:r>
      <w:r>
        <w:rPr>
          <w:rStyle w:val="28"/>
          <w:sz w:val="23"/>
          <w:szCs w:val="23"/>
        </w:rPr>
        <w:footnoteReference w:id="19"/>
      </w:r>
      <w:r>
        <w:rPr>
          <w:sz w:val="23"/>
          <w:szCs w:val="23"/>
        </w:rPr>
        <w:t xml:space="preserve"> In pursuance of this policy, the Bank: </w:t>
      </w:r>
    </w:p>
    <w:p w14:paraId="46C7EF73">
      <w:pPr>
        <w:pStyle w:val="179"/>
        <w:spacing w:after="160"/>
        <w:ind w:left="1152" w:hanging="576"/>
        <w:jc w:val="both"/>
        <w:rPr>
          <w:sz w:val="23"/>
          <w:szCs w:val="23"/>
        </w:rPr>
      </w:pPr>
      <w:r>
        <w:rPr>
          <w:sz w:val="23"/>
          <w:szCs w:val="23"/>
        </w:rPr>
        <w:t>(a)</w:t>
      </w:r>
      <w:r>
        <w:rPr>
          <w:sz w:val="23"/>
          <w:szCs w:val="23"/>
        </w:rPr>
        <w:tab/>
      </w:r>
      <w:r>
        <w:rPr>
          <w:sz w:val="23"/>
          <w:szCs w:val="23"/>
        </w:rPr>
        <w:t xml:space="preserve">defines, for the purposes of this provision, the terms set forth below as follows: </w:t>
      </w:r>
    </w:p>
    <w:p w14:paraId="7F39F128">
      <w:pPr>
        <w:adjustRightInd w:val="0"/>
        <w:spacing w:after="160"/>
        <w:ind w:left="1728" w:hanging="576"/>
        <w:jc w:val="both"/>
      </w:pPr>
      <w:r>
        <w:t xml:space="preserve">(i) </w:t>
      </w:r>
      <w:r>
        <w:rPr>
          <w:sz w:val="23"/>
          <w:szCs w:val="23"/>
        </w:rPr>
        <w:t>“corrupt practice” is the offering, giving, receiving, or soliciting, directly or indirectly, of anything of value to influence improperly the actions of another party;</w:t>
      </w:r>
      <w:r>
        <w:rPr>
          <w:rStyle w:val="28"/>
        </w:rPr>
        <w:footnoteReference w:id="20"/>
      </w:r>
      <w:r>
        <w:t>;</w:t>
      </w:r>
    </w:p>
    <w:p w14:paraId="6CE57853">
      <w:pPr>
        <w:adjustRightInd w:val="0"/>
        <w:spacing w:after="160"/>
        <w:ind w:left="1728" w:hanging="576"/>
        <w:jc w:val="both"/>
      </w:pPr>
      <w:r>
        <w:t xml:space="preserve">(ii) </w:t>
      </w:r>
      <w:r>
        <w:tab/>
      </w:r>
      <w:r>
        <w:rPr>
          <w:sz w:val="23"/>
          <w:szCs w:val="23"/>
        </w:rPr>
        <w:t>“fraudulent practice” is any act or omission, including a misrepresentation, that knowingly or recklessly misleads, or attempts to mislead, a party to obtain a financial or other benefit or to avoid an obligation;</w:t>
      </w:r>
      <w:r>
        <w:rPr>
          <w:rStyle w:val="28"/>
        </w:rPr>
        <w:footnoteReference w:id="21"/>
      </w:r>
    </w:p>
    <w:p w14:paraId="3A45FE77">
      <w:pPr>
        <w:adjustRightInd w:val="0"/>
        <w:spacing w:after="160"/>
        <w:ind w:left="1728" w:hanging="576"/>
        <w:jc w:val="both"/>
      </w:pPr>
      <w:r>
        <w:t>(iii)</w:t>
      </w:r>
      <w:r>
        <w:tab/>
      </w:r>
      <w:r>
        <w:rPr>
          <w:sz w:val="23"/>
          <w:szCs w:val="23"/>
        </w:rPr>
        <w:t>“collusive practice” is an arrangement between two or more parties designed to achieve an improper purpose, including to influence improperly the actions of another party;</w:t>
      </w:r>
      <w:r>
        <w:rPr>
          <w:rStyle w:val="28"/>
          <w:sz w:val="23"/>
          <w:szCs w:val="23"/>
        </w:rPr>
        <w:footnoteReference w:id="22"/>
      </w:r>
    </w:p>
    <w:p w14:paraId="2A3FEDE1">
      <w:pPr>
        <w:adjustRightInd w:val="0"/>
        <w:spacing w:after="160"/>
        <w:ind w:left="1728" w:hanging="576"/>
        <w:jc w:val="both"/>
      </w:pPr>
      <w:r>
        <w:t>(iv)</w:t>
      </w:r>
      <w:r>
        <w:tab/>
      </w:r>
      <w:r>
        <w:t>“</w:t>
      </w:r>
      <w:r>
        <w:rPr>
          <w:sz w:val="23"/>
          <w:szCs w:val="23"/>
        </w:rPr>
        <w:t>coercive</w:t>
      </w:r>
      <w:r>
        <w:t xml:space="preserve"> practice” is impairing or harming, or threatening to impair or harm, directly or indirectly, any party or the property of the party to influence improperly the actions of a party;</w:t>
      </w:r>
      <w:r>
        <w:rPr>
          <w:rStyle w:val="28"/>
        </w:rPr>
        <w:footnoteReference w:id="23"/>
      </w:r>
    </w:p>
    <w:p w14:paraId="719591A0">
      <w:pPr>
        <w:adjustRightInd w:val="0"/>
        <w:spacing w:after="160"/>
        <w:ind w:left="1728" w:hanging="576"/>
        <w:jc w:val="both"/>
        <w:rPr>
          <w:color w:val="000000"/>
        </w:rPr>
      </w:pPr>
      <w:r>
        <w:rPr>
          <w:bCs/>
          <w:color w:val="000000"/>
        </w:rPr>
        <w:t>(v)</w:t>
      </w:r>
      <w:r>
        <w:rPr>
          <w:bCs/>
          <w:color w:val="000000"/>
        </w:rPr>
        <w:tab/>
      </w:r>
      <w:r>
        <w:rPr>
          <w:bCs/>
          <w:color w:val="000000"/>
        </w:rPr>
        <w:t>“</w:t>
      </w:r>
      <w:r>
        <w:rPr>
          <w:sz w:val="23"/>
          <w:szCs w:val="23"/>
        </w:rPr>
        <w:t>obstructive</w:t>
      </w:r>
      <w:r>
        <w:rPr>
          <w:bCs/>
          <w:color w:val="000000"/>
        </w:rPr>
        <w:t xml:space="preserve"> practice” </w:t>
      </w:r>
      <w:r>
        <w:rPr>
          <w:color w:val="000000"/>
        </w:rPr>
        <w:t>is</w:t>
      </w:r>
    </w:p>
    <w:p w14:paraId="12008C82">
      <w:pPr>
        <w:adjustRightInd w:val="0"/>
        <w:spacing w:after="160"/>
        <w:ind w:left="2304" w:hanging="576"/>
        <w:jc w:val="both"/>
      </w:pPr>
      <w:r>
        <w:rPr>
          <w:bCs/>
          <w:color w:val="000000"/>
        </w:rPr>
        <w:t>(aa)</w:t>
      </w:r>
      <w:r>
        <w:tab/>
      </w:r>
      <w:r>
        <w:rPr>
          <w:color w:val="000000"/>
        </w:rPr>
        <w:t>deliberately destroying, falsifying, altering, or concealing of evidence material to the investigation or making false statements to investigators in order to materially impede a Bank investigation into allegations of a corrupt, fraudulent, coercive or collusive practice; and/or threatening, harassing or intimidating any party to prevent it from disclosing its knowledge of matters relevant to the investigation or from pursuing the investigation, or</w:t>
      </w:r>
    </w:p>
    <w:p w14:paraId="3A1B0190">
      <w:pPr>
        <w:adjustRightInd w:val="0"/>
        <w:spacing w:after="160"/>
        <w:ind w:left="2304" w:hanging="576"/>
        <w:jc w:val="both"/>
      </w:pPr>
      <w:r>
        <w:rPr>
          <w:bCs/>
          <w:color w:val="000000"/>
        </w:rPr>
        <w:t>(bb)</w:t>
      </w:r>
      <w:r>
        <w:rPr>
          <w:bCs/>
          <w:color w:val="000000"/>
        </w:rPr>
        <w:tab/>
      </w:r>
      <w:r>
        <w:rPr>
          <w:bCs/>
          <w:color w:val="000000"/>
        </w:rPr>
        <w:t>acts intended to materially impede the exercise of the Bank’s inspection and audit rights provided for under paragraph 1.16(e) below.</w:t>
      </w:r>
    </w:p>
    <w:p w14:paraId="3917BCD7">
      <w:pPr>
        <w:autoSpaceDE w:val="0"/>
        <w:autoSpaceDN w:val="0"/>
        <w:adjustRightInd w:val="0"/>
        <w:spacing w:after="160"/>
        <w:ind w:left="1152" w:hanging="576"/>
        <w:jc w:val="both"/>
      </w:pPr>
      <w:r>
        <w:t>(b)</w:t>
      </w:r>
      <w:r>
        <w:tab/>
      </w:r>
      <w:r>
        <w:t>will reject a proposal for award if it determines that the bidder recommended for award, or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5EB4618A">
      <w:pPr>
        <w:autoSpaceDE w:val="0"/>
        <w:autoSpaceDN w:val="0"/>
        <w:adjustRightInd w:val="0"/>
        <w:spacing w:after="160"/>
        <w:ind w:left="1152" w:hanging="576"/>
        <w:jc w:val="both"/>
      </w:pPr>
      <w:r>
        <w:t>(c)</w:t>
      </w:r>
      <w:r>
        <w:tab/>
      </w:r>
      <w:r>
        <w:t>will declare misprocurement and cancel the portion of the loan allocated to a contract if it determines at any time that representatives of the Borrower or of a recipient of any part of the proceeds of the loan engaged in corrupt, fraudulent, collusive, coercive, or obstructive practices during the procurement or the implementation of the contract in question, without the Borrower having taken timely and appropriate action satisfactory to the Bank to address such practices when they occur, including by failing to inform the Bank in a timely manner at the time they knew of the practices;</w:t>
      </w:r>
    </w:p>
    <w:p w14:paraId="490ED861">
      <w:pPr>
        <w:autoSpaceDE w:val="0"/>
        <w:autoSpaceDN w:val="0"/>
        <w:adjustRightInd w:val="0"/>
        <w:spacing w:after="160"/>
        <w:ind w:left="1152" w:hanging="576"/>
        <w:jc w:val="both"/>
      </w:pPr>
      <w:r>
        <w:t>(d)</w:t>
      </w:r>
      <w:r>
        <w:tab/>
      </w:r>
      <w:r>
        <w:t>will sanction a firm or individual, at any time, in accordance with the prevailing Bank’s sanctions procedures,</w:t>
      </w:r>
      <w:r>
        <w:rPr>
          <w:rStyle w:val="28"/>
        </w:rPr>
        <w:footnoteReference w:id="24"/>
      </w:r>
      <w:r>
        <w:t xml:space="preserve"> including by publicly declaring such firm or individual ineligible, either indefinitely or for a stated period of time: (i) to be awarded a Bank-financed contract; and (ii) to be a nominated</w:t>
      </w:r>
      <w:r>
        <w:rPr>
          <w:rStyle w:val="28"/>
        </w:rPr>
        <w:footnoteReference w:id="25"/>
      </w:r>
      <w:r>
        <w:t xml:space="preserve"> sub-contractor, consultant, supplier, or service provider of an otherwise eligible firm being awarded a Bank-financed contract;</w:t>
      </w:r>
    </w:p>
    <w:p w14:paraId="598FD4A2">
      <w:pPr>
        <w:autoSpaceDE w:val="0"/>
        <w:autoSpaceDN w:val="0"/>
        <w:adjustRightInd w:val="0"/>
        <w:spacing w:after="160"/>
        <w:ind w:left="1152" w:hanging="576"/>
        <w:jc w:val="both"/>
      </w:pPr>
      <w:r>
        <w:t>(e)</w:t>
      </w:r>
      <w:r>
        <w:tab/>
      </w:r>
      <w:r>
        <w:t>will require that a clause be included in bidding documents and in contracts financed by a Bank loan, requiring bidders, suppliers and contractors, and their sub-contractors, agents, personnel, consultants, service providers, or suppliers, to permit the Bank to inspect all accounts, records, and other documents relating to the submission of bids and contract performance, and to have them audited by auditors appointed by the Bank.”</w:t>
      </w:r>
    </w:p>
    <w:p w14:paraId="2D53570A">
      <w:pPr>
        <w:sectPr>
          <w:headerReference r:id="rId31" w:type="first"/>
          <w:type w:val="evenPage"/>
          <w:pgSz w:w="12240" w:h="15840"/>
          <w:pgMar w:top="1440" w:right="1440" w:bottom="1440" w:left="1800" w:header="720" w:footer="720" w:gutter="0"/>
          <w:paperSrc w:first="15" w:other="15"/>
          <w:cols w:space="720" w:num="1"/>
          <w:titlePg/>
          <w:docGrid w:linePitch="326" w:charSpace="0"/>
        </w:sectPr>
      </w:pPr>
    </w:p>
    <w:p w14:paraId="28C9C0FB">
      <w:pPr>
        <w:pStyle w:val="158"/>
      </w:pPr>
      <w:bookmarkStart w:id="495" w:name="_Toc178543292"/>
      <w:r>
        <w:t xml:space="preserve">PART 2 – </w:t>
      </w:r>
      <w:r>
        <w:rPr>
          <w:iCs/>
        </w:rPr>
        <w:t>Works</w:t>
      </w:r>
      <w:r>
        <w:t xml:space="preserve"> Requirements</w:t>
      </w:r>
      <w:bookmarkEnd w:id="495"/>
    </w:p>
    <w:p w14:paraId="5EFD31A0">
      <w:pPr>
        <w:rPr>
          <w:b/>
        </w:rPr>
      </w:pPr>
    </w:p>
    <w:p w14:paraId="3265BC2A"/>
    <w:p w14:paraId="4B998EDF">
      <w:pPr>
        <w:sectPr>
          <w:headerReference r:id="rId32" w:type="first"/>
          <w:type w:val="oddPage"/>
          <w:pgSz w:w="12240" w:h="15840"/>
          <w:pgMar w:top="1440" w:right="1440" w:bottom="1440" w:left="1800" w:header="720" w:footer="720" w:gutter="0"/>
          <w:paperSrc w:first="15" w:other="15"/>
          <w:pgNumType w:start="109"/>
          <w:cols w:space="720" w:num="1"/>
          <w:titlePg/>
        </w:sectPr>
      </w:pPr>
    </w:p>
    <w:p w14:paraId="3897701E">
      <w:pPr>
        <w:pStyle w:val="54"/>
        <w:ind w:left="180" w:right="288"/>
        <w:rPr>
          <w:rFonts w:cs="Arial"/>
        </w:rPr>
      </w:pPr>
    </w:p>
    <w:p w14:paraId="24B51208">
      <w:pPr>
        <w:pStyle w:val="54"/>
        <w:ind w:left="180" w:right="288"/>
        <w:rPr>
          <w:rFonts w:cs="Arial"/>
        </w:rPr>
      </w:pPr>
      <w:bookmarkStart w:id="496" w:name="_Toc178543293"/>
      <w:r>
        <w:rPr>
          <w:rFonts w:cs="Arial"/>
        </w:rPr>
        <w:t xml:space="preserve">Section VII - </w:t>
      </w:r>
      <w:r>
        <w:t>Works Requirements</w:t>
      </w:r>
      <w:bookmarkEnd w:id="496"/>
    </w:p>
    <w:p w14:paraId="51817C4B">
      <w:pPr>
        <w:pStyle w:val="18"/>
        <w:ind w:left="180" w:right="288"/>
      </w:pPr>
    </w:p>
    <w:p w14:paraId="6F8A3CB5">
      <w:pPr>
        <w:pStyle w:val="18"/>
        <w:ind w:left="180" w:right="288"/>
        <w:rPr>
          <w:u w:val="single"/>
        </w:rPr>
      </w:pPr>
    </w:p>
    <w:p w14:paraId="2547E870">
      <w:pPr>
        <w:jc w:val="center"/>
        <w:rPr>
          <w:b/>
          <w:sz w:val="28"/>
          <w:szCs w:val="28"/>
        </w:rPr>
      </w:pPr>
      <w:r>
        <w:rPr>
          <w:b/>
          <w:sz w:val="28"/>
          <w:szCs w:val="28"/>
        </w:rPr>
        <w:t>Table of Contents</w:t>
      </w:r>
    </w:p>
    <w:p w14:paraId="5AADAB56">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TOC \h \z \t "S6-Header 1,1" </w:instrText>
      </w:r>
      <w:r>
        <w:fldChar w:fldCharType="separate"/>
      </w:r>
      <w:r>
        <w:fldChar w:fldCharType="begin"/>
      </w:r>
      <w:r>
        <w:instrText xml:space="preserve"> HYPERLINK \l "_Toc179504026" </w:instrText>
      </w:r>
      <w:r>
        <w:fldChar w:fldCharType="separate"/>
      </w:r>
      <w:r>
        <w:rPr>
          <w:rStyle w:val="31"/>
        </w:rPr>
        <w:t>Description of the Site</w:t>
      </w:r>
      <w:r>
        <w:tab/>
      </w:r>
      <w:r>
        <w:fldChar w:fldCharType="begin"/>
      </w:r>
      <w:r>
        <w:instrText xml:space="preserve"> PAGEREF _Toc179504026 \h </w:instrText>
      </w:r>
      <w:r>
        <w:fldChar w:fldCharType="separate"/>
      </w:r>
      <w:r>
        <w:t>111</w:t>
      </w:r>
      <w:r>
        <w:fldChar w:fldCharType="end"/>
      </w:r>
      <w:r>
        <w:fldChar w:fldCharType="end"/>
      </w:r>
    </w:p>
    <w:p w14:paraId="5392E047">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"_Toc179504027" </w:instrText>
      </w:r>
      <w:r>
        <w:fldChar w:fldCharType="separate"/>
      </w:r>
      <w:r>
        <w:rPr>
          <w:rStyle w:val="31"/>
        </w:rPr>
        <w:t>Description of the Works</w:t>
      </w:r>
      <w:r>
        <w:tab/>
      </w:r>
      <w:r>
        <w:fldChar w:fldCharType="begin"/>
      </w:r>
      <w:r>
        <w:instrText xml:space="preserve"> PAGEREF _Toc179504027 \h </w:instrText>
      </w:r>
      <w:r>
        <w:fldChar w:fldCharType="separate"/>
      </w:r>
      <w:r>
        <w:t>114</w:t>
      </w:r>
      <w:r>
        <w:fldChar w:fldCharType="end"/>
      </w:r>
      <w:r>
        <w:fldChar w:fldCharType="end"/>
      </w:r>
    </w:p>
    <w:p w14:paraId="44B2DC0F">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"_Toc179504028" </w:instrText>
      </w:r>
      <w:r>
        <w:fldChar w:fldCharType="separate"/>
      </w:r>
      <w:r>
        <w:rPr>
          <w:rStyle w:val="31"/>
        </w:rPr>
        <w:t>Specifications</w:t>
      </w:r>
      <w:r>
        <w:tab/>
      </w:r>
      <w:r>
        <w:fldChar w:fldCharType="begin"/>
      </w:r>
      <w:r>
        <w:instrText xml:space="preserve"> PAGEREF _Toc179504028 \h </w:instrText>
      </w:r>
      <w:r>
        <w:fldChar w:fldCharType="separate"/>
      </w:r>
      <w:r>
        <w:t>115</w:t>
      </w:r>
      <w:r>
        <w:fldChar w:fldCharType="end"/>
      </w:r>
      <w:r>
        <w:fldChar w:fldCharType="end"/>
      </w:r>
    </w:p>
    <w:p w14:paraId="1CB1043E">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"_Toc179504029" </w:instrText>
      </w:r>
      <w:r>
        <w:fldChar w:fldCharType="separate"/>
      </w:r>
      <w:r>
        <w:rPr>
          <w:rStyle w:val="31"/>
        </w:rPr>
        <w:t>Environmental and Social Requirements</w:t>
      </w:r>
      <w:r>
        <w:tab/>
      </w:r>
      <w:r>
        <w:fldChar w:fldCharType="begin"/>
      </w:r>
      <w:r>
        <w:instrText xml:space="preserve"> PAGEREF _Toc179504029 \h </w:instrText>
      </w:r>
      <w:r>
        <w:fldChar w:fldCharType="separate"/>
      </w:r>
      <w:r>
        <w:t>116</w:t>
      </w:r>
      <w:r>
        <w:fldChar w:fldCharType="end"/>
      </w:r>
      <w:r>
        <w:fldChar w:fldCharType="end"/>
      </w:r>
    </w:p>
    <w:p w14:paraId="4DFC7B5D">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"_Toc179504030" </w:instrText>
      </w:r>
      <w:r>
        <w:fldChar w:fldCharType="separate"/>
      </w:r>
      <w:r>
        <w:rPr>
          <w:rStyle w:val="31"/>
        </w:rPr>
        <w:t>Drawings</w:t>
      </w:r>
      <w:r>
        <w:tab/>
      </w:r>
      <w:r>
        <w:fldChar w:fldCharType="begin"/>
      </w:r>
      <w:r>
        <w:instrText xml:space="preserve"> PAGEREF _Toc179504030 \h </w:instrText>
      </w:r>
      <w:r>
        <w:fldChar w:fldCharType="separate"/>
      </w:r>
      <w:r>
        <w:t>120</w:t>
      </w:r>
      <w:r>
        <w:fldChar w:fldCharType="end"/>
      </w:r>
      <w:r>
        <w:fldChar w:fldCharType="end"/>
      </w:r>
    </w:p>
    <w:p w14:paraId="6A158B81">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"_Toc179504031" </w:instrText>
      </w:r>
      <w:r>
        <w:fldChar w:fldCharType="separate"/>
      </w:r>
      <w:r>
        <w:rPr>
          <w:rStyle w:val="31"/>
        </w:rPr>
        <w:t>Supplementary Information</w:t>
      </w:r>
      <w:r>
        <w:tab/>
      </w:r>
      <w:r>
        <w:fldChar w:fldCharType="begin"/>
      </w:r>
      <w:r>
        <w:instrText xml:space="preserve"> PAGEREF _Toc179504031 \h </w:instrText>
      </w:r>
      <w:r>
        <w:fldChar w:fldCharType="separate"/>
      </w:r>
      <w:r>
        <w:t>121</w:t>
      </w:r>
      <w:r>
        <w:fldChar w:fldCharType="end"/>
      </w:r>
      <w:r>
        <w:fldChar w:fldCharType="end"/>
      </w:r>
    </w:p>
    <w:p w14:paraId="5795C335">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"_Toc179504032" </w:instrText>
      </w:r>
      <w:r>
        <w:fldChar w:fldCharType="separate"/>
      </w:r>
      <w:r>
        <w:rPr>
          <w:rStyle w:val="31"/>
        </w:rPr>
        <w:t>KEY Personnel</w:t>
      </w:r>
      <w:r>
        <w:tab/>
      </w:r>
      <w:r>
        <w:fldChar w:fldCharType="begin"/>
      </w:r>
      <w:r>
        <w:instrText xml:space="preserve"> PAGEREF _Toc179504032 \h </w:instrText>
      </w:r>
      <w:r>
        <w:fldChar w:fldCharType="separate"/>
      </w:r>
      <w:r>
        <w:t>121</w:t>
      </w:r>
      <w:r>
        <w:fldChar w:fldCharType="end"/>
      </w:r>
      <w:r>
        <w:fldChar w:fldCharType="end"/>
      </w:r>
    </w:p>
    <w:p w14:paraId="7CF90A37">
      <w:pPr>
        <w:rPr>
          <w:rFonts w:asciiTheme="minorHAnsi" w:hAnsiTheme="minorHAnsi" w:eastAsiaTheme="minorEastAsia" w:cstheme="minorBidi"/>
          <w:kern w:val="2"/>
          <w:sz w:val="22"/>
          <w:szCs w:val="22"/>
          <w14:ligatures w14:val="standardContextual"/>
        </w:rPr>
      </w:pPr>
      <w:r>
        <w:fldChar w:fldCharType="end"/>
      </w:r>
    </w:p>
    <w:p w14:paraId="27ADC800">
      <w:pPr>
        <w:pStyle w:val="157"/>
      </w:pPr>
      <w:r>
        <w:br w:type="page"/>
      </w:r>
      <w:bookmarkStart w:id="497" w:name="_Toc23238061"/>
      <w:bookmarkStart w:id="498" w:name="_Toc78273063"/>
      <w:bookmarkStart w:id="499" w:name="_Toc23233012"/>
      <w:bookmarkStart w:id="500" w:name="_Toc73867681"/>
      <w:bookmarkStart w:id="501" w:name="_Toc41971552"/>
    </w:p>
    <w:p w14:paraId="552C254F">
      <w:pPr>
        <w:pStyle w:val="157"/>
      </w:pPr>
      <w:bookmarkStart w:id="502" w:name="_Toc179504026"/>
      <w:r>
        <w:t>Description of the Site</w:t>
      </w:r>
      <w:bookmarkEnd w:id="502"/>
    </w:p>
    <w:p w14:paraId="4D64D4C8">
      <w:pPr>
        <w:pStyle w:val="176"/>
        <w:numPr>
          <w:ilvl w:val="0"/>
          <w:numId w:val="58"/>
        </w:numPr>
        <w:tabs>
          <w:tab w:val="left" w:pos="709"/>
        </w:tabs>
        <w:rPr>
          <w:b/>
          <w:bCs/>
          <w:lang w:eastAsia="ja-JP"/>
        </w:rPr>
      </w:pPr>
      <w:bookmarkStart w:id="503" w:name="_Toc170722970"/>
      <w:bookmarkStart w:id="504" w:name="_Toc178579554"/>
      <w:r>
        <w:rPr>
          <w:b/>
          <w:bCs/>
          <w:lang w:eastAsia="ja-JP"/>
        </w:rPr>
        <w:t>Location and Access</w:t>
      </w:r>
    </w:p>
    <w:p w14:paraId="234FB4A3">
      <w:pPr>
        <w:tabs>
          <w:tab w:val="left" w:pos="709"/>
        </w:tabs>
        <w:ind w:left="709"/>
        <w:jc w:val="both"/>
        <w:rPr>
          <w:lang w:eastAsia="ja-JP"/>
        </w:rPr>
      </w:pPr>
      <w:bookmarkStart w:id="505" w:name="_Hlk178524316"/>
      <w:r>
        <w:rPr>
          <w:lang w:eastAsia="ja-JP"/>
        </w:rPr>
        <w:t xml:space="preserve"> </w:t>
      </w:r>
    </w:p>
    <w:p w14:paraId="6DF5D09F">
      <w:pPr>
        <w:tabs>
          <w:tab w:val="left" w:pos="709"/>
        </w:tabs>
        <w:ind w:left="709"/>
        <w:jc w:val="both"/>
        <w:rPr>
          <w:lang w:eastAsia="ja-JP"/>
        </w:rPr>
      </w:pPr>
      <w:r>
        <w:rPr>
          <w:lang w:eastAsia="ja-JP"/>
        </w:rPr>
        <w:t>Wajir County is located in the formerly North Eastern Province of Kenya, and borders Somalia to the East and Ethiopia to the North. Within Kenya, it borders the counties of Mandera, Isiolo, Marsabit and Garissa.</w:t>
      </w:r>
    </w:p>
    <w:p w14:paraId="12FF4789">
      <w:pPr>
        <w:tabs>
          <w:tab w:val="left" w:pos="709"/>
        </w:tabs>
        <w:ind w:left="709"/>
        <w:jc w:val="both"/>
        <w:rPr>
          <w:lang w:eastAsia="ja-JP"/>
        </w:rPr>
      </w:pPr>
    </w:p>
    <w:p w14:paraId="0A5159ED">
      <w:pPr>
        <w:tabs>
          <w:tab w:val="left" w:pos="709"/>
        </w:tabs>
        <w:ind w:left="709"/>
        <w:jc w:val="both"/>
        <w:rPr>
          <w:lang w:eastAsia="ja-JP"/>
        </w:rPr>
      </w:pPr>
      <w:r>
        <w:rPr>
          <w:lang w:eastAsia="ja-JP"/>
        </w:rPr>
        <w:t xml:space="preserve">The County has six sub-counties, namely: Wajir East, Wajir South, Wajir North, Wajir West, Eldas and Tarbaj. </w:t>
      </w:r>
    </w:p>
    <w:p w14:paraId="2DB3E77F">
      <w:pPr>
        <w:tabs>
          <w:tab w:val="left" w:pos="709"/>
        </w:tabs>
        <w:ind w:left="709"/>
        <w:jc w:val="both"/>
        <w:rPr>
          <w:lang w:eastAsia="ja-JP"/>
        </w:rPr>
      </w:pPr>
    </w:p>
    <w:p w14:paraId="6DF39DCE">
      <w:pPr>
        <w:tabs>
          <w:tab w:val="left" w:pos="709"/>
        </w:tabs>
        <w:ind w:left="709"/>
        <w:jc w:val="both"/>
        <w:rPr>
          <w:lang w:eastAsia="ja-JP"/>
        </w:rPr>
      </w:pPr>
      <w:r>
        <w:rPr>
          <w:lang w:eastAsia="ja-JP"/>
        </w:rPr>
        <w:t>Wajir town, which is the project area, is in the jurisdiction of Wajir East sub-county. Based on the 2019 Kenya Census, it has a total population of 101,247. Wajir town is divided into ten zones, each with an elected zone chief.</w:t>
      </w:r>
    </w:p>
    <w:p w14:paraId="0BE90A16">
      <w:pPr>
        <w:widowControl w:val="0"/>
        <w:autoSpaceDE w:val="0"/>
        <w:autoSpaceDN w:val="0"/>
        <w:adjustRightInd w:val="0"/>
        <w:spacing w:line="246" w:lineRule="auto"/>
        <w:ind w:left="720" w:right="46"/>
        <w:jc w:val="both"/>
      </w:pPr>
    </w:p>
    <w:p w14:paraId="531E4BE9">
      <w:pPr>
        <w:widowControl w:val="0"/>
        <w:autoSpaceDE w:val="0"/>
        <w:autoSpaceDN w:val="0"/>
        <w:adjustRightInd w:val="0"/>
        <w:spacing w:line="246" w:lineRule="auto"/>
        <w:ind w:left="720" w:right="46"/>
        <w:jc w:val="both"/>
      </w:pPr>
      <w:r>
        <w:t>The project site is accessible via the Isiolo – Mandera B9 Road.</w:t>
      </w:r>
    </w:p>
    <w:p w14:paraId="0D4565E6">
      <w:pPr>
        <w:tabs>
          <w:tab w:val="left" w:pos="709"/>
        </w:tabs>
        <w:ind w:left="709"/>
        <w:jc w:val="both"/>
        <w:rPr>
          <w:lang w:eastAsia="ja-JP"/>
        </w:rPr>
      </w:pPr>
    </w:p>
    <w:p w14:paraId="21AEB0DC">
      <w:pPr>
        <w:tabs>
          <w:tab w:val="left" w:pos="709"/>
        </w:tabs>
        <w:ind w:left="709"/>
        <w:jc w:val="both"/>
        <w:rPr>
          <w:lang w:eastAsia="ja-JP"/>
        </w:rPr>
      </w:pPr>
      <w:r>
        <w:rPr>
          <w:lang w:eastAsia="ja-JP"/>
        </w:rPr>
        <w:t>The location map of the project site is shown in the map below.</w:t>
      </w:r>
    </w:p>
    <w:p w14:paraId="5DD36557">
      <w:pPr>
        <w:tabs>
          <w:tab w:val="left" w:pos="709"/>
        </w:tabs>
        <w:ind w:left="709"/>
        <w:jc w:val="both"/>
        <w:rPr>
          <w:lang w:eastAsia="ja-JP"/>
        </w:rPr>
      </w:pPr>
    </w:p>
    <w:p w14:paraId="7E5AF84D">
      <w:pPr>
        <w:keepNext/>
        <w:tabs>
          <w:tab w:val="left" w:pos="709"/>
        </w:tabs>
        <w:ind w:left="709"/>
        <w:jc w:val="both"/>
      </w:pPr>
      <w:r>
        <w:rPr>
          <w:lang w:eastAsia="ja-JP"/>
        </w:rPr>
        <mc:AlternateContent>
          <mc:Choice Requires="wps">
            <w:drawing>
              <wp:anchor distT="0" distB="0" distL="114300" distR="114300" simplePos="0" relativeHeight="251667456" behindDoc="0" locked="0" layoutInCell="1" allowOverlap="1">
                <wp:simplePos x="0" y="0"/>
                <wp:positionH relativeFrom="column">
                  <wp:posOffset>1901825</wp:posOffset>
                </wp:positionH>
                <wp:positionV relativeFrom="paragraph">
                  <wp:posOffset>1993900</wp:posOffset>
                </wp:positionV>
                <wp:extent cx="468630" cy="842645"/>
                <wp:effectExtent l="0" t="0" r="64770" b="52705"/>
                <wp:wrapNone/>
                <wp:docPr id="67007893" name="Straight Arrow Connector 15"/>
                <wp:cNvGraphicFramePr/>
                <a:graphic xmlns:a="http://schemas.openxmlformats.org/drawingml/2006/main">
                  <a:graphicData uri="http://schemas.microsoft.com/office/word/2010/wordprocessingShape">
                    <wps:wsp>
                      <wps:cNvCnPr/>
                      <wps:spPr>
                        <a:xfrm>
                          <a:off x="0" y="0"/>
                          <a:ext cx="468823" cy="842838"/>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5" o:spid="_x0000_s1026" o:spt="32" type="#_x0000_t32" style="position:absolute;left:0pt;margin-left:149.75pt;margin-top:157pt;height:66.35pt;width:36.9pt;z-index:251667456;mso-width-relative:page;mso-height-relative:page;" filled="f" stroked="t" coordsize="21600,21600" o:gfxdata="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1BNYU2AAAAAsBAAAPAAAAAAAAAAEAIAAAACIA&#10;AABkcnMvZG93bnJldi54bWxQSwECFAAUAAAACACHTuJAXcIqjAkCAAATBAAADgAAAAAAAAABACAA&#10;AAAnAQAAZHJzL2Uyb0RvYy54bWxQSwUGAAAAAAYABgBZAQAAogUAAAAA&#10;">
                <v:fill on="f" focussize="0,0"/>
                <v:stroke weight="2pt" color="#4A7EBB [3204]" joinstyle="round" endarrow="block"/>
                <v:imagedata o:title=""/>
                <o:lock v:ext="edit" aspectratio="f"/>
              </v:shape>
            </w:pict>
          </mc:Fallback>
        </mc:AlternateContent>
      </w:r>
      <w:r>
        <w:rPr>
          <w:lang w:eastAsia="ja-JP"/>
        </w:rPr>
        <mc:AlternateContent>
          <mc:Choice Requires="wps">
            <w:drawing>
              <wp:anchor distT="0" distB="0" distL="114300" distR="114300" simplePos="0" relativeHeight="251665408" behindDoc="0" locked="0" layoutInCell="1" allowOverlap="1">
                <wp:simplePos x="0" y="0"/>
                <wp:positionH relativeFrom="column">
                  <wp:posOffset>2275205</wp:posOffset>
                </wp:positionH>
                <wp:positionV relativeFrom="paragraph">
                  <wp:posOffset>2836545</wp:posOffset>
                </wp:positionV>
                <wp:extent cx="381635" cy="374015"/>
                <wp:effectExtent l="0" t="0" r="18415" b="26670"/>
                <wp:wrapNone/>
                <wp:docPr id="523933355" name="Rectangle 13"/>
                <wp:cNvGraphicFramePr/>
                <a:graphic xmlns:a="http://schemas.openxmlformats.org/drawingml/2006/main">
                  <a:graphicData uri="http://schemas.microsoft.com/office/word/2010/wordprocessingShape">
                    <wps:wsp>
                      <wps:cNvSpPr/>
                      <wps:spPr>
                        <a:xfrm>
                          <a:off x="0" y="0"/>
                          <a:ext cx="381663" cy="373711"/>
                        </a:xfrm>
                        <a:prstGeom prst="rect">
                          <a:avLst/>
                        </a:prstGeom>
                        <a:noFill/>
                        <a:ln w="158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13" o:spid="_x0000_s1026" o:spt="1" style="position:absolute;left:0pt;margin-left:179.15pt;margin-top:223.35pt;height:29.45pt;width:30.05pt;z-index:251665408;v-text-anchor:middle;mso-width-relative:page;mso-height-relative:page;" filled="f" stroked="t" coordsize="21600,21600" o:gfxdata="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IlzxNfeAAAACwEAAA8AAAAAAAAAAQAgAAAAIgAAAGRycy9kb3ducmV2LnhtbFBLAQIUABQA&#10;AAAIAIdO4kCeS5ajXAIAAL8EAAAOAAAAAAAAAAEAIAAAAC0BAABkcnMvZTJvRG9jLnhtbFBLBQYA&#10;AAAABgAGAFkBAAD7BQAAAAA=&#10;">
                <v:fill on="f" focussize="0,0"/>
                <v:stroke weight="1.25pt" color="#FF0000 [3204]" joinstyle="round"/>
                <v:imagedata o:title=""/>
                <o:lock v:ext="edit" aspectratio="f"/>
              </v:rect>
            </w:pict>
          </mc:Fallback>
        </mc:AlternateContent>
      </w:r>
      <w:r>
        <w:rPr>
          <w:lang w:eastAsia="ja-JP"/>
        </w:rPr>
        <mc:AlternateContent>
          <mc:Choice Requires="wps">
            <w:drawing>
              <wp:anchor distT="0" distB="0" distL="114300" distR="114300" simplePos="0" relativeHeight="251666432" behindDoc="0" locked="0" layoutInCell="1" allowOverlap="1">
                <wp:simplePos x="0" y="0"/>
                <wp:positionH relativeFrom="column">
                  <wp:posOffset>1645920</wp:posOffset>
                </wp:positionH>
                <wp:positionV relativeFrom="paragraph">
                  <wp:posOffset>1697990</wp:posOffset>
                </wp:positionV>
                <wp:extent cx="723265" cy="413385"/>
                <wp:effectExtent l="0" t="0" r="0" b="0"/>
                <wp:wrapNone/>
                <wp:docPr id="430431865" name="Text Box 14"/>
                <wp:cNvGraphicFramePr/>
                <a:graphic xmlns:a="http://schemas.openxmlformats.org/drawingml/2006/main">
                  <a:graphicData uri="http://schemas.microsoft.com/office/word/2010/wordprocessingShape">
                    <wps:wsp>
                      <wps:cNvSpPr txBox="1"/>
                      <wps:spPr>
                        <a:xfrm>
                          <a:off x="0" y="0"/>
                          <a:ext cx="723568" cy="413468"/>
                        </a:xfrm>
                        <a:prstGeom prst="rect">
                          <a:avLst/>
                        </a:prstGeom>
                        <a:solidFill>
                          <a:schemeClr val="lt1">
                            <a:alpha val="0"/>
                          </a:schemeClr>
                        </a:solidFill>
                        <a:ln w="6350">
                          <a:noFill/>
                        </a:ln>
                      </wps:spPr>
                      <wps:txbx>
                        <w:txbxContent>
                          <w:p w14:paraId="29FC2E77">
                            <w:pPr>
                              <w:rPr>
                                <w:b/>
                                <w:bCs/>
                                <w:color w:val="FF0000"/>
                                <w:sz w:val="16"/>
                                <w:szCs w:val="16"/>
                              </w:rPr>
                            </w:pPr>
                            <w:r>
                              <w:rPr>
                                <w:b/>
                                <w:bCs/>
                                <w:color w:val="FF0000"/>
                                <w:sz w:val="16"/>
                                <w:szCs w:val="16"/>
                              </w:rPr>
                              <w:t>Proposed FSTP site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14" o:spid="_x0000_s1026" o:spt="202" type="#_x0000_t202" style="position:absolute;left:0pt;margin-left:129.6pt;margin-top:133.7pt;height:32.55pt;width:56.95pt;z-index:251666432;mso-width-relative:page;mso-height-relative:page;" fillcolor="#FFFFFF [3201]" filled="t" stroked="f" coordsize="21600,21600" o:gfxdata="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G4swYXaAAAACwEA&#10;AA8AAAAAAAAAAQAgAAAAIgAAAGRycy9kb3ducmV2LnhtbFBLAQIUABQAAAAIAIdO4kBhASzUUQIA&#10;ALMEAAAOAAAAAAAAAAEAIAAAACkBAABkcnMvZTJvRG9jLnhtbFBLBQYAAAAABgAGAFkBAADsBQAA&#10;AAA=&#10;">
                <v:fill on="t" opacity="0f" focussize="0,0"/>
                <v:stroke on="f" weight="0.5pt"/>
                <v:imagedata o:title=""/>
                <o:lock v:ext="edit" aspectratio="f"/>
                <v:textbox>
                  <w:txbxContent>
                    <w:p w14:paraId="29FC2E77">
                      <w:pPr>
                        <w:rPr>
                          <w:b/>
                          <w:bCs/>
                          <w:color w:val="FF0000"/>
                          <w:sz w:val="16"/>
                          <w:szCs w:val="16"/>
                        </w:rPr>
                      </w:pPr>
                      <w:r>
                        <w:rPr>
                          <w:b/>
                          <w:bCs/>
                          <w:color w:val="FF0000"/>
                          <w:sz w:val="16"/>
                          <w:szCs w:val="16"/>
                        </w:rPr>
                        <w:t>Proposed FSTP site</w:t>
                      </w:r>
                    </w:p>
                  </w:txbxContent>
                </v:textbox>
              </v:shape>
            </w:pict>
          </mc:Fallback>
        </mc:AlternateContent>
      </w:r>
      <w:r>
        <w:rPr>
          <w:lang w:eastAsia="ja-JP"/>
        </w:rPr>
        <w:drawing>
          <wp:inline distT="0" distB="0" distL="0" distR="0">
            <wp:extent cx="5715000" cy="3662045"/>
            <wp:effectExtent l="0" t="0" r="0" b="0"/>
            <wp:docPr id="712470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470167" name="Picture 1"/>
                    <pic:cNvPicPr>
                      <a:picLocks noChangeAspect="1"/>
                    </pic:cNvPicPr>
                  </pic:nvPicPr>
                  <pic:blipFill>
                    <a:blip r:embed="rId44"/>
                    <a:srcRect t="4952"/>
                    <a:stretch>
                      <a:fillRect/>
                    </a:stretch>
                  </pic:blipFill>
                  <pic:spPr>
                    <a:xfrm>
                      <a:off x="0" y="0"/>
                      <a:ext cx="5715000" cy="3662348"/>
                    </a:xfrm>
                    <a:prstGeom prst="rect">
                      <a:avLst/>
                    </a:prstGeom>
                    <a:ln>
                      <a:noFill/>
                    </a:ln>
                  </pic:spPr>
                </pic:pic>
              </a:graphicData>
            </a:graphic>
          </wp:inline>
        </w:drawing>
      </w:r>
    </w:p>
    <w:p w14:paraId="6DB22EEC">
      <w:pPr>
        <w:pStyle w:val="21"/>
        <w:jc w:val="both"/>
        <w:rPr>
          <w:rFonts w:ascii="Times New Roman" w:hAnsi="Times New Roman" w:cs="Times New Roman"/>
        </w:rPr>
      </w:pPr>
      <w:r>
        <w:rPr>
          <w:rFonts w:ascii="Times New Roman" w:hAnsi="Times New Roman" w:cs="Times New Roman"/>
        </w:rPr>
        <w:t xml:space="preserve">            Figure </w:t>
      </w:r>
      <w:r>
        <w:rPr>
          <w:rFonts w:ascii="Times New Roman" w:hAnsi="Times New Roman" w:cs="Times New Roman"/>
        </w:rPr>
        <w:fldChar w:fldCharType="begin"/>
      </w:r>
      <w:r>
        <w:rPr>
          <w:rFonts w:ascii="Times New Roman" w:hAnsi="Times New Roman" w:cs="Times New Roman"/>
        </w:rPr>
        <w:instrText xml:space="preserve"> SEQ Figure \* ARABIC </w:instrText>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Pr>
          <w:rFonts w:ascii="Times New Roman" w:hAnsi="Times New Roman" w:cs="Times New Roman"/>
        </w:rPr>
        <w:t>: Proposed WFSTP Site</w:t>
      </w:r>
    </w:p>
    <w:p w14:paraId="67BF0F10">
      <w:pPr>
        <w:pStyle w:val="21"/>
        <w:jc w:val="both"/>
        <w:rPr>
          <w:rFonts w:ascii="Times New Roman" w:hAnsi="Times New Roman" w:cs="Times New Roman"/>
        </w:rPr>
      </w:pPr>
      <w:r>
        <w:t xml:space="preserve">            </w:t>
      </w:r>
    </w:p>
    <w:p w14:paraId="1BF80D69">
      <w:pPr>
        <w:tabs>
          <w:tab w:val="left" w:pos="709"/>
        </w:tabs>
        <w:ind w:left="709"/>
        <w:jc w:val="both"/>
        <w:rPr>
          <w:lang w:val="en"/>
        </w:rPr>
      </w:pPr>
      <w:r>
        <w:rPr>
          <w:lang w:eastAsia="ja-JP"/>
        </w:rPr>
        <w:t xml:space="preserve"> </w:t>
      </w:r>
    </w:p>
    <w:bookmarkEnd w:id="505"/>
    <w:p w14:paraId="56324EBE">
      <w:pPr>
        <w:pStyle w:val="176"/>
        <w:numPr>
          <w:ilvl w:val="0"/>
          <w:numId w:val="58"/>
        </w:numPr>
        <w:tabs>
          <w:tab w:val="left" w:pos="709"/>
        </w:tabs>
        <w:rPr>
          <w:b/>
          <w:bCs/>
          <w:lang w:eastAsia="ja-JP"/>
        </w:rPr>
      </w:pPr>
      <w:r>
        <w:rPr>
          <w:b/>
          <w:bCs/>
          <w:lang w:eastAsia="ja-JP"/>
        </w:rPr>
        <w:t>Topography</w:t>
      </w:r>
      <w:bookmarkEnd w:id="503"/>
      <w:bookmarkEnd w:id="504"/>
    </w:p>
    <w:p w14:paraId="06C1378C">
      <w:pPr>
        <w:tabs>
          <w:tab w:val="left" w:pos="709"/>
        </w:tabs>
        <w:rPr>
          <w:b/>
          <w:bCs/>
          <w:lang w:eastAsia="ja-JP"/>
        </w:rPr>
      </w:pPr>
    </w:p>
    <w:p w14:paraId="6303AA49">
      <w:pPr>
        <w:tabs>
          <w:tab w:val="left" w:pos="709"/>
        </w:tabs>
        <w:ind w:left="709"/>
        <w:jc w:val="both"/>
        <w:rPr>
          <w:lang w:eastAsia="ja-JP"/>
        </w:rPr>
      </w:pPr>
      <w:r>
        <w:rPr>
          <w:lang w:eastAsia="ja-JP"/>
        </w:rPr>
        <w:t xml:space="preserve">Wajir County is mainly made of plains starting from 150 meters and rising to 460 meters above sea level. There are some hills in the Northern part of the county on the border with Ethiopia, that is, Malaba hills, which is a gazetted forest. Also, a non-gazetted forest covers the lower parts of Wajir North towards Korondile. </w:t>
      </w:r>
    </w:p>
    <w:p w14:paraId="1EA89581">
      <w:pPr>
        <w:tabs>
          <w:tab w:val="left" w:pos="709"/>
        </w:tabs>
        <w:ind w:left="709"/>
        <w:jc w:val="both"/>
        <w:rPr>
          <w:lang w:eastAsia="ja-JP"/>
        </w:rPr>
      </w:pPr>
      <w:r>
        <w:rPr>
          <w:lang w:eastAsia="ja-JP"/>
        </w:rPr>
        <w:t>The county does not have any natural water bodies such as lakes and rivers. However, during rainy seasons, some waterways have water flowing from the Northern Hilly areas towards the southern low lands for a short period. The government and some private initiatives have excavated earth pans to collect rainwater for livestock and domestic use. The area sometimes experiences flooding during the rainy seasons creating seasonal swamps, which together with drainage lines serve as grazing zones during dry season and are used for cultivation during the rainy seasons. These seasonal swamps are in Lagboghol and in the western and southern parts of Habaswein.</w:t>
      </w:r>
    </w:p>
    <w:p w14:paraId="34BC5971">
      <w:pPr>
        <w:tabs>
          <w:tab w:val="left" w:pos="709"/>
        </w:tabs>
        <w:ind w:left="709"/>
        <w:jc w:val="both"/>
        <w:rPr>
          <w:lang w:eastAsia="ja-JP"/>
        </w:rPr>
      </w:pPr>
    </w:p>
    <w:p w14:paraId="447C2751">
      <w:pPr>
        <w:pStyle w:val="176"/>
        <w:numPr>
          <w:ilvl w:val="0"/>
          <w:numId w:val="58"/>
        </w:numPr>
        <w:tabs>
          <w:tab w:val="left" w:pos="709"/>
        </w:tabs>
        <w:rPr>
          <w:b/>
          <w:bCs/>
          <w:lang w:eastAsia="ja-JP"/>
        </w:rPr>
      </w:pPr>
      <w:bookmarkStart w:id="506" w:name="_Toc170722971"/>
      <w:bookmarkStart w:id="507" w:name="_Toc178579555"/>
      <w:r>
        <w:rPr>
          <w:b/>
          <w:bCs/>
          <w:lang w:eastAsia="ja-JP"/>
        </w:rPr>
        <w:t>Climate</w:t>
      </w:r>
      <w:bookmarkEnd w:id="506"/>
      <w:bookmarkEnd w:id="507"/>
      <w:r>
        <w:rPr>
          <w:b/>
          <w:bCs/>
          <w:lang w:eastAsia="ja-JP"/>
        </w:rPr>
        <w:t xml:space="preserve"> </w:t>
      </w:r>
    </w:p>
    <w:p w14:paraId="3D084858">
      <w:pPr>
        <w:tabs>
          <w:tab w:val="left" w:pos="709"/>
        </w:tabs>
        <w:ind w:left="709"/>
        <w:jc w:val="both"/>
        <w:rPr>
          <w:b/>
          <w:bCs/>
          <w:szCs w:val="20"/>
          <w:lang w:eastAsia="ja-JP"/>
        </w:rPr>
      </w:pPr>
    </w:p>
    <w:p w14:paraId="69FD23C4">
      <w:pPr>
        <w:tabs>
          <w:tab w:val="left" w:pos="709"/>
        </w:tabs>
        <w:ind w:left="709"/>
        <w:jc w:val="both"/>
        <w:rPr>
          <w:lang w:eastAsia="ja-JP"/>
        </w:rPr>
      </w:pPr>
      <w:r>
        <w:rPr>
          <w:lang w:eastAsia="ja-JP"/>
        </w:rPr>
        <w:t>The average precipitation is 240mm Annually. Historical data show that July is the driest month with an average of 1mm of rain; while April is the wettest month with an average of 68mm. The Northern parts of the county, Bute, Gurar and surrounding areas receive higher rainfall of between 500 and 700mm. Average temperature is 27.90°C; The warmest months are February &amp; March with an average of 36°C while the coolest months are June, July &amp; August with an average low of 21 °C.</w:t>
      </w:r>
    </w:p>
    <w:p w14:paraId="7D2D49C1">
      <w:pPr>
        <w:tabs>
          <w:tab w:val="left" w:pos="709"/>
        </w:tabs>
        <w:ind w:left="709"/>
        <w:jc w:val="both"/>
        <w:rPr>
          <w:lang w:eastAsia="ja-JP"/>
        </w:rPr>
      </w:pPr>
    </w:p>
    <w:p w14:paraId="2F521223">
      <w:pPr>
        <w:tabs>
          <w:tab w:val="left" w:pos="709"/>
        </w:tabs>
        <w:ind w:left="709"/>
        <w:jc w:val="both"/>
        <w:rPr>
          <w:lang w:eastAsia="ja-JP"/>
        </w:rPr>
      </w:pPr>
      <w:r>
        <w:rPr>
          <w:lang w:eastAsia="ja-JP"/>
        </w:rPr>
        <w:t>The County experiences frequent droughts especially from June to September, which impact negatively on livestock, crop farming, education, nutrition, access to water and pasture. On the other hand, rain sometimes cause flash floods which damage infrastructure and may kill goats and sheep. The frequency and intensity of the extreme climatic events has been increasing in the recent past disrupting the livelihood of the communities.</w:t>
      </w:r>
    </w:p>
    <w:p w14:paraId="6C4AF104">
      <w:pPr>
        <w:tabs>
          <w:tab w:val="left" w:pos="709"/>
        </w:tabs>
        <w:ind w:left="709"/>
        <w:jc w:val="both"/>
        <w:rPr>
          <w:lang w:eastAsia="ja-JP"/>
        </w:rPr>
      </w:pPr>
    </w:p>
    <w:p w14:paraId="7A8E8CD2">
      <w:pPr>
        <w:pStyle w:val="176"/>
        <w:numPr>
          <w:ilvl w:val="0"/>
          <w:numId w:val="58"/>
        </w:numPr>
        <w:tabs>
          <w:tab w:val="left" w:pos="709"/>
        </w:tabs>
        <w:rPr>
          <w:b/>
          <w:bCs/>
          <w:lang w:eastAsia="ja-JP"/>
        </w:rPr>
      </w:pPr>
      <w:bookmarkStart w:id="508" w:name="_Toc178579556"/>
      <w:bookmarkStart w:id="509" w:name="_Toc173301443"/>
      <w:r>
        <w:rPr>
          <w:b/>
          <w:bCs/>
          <w:lang w:eastAsia="ja-JP"/>
        </w:rPr>
        <w:t>Geology and Soils</w:t>
      </w:r>
      <w:bookmarkEnd w:id="508"/>
      <w:bookmarkEnd w:id="509"/>
    </w:p>
    <w:p w14:paraId="1D2391B2">
      <w:pPr>
        <w:tabs>
          <w:tab w:val="left" w:pos="709"/>
        </w:tabs>
        <w:ind w:left="709"/>
        <w:jc w:val="both"/>
        <w:rPr>
          <w:b/>
          <w:bCs/>
          <w:szCs w:val="20"/>
          <w:lang w:eastAsia="ja-JP"/>
        </w:rPr>
      </w:pPr>
    </w:p>
    <w:p w14:paraId="49BD58C3">
      <w:pPr>
        <w:tabs>
          <w:tab w:val="left" w:pos="709"/>
        </w:tabs>
        <w:ind w:left="709"/>
        <w:jc w:val="both"/>
        <w:rPr>
          <w:lang w:val="en-GB" w:eastAsia="ja-JP"/>
        </w:rPr>
      </w:pPr>
      <w:r>
        <w:rPr>
          <w:b/>
          <w:lang w:val="en-GB" w:eastAsia="ja-JP"/>
        </w:rPr>
        <w:t>Geology:</w:t>
      </w:r>
      <w:r>
        <w:rPr>
          <w:lang w:val="en-GB" w:eastAsia="ja-JP"/>
        </w:rPr>
        <w:t xml:space="preserve"> Wajir County is part of the broader geological formation of the Eastern Rift Valley in Kenya. Sedimentary rocks, volcanic formations, and alluvial deposits characterize the region. Specific geological studies and maps for Wajir County may be found in reports and publications from the Geological Society of Kenya or academic institutions conducting research in the area.</w:t>
      </w:r>
    </w:p>
    <w:p w14:paraId="3ABDCBBF">
      <w:pPr>
        <w:tabs>
          <w:tab w:val="left" w:pos="709"/>
        </w:tabs>
        <w:ind w:left="709"/>
        <w:jc w:val="both"/>
        <w:rPr>
          <w:lang w:val="en-GB" w:eastAsia="ja-JP"/>
        </w:rPr>
      </w:pPr>
    </w:p>
    <w:p w14:paraId="00031014">
      <w:pPr>
        <w:tabs>
          <w:tab w:val="left" w:pos="709"/>
        </w:tabs>
        <w:ind w:left="709"/>
        <w:jc w:val="both"/>
        <w:rPr>
          <w:lang w:val="en-GB" w:eastAsia="ja-JP"/>
        </w:rPr>
      </w:pPr>
      <w:r>
        <w:rPr>
          <w:b/>
          <w:lang w:val="en-GB" w:eastAsia="ja-JP"/>
        </w:rPr>
        <w:t xml:space="preserve">Soils: </w:t>
      </w:r>
      <w:r>
        <w:rPr>
          <w:lang w:val="en-GB" w:eastAsia="ja-JP"/>
        </w:rPr>
        <w:t>The soils in Wajir County vary but are generally sandy and characterized as arid and semi-arid soils. They often have low organic matter content and fertility. Soil types include sandy loams, sandy clays, and in some areas, calcareous soils. Soil fertility and composition influence agricultural practices and water retention capabilities, which are crucial for sustaining livelihoods in the region.</w:t>
      </w:r>
    </w:p>
    <w:p w14:paraId="5414DE00">
      <w:pPr>
        <w:tabs>
          <w:tab w:val="left" w:pos="709"/>
        </w:tabs>
        <w:ind w:left="709"/>
        <w:jc w:val="both"/>
        <w:rPr>
          <w:lang w:val="en-GB" w:eastAsia="ja-JP"/>
        </w:rPr>
      </w:pPr>
    </w:p>
    <w:p w14:paraId="108C7D93">
      <w:pPr>
        <w:pStyle w:val="176"/>
        <w:numPr>
          <w:ilvl w:val="0"/>
          <w:numId w:val="58"/>
        </w:numPr>
        <w:tabs>
          <w:tab w:val="left" w:pos="709"/>
        </w:tabs>
        <w:rPr>
          <w:b/>
          <w:bCs/>
          <w:lang w:eastAsia="ja-JP"/>
        </w:rPr>
      </w:pPr>
      <w:bookmarkStart w:id="510" w:name="_Toc178579557"/>
      <w:bookmarkStart w:id="511" w:name="_Toc173301444"/>
      <w:r>
        <w:rPr>
          <w:b/>
          <w:bCs/>
          <w:lang w:eastAsia="ja-JP"/>
        </w:rPr>
        <w:t>Flora</w:t>
      </w:r>
      <w:bookmarkEnd w:id="510"/>
      <w:bookmarkEnd w:id="511"/>
      <w:r>
        <w:rPr>
          <w:b/>
          <w:bCs/>
          <w:lang w:eastAsia="ja-JP"/>
        </w:rPr>
        <w:t xml:space="preserve"> </w:t>
      </w:r>
    </w:p>
    <w:p w14:paraId="78BA2D9E">
      <w:pPr>
        <w:tabs>
          <w:tab w:val="left" w:pos="709"/>
        </w:tabs>
        <w:ind w:left="709"/>
        <w:jc w:val="both"/>
        <w:rPr>
          <w:lang w:eastAsia="ja-JP" w:bidi="en-US"/>
        </w:rPr>
      </w:pPr>
      <w:r>
        <w:rPr>
          <w:lang w:eastAsia="ja-JP" w:bidi="en-US"/>
        </w:rPr>
        <w:t xml:space="preserve">Flora in Wajir County, Kenya, primarily consists of vegetation adapted to semi-arid to arid conditions. The plant life in this region plays a crucial role in sustaining local ecosystems and supporting livelihoods. Here. Some key aspects of the flora in Wajir County are; acacia species trees, which are prominent within the area, they are well adapted to arid environments and provide important resources such as fodder for livestock, wood for fuel, and shade, </w:t>
      </w:r>
      <w:r>
        <w:rPr>
          <w:b/>
          <w:bCs/>
          <w:lang w:eastAsia="ja-JP" w:bidi="en-US"/>
        </w:rPr>
        <w:t>Commiphora Species</w:t>
      </w:r>
      <w:r>
        <w:rPr>
          <w:b/>
          <w:lang w:eastAsia="ja-JP" w:bidi="en-US"/>
        </w:rPr>
        <w:t>:</w:t>
      </w:r>
      <w:r>
        <w:rPr>
          <w:lang w:eastAsia="ja-JP" w:bidi="en-US"/>
        </w:rPr>
        <w:t xml:space="preserve"> Species within the Commiphora genus, such as Commiphora africana (African Myrrh). Local communities know these shrubs for their resin and medicinal uses. </w:t>
      </w:r>
    </w:p>
    <w:p w14:paraId="5F4AF38E">
      <w:pPr>
        <w:tabs>
          <w:tab w:val="left" w:pos="709"/>
        </w:tabs>
        <w:ind w:left="709"/>
        <w:jc w:val="both"/>
        <w:rPr>
          <w:lang w:eastAsia="ja-JP" w:bidi="en-US"/>
        </w:rPr>
      </w:pPr>
    </w:p>
    <w:p w14:paraId="1974FD6D">
      <w:pPr>
        <w:tabs>
          <w:tab w:val="left" w:pos="709"/>
        </w:tabs>
        <w:ind w:left="709"/>
        <w:jc w:val="both"/>
        <w:rPr>
          <w:lang w:eastAsia="ja-JP"/>
        </w:rPr>
      </w:pPr>
      <w:r>
        <w:rPr>
          <w:lang w:eastAsia="ja-JP" w:bidi="en-US"/>
        </w:rPr>
        <w:t>The flora of Wajir County not only supports local biodiversity but also plays a crucial role in providing ecosystem services and sustaining the livelihoods of pastoralist communities. Conservation efforts and sustainable land management practices are essential for preserving this fragile ecosystem. The distribution of flora in Wajir County varies with altitude and soil type. In lower-lying areas, you find more drought-resistant species, while higher elevations may support different types of vegetation adapted to slightly cooler and more humid conditions.</w:t>
      </w:r>
      <w:r>
        <w:rPr>
          <w:lang w:eastAsia="ja-JP"/>
        </w:rPr>
        <w:t xml:space="preserve"> </w:t>
      </w:r>
    </w:p>
    <w:p w14:paraId="7E7A6ECE">
      <w:pPr>
        <w:tabs>
          <w:tab w:val="left" w:pos="709"/>
        </w:tabs>
        <w:ind w:left="709"/>
        <w:jc w:val="both"/>
        <w:rPr>
          <w:lang w:eastAsia="ja-JP"/>
        </w:rPr>
      </w:pPr>
    </w:p>
    <w:p w14:paraId="382AF393">
      <w:pPr>
        <w:tabs>
          <w:tab w:val="left" w:pos="709"/>
        </w:tabs>
        <w:ind w:left="709"/>
        <w:jc w:val="both"/>
        <w:rPr>
          <w:lang w:eastAsia="ja-JP"/>
        </w:rPr>
      </w:pPr>
      <w:r>
        <w:rPr>
          <w:lang w:eastAsia="ja-JP"/>
        </w:rPr>
        <w:drawing>
          <wp:inline distT="0" distB="0" distL="0" distR="0">
            <wp:extent cx="2282190" cy="3633470"/>
            <wp:effectExtent l="0" t="0" r="3810" b="5080"/>
            <wp:docPr id="28729380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293806" name="Picture 12"/>
                    <pic:cNvPicPr>
                      <a:picLocks noChangeAspect="1" noChangeArrowheads="1"/>
                    </pic:cNvPicPr>
                  </pic:nvPicPr>
                  <pic:blipFill>
                    <a:blip r:embed="rId45" cstate="print">
                      <a:extLst>
                        <a:ext uri="{28A0092B-C50C-407E-A947-70E740481C1C}">
                          <a14:useLocalDpi xmlns:a14="http://schemas.microsoft.com/office/drawing/2010/main" val="0"/>
                        </a:ext>
                      </a:extLst>
                    </a:blip>
                    <a:srcRect t="9258"/>
                    <a:stretch>
                      <a:fillRect/>
                    </a:stretch>
                  </pic:blipFill>
                  <pic:spPr>
                    <a:xfrm>
                      <a:off x="0" y="0"/>
                      <a:ext cx="2282190" cy="3633470"/>
                    </a:xfrm>
                    <a:prstGeom prst="rect">
                      <a:avLst/>
                    </a:prstGeom>
                    <a:noFill/>
                    <a:ln>
                      <a:noFill/>
                    </a:ln>
                  </pic:spPr>
                </pic:pic>
              </a:graphicData>
            </a:graphic>
          </wp:inline>
        </w:drawing>
      </w:r>
      <w:r>
        <w:rPr>
          <w:lang w:eastAsia="ja-JP"/>
        </w:rPr>
        <w:drawing>
          <wp:inline distT="0" distB="0" distL="0" distR="0">
            <wp:extent cx="2472690" cy="3633470"/>
            <wp:effectExtent l="0" t="0" r="3810" b="5080"/>
            <wp:docPr id="206792807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928076" name="Picture 11"/>
                    <pic:cNvPicPr>
                      <a:picLocks noChangeAspect="1" noChangeArrowheads="1"/>
                    </pic:cNvPicPr>
                  </pic:nvPicPr>
                  <pic:blipFill>
                    <a:blip r:embed="rId46">
                      <a:extLst>
                        <a:ext uri="{28A0092B-C50C-407E-A947-70E740481C1C}">
                          <a14:useLocalDpi xmlns:a14="http://schemas.microsoft.com/office/drawing/2010/main" val="0"/>
                        </a:ext>
                      </a:extLst>
                    </a:blip>
                    <a:srcRect t="14316"/>
                    <a:stretch>
                      <a:fillRect/>
                    </a:stretch>
                  </pic:blipFill>
                  <pic:spPr>
                    <a:xfrm>
                      <a:off x="0" y="0"/>
                      <a:ext cx="2472690" cy="3633470"/>
                    </a:xfrm>
                    <a:prstGeom prst="rect">
                      <a:avLst/>
                    </a:prstGeom>
                    <a:noFill/>
                    <a:ln>
                      <a:noFill/>
                    </a:ln>
                  </pic:spPr>
                </pic:pic>
              </a:graphicData>
            </a:graphic>
          </wp:inline>
        </w:drawing>
      </w:r>
    </w:p>
    <w:p w14:paraId="62CF11FC">
      <w:pPr>
        <w:pStyle w:val="21"/>
        <w:jc w:val="both"/>
        <w:rPr>
          <w:rFonts w:ascii="Times New Roman" w:hAnsi="Times New Roman" w:cs="Times New Roman"/>
        </w:rPr>
      </w:pPr>
      <w:bookmarkStart w:id="512" w:name="_Toc173252892"/>
      <w:bookmarkStart w:id="513" w:name="_Toc178579620"/>
      <w:r>
        <w:rPr>
          <w:rFonts w:ascii="Times New Roman" w:hAnsi="Times New Roman" w:cs="Times New Roman"/>
        </w:rPr>
        <w:t xml:space="preserve">              Figure </w:t>
      </w:r>
      <w:r>
        <w:rPr>
          <w:rFonts w:ascii="Times New Roman" w:hAnsi="Times New Roman" w:cs="Times New Roman"/>
        </w:rPr>
        <w:fldChar w:fldCharType="begin"/>
      </w:r>
      <w:r>
        <w:rPr>
          <w:rFonts w:ascii="Times New Roman" w:hAnsi="Times New Roman" w:cs="Times New Roman"/>
        </w:rPr>
        <w:instrText xml:space="preserve"> SEQ Figure \* ARABIC </w:instrText>
      </w:r>
      <w:r>
        <w:rPr>
          <w:rFonts w:ascii="Times New Roman" w:hAnsi="Times New Roman" w:cs="Times New Roman"/>
        </w:rPr>
        <w:fldChar w:fldCharType="separate"/>
      </w:r>
      <w:r>
        <w:rPr>
          <w:rFonts w:ascii="Times New Roman" w:hAnsi="Times New Roman" w:cs="Times New Roman"/>
        </w:rPr>
        <w:t>2</w:t>
      </w:r>
      <w:r>
        <w:rPr>
          <w:rFonts w:ascii="Times New Roman" w:hAnsi="Times New Roman" w:cs="Times New Roman"/>
        </w:rPr>
        <w:fldChar w:fldCharType="end"/>
      </w:r>
      <w:r>
        <w:rPr>
          <w:rFonts w:ascii="Times New Roman" w:hAnsi="Times New Roman" w:cs="Times New Roman"/>
        </w:rPr>
        <w:t xml:space="preserve">: </w:t>
      </w:r>
      <w:bookmarkEnd w:id="512"/>
      <w:r>
        <w:rPr>
          <w:rFonts w:ascii="Times New Roman" w:hAnsi="Times New Roman" w:cs="Times New Roman"/>
        </w:rPr>
        <w:t>Plant cover in the proposed project site</w:t>
      </w:r>
      <w:bookmarkEnd w:id="513"/>
    </w:p>
    <w:p w14:paraId="3CF1EA9B">
      <w:pPr>
        <w:pStyle w:val="176"/>
        <w:numPr>
          <w:ilvl w:val="0"/>
          <w:numId w:val="58"/>
        </w:numPr>
        <w:tabs>
          <w:tab w:val="left" w:pos="709"/>
        </w:tabs>
        <w:rPr>
          <w:b/>
          <w:bCs/>
          <w:lang w:eastAsia="ja-JP"/>
        </w:rPr>
      </w:pPr>
      <w:bookmarkStart w:id="514" w:name="_Toc173301445"/>
      <w:bookmarkStart w:id="515" w:name="_Toc178579558"/>
      <w:r>
        <w:rPr>
          <w:b/>
          <w:bCs/>
          <w:lang w:eastAsia="ja-JP"/>
        </w:rPr>
        <w:t>Fauna</w:t>
      </w:r>
      <w:bookmarkEnd w:id="514"/>
      <w:bookmarkEnd w:id="515"/>
      <w:r>
        <w:rPr>
          <w:b/>
          <w:bCs/>
          <w:lang w:eastAsia="ja-JP"/>
        </w:rPr>
        <w:t xml:space="preserve"> </w:t>
      </w:r>
    </w:p>
    <w:p w14:paraId="27C21207">
      <w:pPr>
        <w:widowControl w:val="0"/>
        <w:autoSpaceDE w:val="0"/>
        <w:autoSpaceDN w:val="0"/>
        <w:adjustRightInd w:val="0"/>
        <w:spacing w:line="246" w:lineRule="auto"/>
        <w:ind w:left="720" w:right="46"/>
        <w:jc w:val="both"/>
      </w:pPr>
      <w:r>
        <w:t xml:space="preserve">The project area has few animals.  Marabou storks, goats, sheep, cows, camels among other animals are animals that are present within Alimaow area, which is the proposed project site. </w:t>
      </w:r>
    </w:p>
    <w:p w14:paraId="5B3A6897">
      <w:pPr>
        <w:tabs>
          <w:tab w:val="left" w:pos="709"/>
        </w:tabs>
        <w:ind w:left="709"/>
        <w:jc w:val="both"/>
        <w:rPr>
          <w:lang w:eastAsia="ja-JP"/>
        </w:rPr>
      </w:pPr>
      <w:r>
        <w:rPr>
          <w:lang w:eastAsia="ja-JP"/>
        </w:rPr>
        <w:drawing>
          <wp:inline distT="0" distB="0" distL="0" distR="0">
            <wp:extent cx="5486400" cy="2647950"/>
            <wp:effectExtent l="0" t="0" r="0" b="0"/>
            <wp:docPr id="133158666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86666"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5486400" cy="2647950"/>
                    </a:xfrm>
                    <a:prstGeom prst="rect">
                      <a:avLst/>
                    </a:prstGeom>
                    <a:noFill/>
                    <a:ln>
                      <a:noFill/>
                    </a:ln>
                  </pic:spPr>
                </pic:pic>
              </a:graphicData>
            </a:graphic>
          </wp:inline>
        </w:drawing>
      </w:r>
    </w:p>
    <w:p w14:paraId="6ACB3EB9">
      <w:pPr>
        <w:pStyle w:val="21"/>
        <w:jc w:val="left"/>
        <w:rPr>
          <w:rFonts w:ascii="Times New Roman" w:hAnsi="Times New Roman" w:cs="Times New Roman"/>
        </w:rPr>
      </w:pPr>
      <w:bookmarkStart w:id="516" w:name="_Toc178579621"/>
      <w:r>
        <w:rPr>
          <w:rFonts w:ascii="Times New Roman" w:hAnsi="Times New Roman" w:cs="Times New Roman"/>
        </w:rPr>
        <w:t xml:space="preserve">               Figure </w:t>
      </w:r>
      <w:r>
        <w:rPr>
          <w:rFonts w:ascii="Times New Roman" w:hAnsi="Times New Roman" w:cs="Times New Roman"/>
        </w:rPr>
        <w:fldChar w:fldCharType="begin"/>
      </w:r>
      <w:r>
        <w:rPr>
          <w:rFonts w:ascii="Times New Roman" w:hAnsi="Times New Roman" w:cs="Times New Roman"/>
        </w:rPr>
        <w:instrText xml:space="preserve"> SEQ Figure \* ARABIC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r>
        <w:rPr>
          <w:rFonts w:ascii="Times New Roman" w:hAnsi="Times New Roman" w:cs="Times New Roman"/>
        </w:rPr>
        <w:t>: Marabou stork in the existing dumping site</w:t>
      </w:r>
      <w:bookmarkEnd w:id="516"/>
    </w:p>
    <w:p w14:paraId="1871EDAB"/>
    <w:p w14:paraId="0E6D4997">
      <w:pPr>
        <w:pStyle w:val="157"/>
      </w:pPr>
      <w:bookmarkStart w:id="517" w:name="_Toc179504027"/>
      <w:r>
        <w:t>Description of the Works</w:t>
      </w:r>
      <w:bookmarkEnd w:id="517"/>
    </w:p>
    <w:p w14:paraId="638E50D5">
      <w:pPr>
        <w:widowControl w:val="0"/>
        <w:autoSpaceDE w:val="0"/>
        <w:autoSpaceDN w:val="0"/>
        <w:adjustRightInd w:val="0"/>
        <w:spacing w:line="246" w:lineRule="auto"/>
        <w:ind w:left="720" w:right="46"/>
        <w:jc w:val="both"/>
      </w:pPr>
      <w:r>
        <w:t>The Project Site is within Wajir County. The Works are to be carried out in Wajir Town.</w:t>
      </w:r>
    </w:p>
    <w:p w14:paraId="31429D03">
      <w:pPr>
        <w:widowControl w:val="0"/>
        <w:autoSpaceDE w:val="0"/>
        <w:autoSpaceDN w:val="0"/>
        <w:adjustRightInd w:val="0"/>
        <w:spacing w:line="246" w:lineRule="auto"/>
        <w:ind w:left="720" w:right="46"/>
        <w:jc w:val="both"/>
      </w:pPr>
    </w:p>
    <w:p w14:paraId="05F0038D">
      <w:pPr>
        <w:widowControl w:val="0"/>
        <w:autoSpaceDE w:val="0"/>
        <w:autoSpaceDN w:val="0"/>
        <w:adjustRightInd w:val="0"/>
        <w:spacing w:line="246" w:lineRule="auto"/>
        <w:ind w:left="720" w:right="46"/>
        <w:jc w:val="both"/>
      </w:pPr>
      <w:r>
        <w:t>The Scope of Works at the Wajir Faecal Sludge Treatment Plant (FSTP) comprise the following:</w:t>
      </w:r>
    </w:p>
    <w:p w14:paraId="63C4F6DC">
      <w:pPr>
        <w:pStyle w:val="176"/>
        <w:numPr>
          <w:ilvl w:val="0"/>
          <w:numId w:val="59"/>
        </w:numPr>
        <w:tabs>
          <w:tab w:val="clear" w:pos="1080"/>
        </w:tabs>
        <w:spacing w:before="120" w:after="120"/>
        <w:ind w:left="1094" w:hanging="547"/>
        <w:contextualSpacing w:val="0"/>
        <w:rPr>
          <w:szCs w:val="24"/>
        </w:rPr>
      </w:pPr>
      <w:r>
        <w:rPr>
          <w:szCs w:val="24"/>
        </w:rPr>
        <w:t>New pretreatment works (inlet works) - 1No. Inlet works/pretreatment works with 49m³/day capacity. The inlet/pretreatment works include sludge discharge bay, sludge holding basin with a manual screening system and flow distribution chambers.</w:t>
      </w:r>
    </w:p>
    <w:p w14:paraId="163F506F">
      <w:pPr>
        <w:pStyle w:val="176"/>
        <w:numPr>
          <w:ilvl w:val="0"/>
          <w:numId w:val="59"/>
        </w:numPr>
        <w:tabs>
          <w:tab w:val="clear" w:pos="1080"/>
        </w:tabs>
        <w:spacing w:before="120" w:after="120"/>
        <w:ind w:left="1094" w:hanging="547"/>
        <w:contextualSpacing w:val="0"/>
        <w:rPr>
          <w:szCs w:val="24"/>
        </w:rPr>
      </w:pPr>
      <w:r>
        <w:rPr>
          <w:szCs w:val="24"/>
        </w:rPr>
        <w:t>2No. mixed sludge pumping stations to transfer mixed (septic and bucket) sludge from the holding basins to the sludge drying beds.</w:t>
      </w:r>
    </w:p>
    <w:p w14:paraId="15FD6521">
      <w:pPr>
        <w:pStyle w:val="176"/>
        <w:numPr>
          <w:ilvl w:val="0"/>
          <w:numId w:val="59"/>
        </w:numPr>
        <w:tabs>
          <w:tab w:val="clear" w:pos="1080"/>
        </w:tabs>
        <w:spacing w:before="120" w:after="120"/>
        <w:ind w:left="1094" w:hanging="547"/>
        <w:contextualSpacing w:val="0"/>
        <w:rPr>
          <w:szCs w:val="24"/>
        </w:rPr>
      </w:pPr>
      <w:r>
        <w:rPr>
          <w:szCs w:val="24"/>
        </w:rPr>
        <w:t>New sludge drying beds (13No. 25.4m by 25.4m by 0.4m filter bed to dewater the sludge removed from the sludge holding basins)</w:t>
      </w:r>
    </w:p>
    <w:p w14:paraId="351D5C4F">
      <w:pPr>
        <w:pStyle w:val="176"/>
        <w:numPr>
          <w:ilvl w:val="0"/>
          <w:numId w:val="59"/>
        </w:numPr>
        <w:tabs>
          <w:tab w:val="clear" w:pos="1080"/>
        </w:tabs>
        <w:spacing w:before="120" w:after="120"/>
        <w:ind w:left="1094" w:hanging="547"/>
        <w:contextualSpacing w:val="0"/>
        <w:rPr>
          <w:szCs w:val="24"/>
        </w:rPr>
      </w:pPr>
      <w:r>
        <w:rPr>
          <w:szCs w:val="24"/>
        </w:rPr>
        <w:t>New biosolids drying slabs (40No. 7m by 7m for extended drying and sanitization of the dewatered sludge removed from the sludge drying beds)</w:t>
      </w:r>
    </w:p>
    <w:p w14:paraId="426B1AD1">
      <w:pPr>
        <w:pStyle w:val="176"/>
        <w:numPr>
          <w:ilvl w:val="0"/>
          <w:numId w:val="59"/>
        </w:numPr>
        <w:tabs>
          <w:tab w:val="clear" w:pos="1080"/>
        </w:tabs>
        <w:spacing w:before="120" w:after="120"/>
        <w:ind w:left="1094" w:hanging="547"/>
        <w:contextualSpacing w:val="0"/>
        <w:rPr>
          <w:szCs w:val="24"/>
        </w:rPr>
      </w:pPr>
      <w:r>
        <w:rPr>
          <w:szCs w:val="24"/>
        </w:rPr>
        <w:t>Earth embankment anaerobic ponds consisting of- 2No. primary anaerobic ponds in parallel each with capacity 728m³ wet volume (size of each is 23.6 m by 23.6 m, and depth 3.5 m at top crest level)</w:t>
      </w:r>
    </w:p>
    <w:p w14:paraId="21F08EC8">
      <w:pPr>
        <w:pStyle w:val="176"/>
        <w:numPr>
          <w:ilvl w:val="0"/>
          <w:numId w:val="59"/>
        </w:numPr>
        <w:tabs>
          <w:tab w:val="clear" w:pos="1080"/>
        </w:tabs>
        <w:spacing w:before="120" w:after="120"/>
        <w:ind w:left="1094" w:hanging="547"/>
        <w:contextualSpacing w:val="0"/>
        <w:rPr>
          <w:szCs w:val="24"/>
        </w:rPr>
      </w:pPr>
      <w:r>
        <w:rPr>
          <w:szCs w:val="24"/>
        </w:rPr>
        <w:t>Earth embankment anaerobic ponds consisting of- 2No. secondary anaerobic ponds in parallel each with capacity 218m³ wet volume (size of each is 14.5m by 13.5m, and depth 3.5 m at top crest level)</w:t>
      </w:r>
    </w:p>
    <w:p w14:paraId="24A253BE">
      <w:pPr>
        <w:pStyle w:val="176"/>
        <w:numPr>
          <w:ilvl w:val="0"/>
          <w:numId w:val="59"/>
        </w:numPr>
        <w:tabs>
          <w:tab w:val="clear" w:pos="1080"/>
        </w:tabs>
        <w:spacing w:before="120" w:after="120"/>
        <w:ind w:left="1094" w:hanging="547"/>
        <w:contextualSpacing w:val="0"/>
        <w:rPr>
          <w:szCs w:val="24"/>
        </w:rPr>
      </w:pPr>
      <w:r>
        <w:rPr>
          <w:szCs w:val="24"/>
        </w:rPr>
        <w:t>2No. Earth embankment facultative ponds in parallel each with capacity 1240 m³ wet volume (size of each is 42.1m by 23.1m, and depth 2m at top crest level)</w:t>
      </w:r>
    </w:p>
    <w:p w14:paraId="027365A3">
      <w:pPr>
        <w:pStyle w:val="176"/>
        <w:numPr>
          <w:ilvl w:val="0"/>
          <w:numId w:val="59"/>
        </w:numPr>
        <w:tabs>
          <w:tab w:val="clear" w:pos="1080"/>
        </w:tabs>
        <w:spacing w:before="120" w:after="120"/>
        <w:ind w:left="1094" w:hanging="547"/>
        <w:contextualSpacing w:val="0"/>
        <w:rPr>
          <w:szCs w:val="24"/>
        </w:rPr>
      </w:pPr>
      <w:r>
        <w:rPr>
          <w:szCs w:val="24"/>
        </w:rPr>
        <w:t>2No. Earth embankment maturation ponds in series each with capacity 531m³ wet volume (size of each is 27.1m by 27.1m, and depth 1.5m at top crest level)</w:t>
      </w:r>
    </w:p>
    <w:p w14:paraId="2D488A0F">
      <w:pPr>
        <w:pStyle w:val="176"/>
        <w:numPr>
          <w:ilvl w:val="0"/>
          <w:numId w:val="59"/>
        </w:numPr>
        <w:tabs>
          <w:tab w:val="clear" w:pos="1080"/>
        </w:tabs>
        <w:spacing w:before="120" w:after="120"/>
        <w:ind w:left="1094" w:hanging="547"/>
        <w:contextualSpacing w:val="0"/>
        <w:rPr>
          <w:szCs w:val="24"/>
        </w:rPr>
      </w:pPr>
      <w:bookmarkStart w:id="518" w:name="_Hlk178524794"/>
      <w:r>
        <w:rPr>
          <w:szCs w:val="24"/>
        </w:rPr>
        <w:t>4No. Earth embankment horizontal flow constructed wetlands in parallel each with capacity 448m</w:t>
      </w:r>
      <w:r>
        <w:rPr>
          <w:szCs w:val="24"/>
          <w:vertAlign w:val="superscript"/>
        </w:rPr>
        <w:t>2</w:t>
      </w:r>
      <w:r>
        <w:rPr>
          <w:szCs w:val="24"/>
        </w:rPr>
        <w:t xml:space="preserve"> wet volume (size of each is 14m by 8m, and depth 0.5m)</w:t>
      </w:r>
    </w:p>
    <w:bookmarkEnd w:id="518"/>
    <w:p w14:paraId="200EC7E1">
      <w:pPr>
        <w:pStyle w:val="176"/>
        <w:numPr>
          <w:ilvl w:val="0"/>
          <w:numId w:val="59"/>
        </w:numPr>
        <w:tabs>
          <w:tab w:val="clear" w:pos="1080"/>
        </w:tabs>
        <w:spacing w:before="120" w:after="120"/>
        <w:ind w:left="1094" w:hanging="547"/>
        <w:contextualSpacing w:val="0"/>
        <w:rPr>
          <w:szCs w:val="24"/>
        </w:rPr>
      </w:pPr>
      <w:r>
        <w:rPr>
          <w:szCs w:val="24"/>
        </w:rPr>
        <w:t>Operations building, incinerator shed with manually fed incinerator, generator house and guard house</w:t>
      </w:r>
    </w:p>
    <w:p w14:paraId="7216B5EA">
      <w:pPr>
        <w:pStyle w:val="176"/>
        <w:numPr>
          <w:ilvl w:val="0"/>
          <w:numId w:val="59"/>
        </w:numPr>
        <w:tabs>
          <w:tab w:val="clear" w:pos="1080"/>
        </w:tabs>
        <w:spacing w:before="120" w:after="120"/>
        <w:contextualSpacing w:val="0"/>
        <w:rPr>
          <w:szCs w:val="24"/>
        </w:rPr>
      </w:pPr>
      <w:r>
        <w:rPr>
          <w:szCs w:val="24"/>
        </w:rPr>
        <w:t>Site works (double leaf gate, 3km chain-link fence, 1.1km of 3m wide and 1.2km of 6m wide (total 2.3km) gravel road and paved parking areas.</w:t>
      </w:r>
    </w:p>
    <w:p w14:paraId="6C4DC52C">
      <w:pPr>
        <w:pStyle w:val="176"/>
        <w:numPr>
          <w:ilvl w:val="0"/>
          <w:numId w:val="59"/>
        </w:numPr>
        <w:tabs>
          <w:tab w:val="clear" w:pos="1080"/>
        </w:tabs>
        <w:spacing w:before="120" w:after="120"/>
        <w:ind w:left="1094" w:hanging="547"/>
        <w:contextualSpacing w:val="0"/>
        <w:rPr>
          <w:szCs w:val="24"/>
        </w:rPr>
      </w:pPr>
      <w:r>
        <w:rPr>
          <w:szCs w:val="24"/>
        </w:rPr>
        <w:t>Electromechanical works – including pipes, pumps, valves, switchgear, cabling, and controls</w:t>
      </w:r>
    </w:p>
    <w:p w14:paraId="1EA43256"/>
    <w:p w14:paraId="7909DBE9">
      <w:pPr>
        <w:pStyle w:val="157"/>
      </w:pPr>
      <w:bookmarkStart w:id="519" w:name="_Toc179504028"/>
      <w:r>
        <w:t>Specification</w:t>
      </w:r>
      <w:bookmarkEnd w:id="497"/>
      <w:bookmarkEnd w:id="498"/>
      <w:bookmarkEnd w:id="499"/>
      <w:bookmarkEnd w:id="500"/>
      <w:bookmarkEnd w:id="501"/>
      <w:r>
        <w:t>s</w:t>
      </w:r>
      <w:bookmarkEnd w:id="519"/>
    </w:p>
    <w:p w14:paraId="186FAC32">
      <w:pPr>
        <w:pStyle w:val="176"/>
        <w:numPr>
          <w:ilvl w:val="0"/>
          <w:numId w:val="60"/>
        </w:numPr>
      </w:pPr>
      <w:bookmarkStart w:id="520" w:name="_Toc402940666"/>
      <w:bookmarkStart w:id="521" w:name="_Toc403115212"/>
      <w:r>
        <w:t>The Specifications to be used for the Works are the General and Technical Specifications given in Volume II of the Bidding Documents.</w:t>
      </w:r>
      <w:bookmarkEnd w:id="520"/>
      <w:bookmarkEnd w:id="521"/>
    </w:p>
    <w:p w14:paraId="0F2DC818">
      <w:pPr>
        <w:pStyle w:val="176"/>
        <w:ind w:left="450"/>
        <w:rPr>
          <w:highlight w:val="yellow"/>
        </w:rPr>
      </w:pPr>
    </w:p>
    <w:p w14:paraId="6A61F098">
      <w:pPr>
        <w:pStyle w:val="176"/>
        <w:numPr>
          <w:ilvl w:val="0"/>
          <w:numId w:val="60"/>
        </w:numPr>
      </w:pPr>
      <w:r>
        <w:t>Standards, brand names, catalog numbers or similar classifications provided in the Specifications are indicative of performance requirements and offers which have similar characteristics and which provide performance and quality equal or higher to the performance requirements specified would be accepted.</w:t>
      </w:r>
    </w:p>
    <w:p w14:paraId="4A57FA0B"/>
    <w:p w14:paraId="2C205762">
      <w:pPr>
        <w:pStyle w:val="176"/>
        <w:numPr>
          <w:ilvl w:val="0"/>
          <w:numId w:val="60"/>
        </w:numPr>
      </w:pPr>
      <w:r>
        <w:t>The Terms “The Engineer” (or “The Resident Engineer”) and “Engineer’s Representative” have the same meaning as “The Project Manager” and “The Project Manager’s Representative” respectively.</w:t>
      </w:r>
    </w:p>
    <w:p w14:paraId="6FC506D7"/>
    <w:p w14:paraId="74A467CE">
      <w:pPr>
        <w:rPr>
          <w:b/>
        </w:rPr>
      </w:pPr>
    </w:p>
    <w:p w14:paraId="622F33DC">
      <w:pPr>
        <w:rPr>
          <w:b/>
        </w:rPr>
      </w:pPr>
      <w:r>
        <w:rPr>
          <w:b/>
        </w:rPr>
        <w:t>THE DETAILED SPECIFICATIONS ARE GIVEN IN VOLUME I</w:t>
      </w:r>
      <w:r>
        <w:rPr>
          <w:rFonts w:hint="default"/>
          <w:b/>
          <w:lang w:val="en-US"/>
        </w:rPr>
        <w:t>V</w:t>
      </w:r>
      <w:r>
        <w:rPr>
          <w:b/>
        </w:rPr>
        <w:t xml:space="preserve"> OF THE BIDDING DOCUMENTS</w:t>
      </w:r>
    </w:p>
    <w:p w14:paraId="47E559A9">
      <w:pPr>
        <w:spacing w:after="200"/>
        <w:jc w:val="both"/>
        <w:rPr>
          <w:i/>
        </w:rPr>
      </w:pPr>
    </w:p>
    <w:p w14:paraId="28473961">
      <w:pPr>
        <w:pStyle w:val="75"/>
        <w:spacing w:after="0" w:line="240" w:lineRule="auto"/>
        <w:ind w:left="180" w:right="288"/>
      </w:pPr>
    </w:p>
    <w:p w14:paraId="4F710F16">
      <w:pPr>
        <w:pStyle w:val="157"/>
        <w:rPr>
          <w:szCs w:val="20"/>
        </w:rPr>
      </w:pPr>
      <w:r>
        <w:br w:type="page"/>
      </w:r>
      <w:bookmarkStart w:id="522" w:name="_Toc473887359"/>
      <w:bookmarkStart w:id="523" w:name="_Toc179504029"/>
      <w:bookmarkStart w:id="524" w:name="_Toc466464319"/>
      <w:r>
        <w:t xml:space="preserve">Environmental and Social </w:t>
      </w:r>
      <w:bookmarkEnd w:id="522"/>
      <w:r>
        <w:t>Requirements</w:t>
      </w:r>
      <w:bookmarkEnd w:id="523"/>
      <w:r>
        <w:t xml:space="preserve"> </w:t>
      </w:r>
    </w:p>
    <w:p w14:paraId="44AD80F6">
      <w:pPr>
        <w:spacing w:after="120"/>
        <w:jc w:val="both"/>
        <w:rPr>
          <w:i/>
          <w:szCs w:val="20"/>
        </w:rPr>
      </w:pPr>
    </w:p>
    <w:p w14:paraId="224D5429">
      <w:pPr>
        <w:pStyle w:val="3"/>
        <w:numPr>
          <w:ilvl w:val="1"/>
          <w:numId w:val="0"/>
        </w:numPr>
        <w:tabs>
          <w:tab w:val="left" w:pos="0"/>
        </w:tabs>
        <w:spacing w:line="260" w:lineRule="atLeast"/>
        <w:jc w:val="left"/>
        <w:rPr>
          <w:rFonts w:ascii="Times New Roman" w:hAnsi="Times New Roman" w:cs="Times New Roman"/>
          <w:lang w:val="en-GB"/>
        </w:rPr>
      </w:pPr>
      <w:r>
        <w:rPr>
          <w:rFonts w:ascii="Times New Roman" w:hAnsi="Times New Roman" w:cs="Times New Roman"/>
          <w:lang w:val="en-GB"/>
        </w:rPr>
        <w:t>Environmental and Social Policy</w:t>
      </w:r>
    </w:p>
    <w:p w14:paraId="0BA25B1A">
      <w:pPr>
        <w:rPr>
          <w:lang w:val="en-GB"/>
        </w:rPr>
      </w:pPr>
      <w:r>
        <w:rPr>
          <w:lang w:val="en-GB"/>
        </w:rPr>
        <w:t>The following environmental, social, health and safety policies will apply to the project.</w:t>
      </w:r>
    </w:p>
    <w:p w14:paraId="6E8DA7E2">
      <w:pPr>
        <w:rPr>
          <w:lang w:val="en-GB"/>
        </w:rPr>
      </w:pPr>
    </w:p>
    <w:p w14:paraId="4B6E6A78">
      <w:pPr>
        <w:pStyle w:val="176"/>
        <w:numPr>
          <w:ilvl w:val="0"/>
          <w:numId w:val="61"/>
        </w:numPr>
        <w:rPr>
          <w:lang w:val="en-GB"/>
        </w:rPr>
      </w:pPr>
      <w:r>
        <w:rPr>
          <w:lang w:val="en-GB"/>
        </w:rPr>
        <w:t>Wajir Water and Sewerage Company Limited (WAJWASCO) Environmental Policy (refer to end of this section)</w:t>
      </w:r>
    </w:p>
    <w:p w14:paraId="65F76C43">
      <w:pPr>
        <w:pStyle w:val="176"/>
        <w:ind w:left="360"/>
        <w:rPr>
          <w:lang w:val="en-GB"/>
        </w:rPr>
      </w:pPr>
    </w:p>
    <w:p w14:paraId="60012B0B">
      <w:pPr>
        <w:pStyle w:val="176"/>
        <w:numPr>
          <w:ilvl w:val="0"/>
          <w:numId w:val="61"/>
        </w:numPr>
        <w:rPr>
          <w:lang w:val="en-GB"/>
        </w:rPr>
      </w:pPr>
      <w:r>
        <w:rPr>
          <w:lang w:val="en-GB"/>
        </w:rPr>
        <w:t xml:space="preserve">In addition, the project and </w:t>
      </w:r>
      <w:r>
        <w:t xml:space="preserve">WAJWASCO </w:t>
      </w:r>
      <w:r>
        <w:rPr>
          <w:lang w:val="en-GB"/>
        </w:rPr>
        <w:t>will apply the following policy goals which were developed based on the guidance provided in the Standard Bidding Documents:</w:t>
      </w:r>
    </w:p>
    <w:p w14:paraId="27DD23A2">
      <w:pPr>
        <w:pStyle w:val="176"/>
        <w:rPr>
          <w:lang w:val="en-GB"/>
        </w:rPr>
      </w:pPr>
    </w:p>
    <w:p w14:paraId="69ACC123">
      <w:pPr>
        <w:pStyle w:val="176"/>
        <w:numPr>
          <w:ilvl w:val="1"/>
          <w:numId w:val="61"/>
        </w:numPr>
        <w:rPr>
          <w:lang w:val="en-GB"/>
        </w:rPr>
      </w:pPr>
      <w:r>
        <w:rPr>
          <w:lang w:val="en-GB"/>
        </w:rPr>
        <w:t>integrate environmental protection, occupational and community health and safety, gender, equality, child protection, vulnerable people (including those with disabilities), sexual harassment, gender-based violence (GBV), sexual exploitation and abuse (SEA), HIV/AIDS awareness and prevention and wide stakeholder engagement in the planning processes, programs, and activities of the parties involved in the execution of the Works.</w:t>
      </w:r>
    </w:p>
    <w:p w14:paraId="237A39E7">
      <w:pPr>
        <w:pStyle w:val="176"/>
        <w:ind w:left="1080"/>
        <w:rPr>
          <w:lang w:val="en-GB"/>
        </w:rPr>
      </w:pPr>
    </w:p>
    <w:p w14:paraId="230C12C2">
      <w:pPr>
        <w:pStyle w:val="176"/>
        <w:numPr>
          <w:ilvl w:val="1"/>
          <w:numId w:val="61"/>
        </w:numPr>
        <w:rPr>
          <w:lang w:val="en-GB"/>
        </w:rPr>
      </w:pPr>
      <w:r>
        <w:rPr>
          <w:lang w:val="en-GB"/>
        </w:rPr>
        <w:t>the term “child” / “children” means any person(s) under the age of 18 years.</w:t>
      </w:r>
    </w:p>
    <w:p w14:paraId="21386D07">
      <w:pPr>
        <w:pStyle w:val="176"/>
        <w:rPr>
          <w:lang w:val="en-GB"/>
        </w:rPr>
      </w:pPr>
    </w:p>
    <w:p w14:paraId="0CBB6323">
      <w:pPr>
        <w:pStyle w:val="176"/>
        <w:numPr>
          <w:ilvl w:val="1"/>
          <w:numId w:val="61"/>
        </w:numPr>
        <w:rPr>
          <w:lang w:val="en-GB"/>
        </w:rPr>
      </w:pPr>
      <w:r>
        <w:rPr>
          <w:lang w:val="en-GB"/>
        </w:rPr>
        <w:t>enable reporting of compliance with the policy in accordance with the Particular Conditions of the Contract Sub-Clause 26.2 and Appendix B to the General Conditions of Contract.</w:t>
      </w:r>
    </w:p>
    <w:p w14:paraId="0BD6F508">
      <w:pPr>
        <w:pStyle w:val="176"/>
        <w:rPr>
          <w:lang w:val="en-GB"/>
        </w:rPr>
      </w:pPr>
    </w:p>
    <w:p w14:paraId="5082FA0A">
      <w:pPr>
        <w:pStyle w:val="176"/>
        <w:numPr>
          <w:ilvl w:val="1"/>
          <w:numId w:val="61"/>
        </w:numPr>
        <w:rPr>
          <w:lang w:val="en-GB"/>
        </w:rPr>
      </w:pPr>
      <w:r>
        <w:rPr>
          <w:lang w:val="en-GB"/>
        </w:rPr>
        <w:t>apply good international industry practice to protect and conserve the natural environment and to minimize unavoidable impacts;</w:t>
      </w:r>
    </w:p>
    <w:p w14:paraId="4BBF2C12">
      <w:pPr>
        <w:pStyle w:val="176"/>
        <w:rPr>
          <w:lang w:val="en-GB"/>
        </w:rPr>
      </w:pPr>
    </w:p>
    <w:p w14:paraId="000A9199">
      <w:pPr>
        <w:pStyle w:val="176"/>
        <w:numPr>
          <w:ilvl w:val="1"/>
          <w:numId w:val="61"/>
        </w:numPr>
        <w:rPr>
          <w:lang w:val="en-GB"/>
        </w:rPr>
      </w:pPr>
      <w:r>
        <w:rPr>
          <w:lang w:val="en-GB"/>
        </w:rPr>
        <w:t>provide and maintain a healthy and safe work environment and safe systems of work;</w:t>
      </w:r>
    </w:p>
    <w:p w14:paraId="30805301">
      <w:pPr>
        <w:pStyle w:val="176"/>
        <w:rPr>
          <w:lang w:val="en-GB"/>
        </w:rPr>
      </w:pPr>
    </w:p>
    <w:p w14:paraId="45FD1E96">
      <w:pPr>
        <w:pStyle w:val="176"/>
        <w:numPr>
          <w:ilvl w:val="1"/>
          <w:numId w:val="61"/>
        </w:numPr>
        <w:rPr>
          <w:lang w:val="en-GB"/>
        </w:rPr>
      </w:pPr>
      <w:r>
        <w:rPr>
          <w:lang w:val="en-GB"/>
        </w:rPr>
        <w:t>protect the health and safety of local communities and users, with particular concern for those who are disabled, elderly, or otherwise vulnerable;</w:t>
      </w:r>
    </w:p>
    <w:p w14:paraId="1A8B4413">
      <w:pPr>
        <w:pStyle w:val="176"/>
        <w:rPr>
          <w:lang w:val="en-GB"/>
        </w:rPr>
      </w:pPr>
    </w:p>
    <w:p w14:paraId="6BBF4FBC">
      <w:pPr>
        <w:pStyle w:val="176"/>
        <w:numPr>
          <w:ilvl w:val="1"/>
          <w:numId w:val="61"/>
        </w:numPr>
        <w:rPr>
          <w:lang w:val="en-GB"/>
        </w:rPr>
      </w:pPr>
      <w:r>
        <w:rPr>
          <w:lang w:val="en-GB"/>
        </w:rPr>
        <w:t>ensure that terms of employment and working conditions of all workers engaged in the Works meet the requirements of the ILO labour conventions to which the Kenya is a signatory;</w:t>
      </w:r>
    </w:p>
    <w:p w14:paraId="2562E066">
      <w:pPr>
        <w:pStyle w:val="176"/>
        <w:rPr>
          <w:lang w:val="en-GB"/>
        </w:rPr>
      </w:pPr>
    </w:p>
    <w:p w14:paraId="5D4781B2">
      <w:pPr>
        <w:pStyle w:val="176"/>
        <w:numPr>
          <w:ilvl w:val="1"/>
          <w:numId w:val="61"/>
        </w:numPr>
        <w:rPr>
          <w:lang w:val="en-GB"/>
        </w:rPr>
      </w:pPr>
      <w:r>
        <w:rPr>
          <w:lang w:val="en-GB"/>
        </w:rPr>
        <w:t xml:space="preserve">be intolerant of and enforce disciplinary measures for illegal activities. To be intolerant of, and enforce disciplinary measures for GBV, inhumane treatment, sexual activity with children, and sexual harassment; </w:t>
      </w:r>
    </w:p>
    <w:p w14:paraId="1B475EEF">
      <w:pPr>
        <w:pStyle w:val="176"/>
        <w:rPr>
          <w:lang w:val="en-GB"/>
        </w:rPr>
      </w:pPr>
    </w:p>
    <w:p w14:paraId="1C11C56D">
      <w:pPr>
        <w:pStyle w:val="176"/>
        <w:numPr>
          <w:ilvl w:val="1"/>
          <w:numId w:val="61"/>
        </w:numPr>
        <w:rPr>
          <w:lang w:val="en-GB"/>
        </w:rPr>
      </w:pPr>
      <w:r>
        <w:rPr>
          <w:lang w:val="en-GB"/>
        </w:rPr>
        <w:t>incorporate a gender perspective and provide an enabling environment where women and men have equal opportunity to participate in, and benefit from, planning and development of the works;</w:t>
      </w:r>
    </w:p>
    <w:p w14:paraId="70CFAED3">
      <w:pPr>
        <w:pStyle w:val="176"/>
        <w:rPr>
          <w:lang w:val="en-GB"/>
        </w:rPr>
      </w:pPr>
    </w:p>
    <w:p w14:paraId="6A72D8C0">
      <w:pPr>
        <w:pStyle w:val="176"/>
        <w:numPr>
          <w:ilvl w:val="1"/>
          <w:numId w:val="61"/>
        </w:numPr>
        <w:ind w:left="1440"/>
        <w:rPr>
          <w:lang w:val="en-GB"/>
        </w:rPr>
      </w:pPr>
      <w:r>
        <w:rPr>
          <w:lang w:val="en-GB"/>
        </w:rPr>
        <w:t>work co-operatively, including with end users of the Works, relevant authorities, contractors and local communities;</w:t>
      </w:r>
    </w:p>
    <w:p w14:paraId="52F22094">
      <w:pPr>
        <w:pStyle w:val="176"/>
        <w:ind w:left="1080"/>
        <w:rPr>
          <w:lang w:val="en-GB"/>
        </w:rPr>
      </w:pPr>
    </w:p>
    <w:p w14:paraId="2DD8BE02">
      <w:pPr>
        <w:pStyle w:val="176"/>
        <w:numPr>
          <w:ilvl w:val="1"/>
          <w:numId w:val="61"/>
        </w:numPr>
        <w:ind w:left="1440"/>
        <w:rPr>
          <w:lang w:val="en-GB"/>
        </w:rPr>
      </w:pPr>
      <w:r>
        <w:rPr>
          <w:lang w:val="en-GB"/>
        </w:rPr>
        <w:t>engage with and listen to affected persons and organisations and be responsive to their concerns, with special regard for vulnerable, disabled, and elderly people;</w:t>
      </w:r>
    </w:p>
    <w:p w14:paraId="6EFE304F">
      <w:pPr>
        <w:pStyle w:val="176"/>
        <w:ind w:left="1080"/>
        <w:rPr>
          <w:lang w:val="en-GB"/>
        </w:rPr>
      </w:pPr>
    </w:p>
    <w:p w14:paraId="289041E2">
      <w:pPr>
        <w:pStyle w:val="176"/>
        <w:numPr>
          <w:ilvl w:val="1"/>
          <w:numId w:val="61"/>
        </w:numPr>
        <w:ind w:left="1440"/>
        <w:rPr>
          <w:lang w:val="en-GB"/>
        </w:rPr>
      </w:pPr>
      <w:r>
        <w:rPr>
          <w:lang w:val="en-GB"/>
        </w:rPr>
        <w:t>provide an environment that fosters the exchange of information, views, and ideas that is free of any fear of retaliation and protects whistle-blowers;</w:t>
      </w:r>
    </w:p>
    <w:p w14:paraId="413C4641">
      <w:pPr>
        <w:pStyle w:val="176"/>
        <w:ind w:left="1080"/>
        <w:rPr>
          <w:lang w:val="en-GB"/>
        </w:rPr>
      </w:pPr>
    </w:p>
    <w:p w14:paraId="40600C92">
      <w:pPr>
        <w:pStyle w:val="176"/>
        <w:numPr>
          <w:ilvl w:val="1"/>
          <w:numId w:val="61"/>
        </w:numPr>
        <w:ind w:left="1440"/>
        <w:rPr>
          <w:lang w:val="en-GB"/>
        </w:rPr>
      </w:pPr>
      <w:r>
        <w:rPr>
          <w:lang w:val="en-GB"/>
        </w:rPr>
        <w:t>minimise the risk of HIV transmission and to mitigate the effects of HIV/AIDS associated with the execution of the Works;</w:t>
      </w:r>
    </w:p>
    <w:p w14:paraId="3FCF1887">
      <w:pPr>
        <w:rPr>
          <w:lang w:val="en-GB"/>
        </w:rPr>
      </w:pPr>
    </w:p>
    <w:p w14:paraId="06ECC492">
      <w:pPr>
        <w:tabs>
          <w:tab w:val="left" w:pos="0"/>
        </w:tabs>
        <w:jc w:val="both"/>
        <w:rPr>
          <w:b/>
          <w:bCs/>
          <w:lang w:val="en-GB"/>
        </w:rPr>
      </w:pPr>
      <w:r>
        <w:rPr>
          <w:b/>
          <w:bCs/>
          <w:lang w:val="en-GB"/>
        </w:rPr>
        <w:t>Environmental and Social Management Plan and Requirements</w:t>
      </w:r>
    </w:p>
    <w:p w14:paraId="443DBA21">
      <w:pPr>
        <w:jc w:val="both"/>
        <w:rPr>
          <w:lang w:val="en-GB"/>
        </w:rPr>
      </w:pPr>
    </w:p>
    <w:p w14:paraId="0F1A5A75">
      <w:pPr>
        <w:pStyle w:val="176"/>
        <w:numPr>
          <w:ilvl w:val="0"/>
          <w:numId w:val="62"/>
        </w:numPr>
      </w:pPr>
      <w:r>
        <w:t>The Contractor’s Environmental and Social Management Plan (ESMP) is comprehensive and covers all environmental, social, health and safety aspects as addressed by the project’s Environmental and Social Impact Assessment (ESIA)/Environmental and Social Management Plan (ESMP) and Resettlement Action Plan (RAP); Social Management Framework (ESMF) and the Resettlement Policy Framework (RPF); as well as conditions provided in the different permits, licenses, and approvals issued. WAJWASCO has the duty to ensure that the Contractor and Supervisor Engineer are assisted to understand their responsibility to operate within the framework of the measures defined in the ESIA/ESMP and ESMF as well as the RPF guidelines on land acquisition. WAJWASCO will have to ensure that the Contractor has adequate resources for management of environmental and social aspects.</w:t>
      </w:r>
    </w:p>
    <w:p w14:paraId="010D0583">
      <w:pPr>
        <w:pStyle w:val="176"/>
        <w:ind w:left="360"/>
      </w:pPr>
    </w:p>
    <w:p w14:paraId="6B991F3F">
      <w:pPr>
        <w:pStyle w:val="176"/>
        <w:numPr>
          <w:ilvl w:val="0"/>
          <w:numId w:val="62"/>
        </w:numPr>
      </w:pPr>
      <w:r>
        <w:rPr>
          <w:lang w:val="en-GB"/>
        </w:rPr>
        <w:t xml:space="preserve">Environmental, Social, Health and Safety Management Strategies and Implementation Plans (ESHS-MSIP) is required by ITB 11.1 (h) of the Bid Data Sheet.  In developing these strategies and plans, the Bidder shall have regard to the ESHS provisions included in </w:t>
      </w:r>
      <w:r>
        <w:t>the project’s Environmental and Social Impact Assessment (ESIA)/Environmental and Social Management Plan (ESMP) and Resettlement Action Plan (RAP); Social Management Framework (ESMF) and the Resettlement Policy Framework (RPF); as well as conditions provided in the different permits, licenses, and approvals issued</w:t>
      </w:r>
    </w:p>
    <w:p w14:paraId="6C50979D">
      <w:pPr>
        <w:pStyle w:val="176"/>
      </w:pPr>
    </w:p>
    <w:p w14:paraId="6AD564C8">
      <w:pPr>
        <w:tabs>
          <w:tab w:val="left" w:pos="2970"/>
        </w:tabs>
        <w:spacing w:after="120"/>
        <w:ind w:left="2970" w:hanging="2610"/>
        <w:rPr>
          <w:b/>
          <w:smallCaps/>
          <w:sz w:val="28"/>
          <w:szCs w:val="28"/>
        </w:rPr>
      </w:pPr>
      <w:r>
        <w:rPr>
          <w:b/>
          <w:smallCaps/>
          <w:sz w:val="28"/>
          <w:szCs w:val="28"/>
        </w:rPr>
        <w:t>Minimum Requirements for the Bidder’s Code of Conduct</w:t>
      </w:r>
    </w:p>
    <w:p w14:paraId="17884B83">
      <w:pPr>
        <w:widowControl w:val="0"/>
        <w:autoSpaceDE w:val="0"/>
        <w:autoSpaceDN w:val="0"/>
        <w:ind w:left="360"/>
        <w:jc w:val="both"/>
        <w:rPr>
          <w:rFonts w:eastAsia="Calibri"/>
          <w:szCs w:val="22"/>
        </w:rPr>
      </w:pPr>
      <w:r>
        <w:t xml:space="preserve">A satisfactory code of conduct will contain obligations on all Contractor’s personnel (including sub-contractors and day workers) that are suitable to address the following issues, as a minimum.  Additional obligations may be added to respond to particular concerns of the region, the location and the project sector or to specific project requirements.  </w:t>
      </w:r>
      <w:r>
        <w:rPr>
          <w:rFonts w:eastAsia="Calibri"/>
          <w:szCs w:val="22"/>
        </w:rPr>
        <w:t>The code of conduct shall contain a statement that the term “child” / “children” means any person(s) under the age of 18 years.</w:t>
      </w:r>
    </w:p>
    <w:p w14:paraId="62C5A7FF">
      <w:pPr>
        <w:widowControl w:val="0"/>
        <w:autoSpaceDE w:val="0"/>
        <w:autoSpaceDN w:val="0"/>
        <w:ind w:left="360"/>
        <w:jc w:val="both"/>
        <w:rPr>
          <w:rFonts w:eastAsia="Calibri"/>
          <w:szCs w:val="22"/>
        </w:rPr>
      </w:pPr>
    </w:p>
    <w:p w14:paraId="53CABF72">
      <w:pPr>
        <w:widowControl w:val="0"/>
        <w:autoSpaceDE w:val="0"/>
        <w:autoSpaceDN w:val="0"/>
        <w:spacing w:after="120"/>
        <w:ind w:left="360"/>
        <w:rPr>
          <w:rFonts w:eastAsia="Calibri"/>
          <w:szCs w:val="22"/>
        </w:rPr>
      </w:pPr>
      <w:r>
        <w:t>The issues to be addressed include:</w:t>
      </w:r>
    </w:p>
    <w:p w14:paraId="241F6224">
      <w:pPr>
        <w:pStyle w:val="176"/>
        <w:numPr>
          <w:ilvl w:val="0"/>
          <w:numId w:val="63"/>
        </w:numPr>
      </w:pPr>
      <w:r>
        <w:rPr>
          <w:bCs/>
        </w:rPr>
        <w:t xml:space="preserve">Compliance with </w:t>
      </w:r>
      <w:r>
        <w:rPr>
          <w:rFonts w:eastAsia="Calibri" w:cs="Arial"/>
        </w:rPr>
        <w:t xml:space="preserve">applicable laws, rules, and regulations </w:t>
      </w:r>
    </w:p>
    <w:p w14:paraId="6304BDDE">
      <w:pPr>
        <w:pStyle w:val="176"/>
        <w:numPr>
          <w:ilvl w:val="0"/>
          <w:numId w:val="63"/>
        </w:numPr>
        <w:spacing w:after="60" w:line="240" w:lineRule="atLeast"/>
        <w:contextualSpacing w:val="0"/>
        <w:rPr>
          <w:rFonts w:eastAsia="Calibri" w:cs="Arial"/>
        </w:rPr>
      </w:pPr>
      <w:r>
        <w:rPr>
          <w:rFonts w:eastAsia="Calibri" w:cs="Arial"/>
        </w:rPr>
        <w:t xml:space="preserve">Compliance with applicable health and safety requirements to protect the local community (including vulnerable and disadvantaged groups), the Employer’s and Project Manager’s personnel, and the Contractor’s personnel, including sub-contractors and day workers, (including wearing prescribed personal protective equipment, preventing avoidable accidents and a duty to report conditions or practices that pose a safety hazard or threaten the environment)  </w:t>
      </w:r>
    </w:p>
    <w:p w14:paraId="47F4CFBB">
      <w:pPr>
        <w:pStyle w:val="176"/>
        <w:numPr>
          <w:ilvl w:val="0"/>
          <w:numId w:val="63"/>
        </w:numPr>
        <w:spacing w:after="60" w:line="240" w:lineRule="atLeast"/>
        <w:contextualSpacing w:val="0"/>
      </w:pPr>
      <w:r>
        <w:t>The use of</w:t>
      </w:r>
      <w:r>
        <w:rPr>
          <w:bCs/>
        </w:rPr>
        <w:t xml:space="preserve"> illegal substances</w:t>
      </w:r>
      <w:r>
        <w:t xml:space="preserve"> </w:t>
      </w:r>
    </w:p>
    <w:p w14:paraId="15D209DC">
      <w:pPr>
        <w:pStyle w:val="176"/>
        <w:numPr>
          <w:ilvl w:val="0"/>
          <w:numId w:val="63"/>
        </w:numPr>
        <w:spacing w:after="60" w:line="240" w:lineRule="atLeast"/>
        <w:contextualSpacing w:val="0"/>
      </w:pPr>
      <w:r>
        <w:rPr>
          <w:bCs/>
        </w:rPr>
        <w:t xml:space="preserve"> Non-Discrimination in dealing with </w:t>
      </w:r>
      <w:r>
        <w:rPr>
          <w:rFonts w:eastAsia="Calibri" w:cs="Arial"/>
        </w:rPr>
        <w:t xml:space="preserve">the local community (including vulnerable and disadvantaged groups), the Employer’s and Project Manager’s personnel, and the Contractor’s personnel, including sub-contractors and day workers </w:t>
      </w:r>
      <w:r>
        <w:rPr>
          <w:bCs/>
        </w:rPr>
        <w:t xml:space="preserve">(for example on the basis of </w:t>
      </w:r>
      <w:r>
        <w:t>family status, ethnicity, race, gender, religion, language, marital status, age, disability (physical and mental), sexual orientation, gender identity, political conviction or social, civic, or health status)</w:t>
      </w:r>
    </w:p>
    <w:p w14:paraId="35D0F6FE">
      <w:pPr>
        <w:pStyle w:val="176"/>
        <w:numPr>
          <w:ilvl w:val="0"/>
          <w:numId w:val="63"/>
        </w:numPr>
        <w:spacing w:after="60" w:line="240" w:lineRule="atLeast"/>
        <w:contextualSpacing w:val="0"/>
      </w:pPr>
      <w:r>
        <w:rPr>
          <w:bCs/>
        </w:rPr>
        <w:t xml:space="preserve"> Interactions with the local community(ies), members of the local community (ies), and any affected person(s) (for example </w:t>
      </w:r>
      <w:r>
        <w:t>to convey an attitude of respect, including to their culture and traditions)</w:t>
      </w:r>
    </w:p>
    <w:p w14:paraId="2CA03F59">
      <w:pPr>
        <w:pStyle w:val="176"/>
        <w:numPr>
          <w:ilvl w:val="0"/>
          <w:numId w:val="63"/>
        </w:numPr>
        <w:spacing w:after="60" w:line="240" w:lineRule="atLeast"/>
        <w:contextualSpacing w:val="0"/>
      </w:pPr>
      <w:r>
        <w:rPr>
          <w:bCs/>
        </w:rPr>
        <w:t xml:space="preserve">Sexual harassment (for example to </w:t>
      </w:r>
      <w:r>
        <w:t>prohibit use of language or behavior, in particular towards women and/or children, that is inappropriate, harassing, abusive, sexually provocative, demeaning or culturally inappropriate)</w:t>
      </w:r>
    </w:p>
    <w:p w14:paraId="1AAB0157">
      <w:pPr>
        <w:pStyle w:val="176"/>
        <w:numPr>
          <w:ilvl w:val="0"/>
          <w:numId w:val="63"/>
        </w:numPr>
        <w:spacing w:after="60" w:line="240" w:lineRule="atLeast"/>
        <w:contextualSpacing w:val="0"/>
      </w:pPr>
      <w:r>
        <w:rPr>
          <w:bCs/>
        </w:rPr>
        <w:t xml:space="preserve">Violence including sexual and/or gender-based violence (for example acts that inflict physical, mental or sexual harm or suffering, threats of such acts, coercion, and deprivation of liberty  </w:t>
      </w:r>
      <w:r>
        <w:t xml:space="preserve"> </w:t>
      </w:r>
    </w:p>
    <w:p w14:paraId="2D5F2F70">
      <w:pPr>
        <w:pStyle w:val="176"/>
        <w:numPr>
          <w:ilvl w:val="0"/>
          <w:numId w:val="63"/>
        </w:numPr>
        <w:spacing w:after="60" w:line="240" w:lineRule="atLeast"/>
        <w:contextualSpacing w:val="0"/>
        <w:rPr>
          <w:rFonts w:eastAsia="Calibri" w:cs="Arial"/>
        </w:rPr>
      </w:pPr>
      <w:r>
        <w:rPr>
          <w:bCs/>
        </w:rPr>
        <w:t xml:space="preserve">Exploitation including sexual exploitation and abuse (for example </w:t>
      </w:r>
      <w:r>
        <w:t>the prohibition of the exchange of money, employment, goods, or services for sex, including sexual favors or other forms of humiliating, degrading behavior, exploitative behavior or abuse of power)</w:t>
      </w:r>
    </w:p>
    <w:p w14:paraId="37ABA472">
      <w:pPr>
        <w:pStyle w:val="176"/>
        <w:numPr>
          <w:ilvl w:val="0"/>
          <w:numId w:val="63"/>
        </w:numPr>
        <w:spacing w:after="60" w:line="240" w:lineRule="atLeast"/>
        <w:contextualSpacing w:val="0"/>
        <w:rPr>
          <w:rFonts w:eastAsia="Calibri" w:cs="Arial"/>
        </w:rPr>
      </w:pPr>
      <w:r>
        <w:rPr>
          <w:bCs/>
        </w:rPr>
        <w:t>Protection of children (including prohibitions against sexual activity or a</w:t>
      </w:r>
      <w:r>
        <w:rPr>
          <w:rFonts w:eastAsia="Calibri" w:cs="Arial"/>
        </w:rPr>
        <w:t xml:space="preserve">buse, or otherwise unacceptable behavior towards children, limiting interactions with children, and ensuring their safety in project areas) </w:t>
      </w:r>
    </w:p>
    <w:p w14:paraId="4ED06B33">
      <w:pPr>
        <w:pStyle w:val="176"/>
        <w:widowControl w:val="0"/>
        <w:numPr>
          <w:ilvl w:val="0"/>
          <w:numId w:val="63"/>
        </w:numPr>
        <w:spacing w:after="60" w:line="240" w:lineRule="atLeast"/>
        <w:contextualSpacing w:val="0"/>
        <w:rPr>
          <w:rFonts w:eastAsia="Calibri" w:cs="Arial"/>
        </w:rPr>
      </w:pPr>
      <w:r>
        <w:rPr>
          <w:rFonts w:eastAsia="Calibri" w:cs="Arial"/>
        </w:rPr>
        <w:t>Sanitation requirements (for example, to ensure workers use specified sanitary facilities provided by their employer and not open areas)</w:t>
      </w:r>
    </w:p>
    <w:p w14:paraId="2CAD6FCD">
      <w:pPr>
        <w:pStyle w:val="176"/>
        <w:numPr>
          <w:ilvl w:val="0"/>
          <w:numId w:val="63"/>
        </w:numPr>
        <w:spacing w:after="60" w:line="240" w:lineRule="atLeast"/>
        <w:contextualSpacing w:val="0"/>
      </w:pPr>
      <w:r>
        <w:t xml:space="preserve">Avoidance of </w:t>
      </w:r>
      <w:r>
        <w:rPr>
          <w:bCs/>
        </w:rPr>
        <w:t>conflicts of interest</w:t>
      </w:r>
      <w:r>
        <w:t xml:space="preserve"> (such that b</w:t>
      </w:r>
      <w:r>
        <w:rPr>
          <w:rFonts w:eastAsia="Calibri" w:cs="Arial"/>
        </w:rPr>
        <w:t>enefits, contracts, or employment, or any sort of preferential treatment or favors, are not provided to any person with whom there is a financial, family, or personal connection)</w:t>
      </w:r>
    </w:p>
    <w:p w14:paraId="14A6D102">
      <w:pPr>
        <w:pStyle w:val="176"/>
        <w:widowControl w:val="0"/>
        <w:numPr>
          <w:ilvl w:val="0"/>
          <w:numId w:val="63"/>
        </w:numPr>
        <w:spacing w:after="60" w:line="240" w:lineRule="atLeast"/>
        <w:contextualSpacing w:val="0"/>
        <w:rPr>
          <w:rFonts w:eastAsia="Calibri" w:cs="Arial"/>
        </w:rPr>
      </w:pPr>
      <w:r>
        <w:rPr>
          <w:rFonts w:eastAsia="Calibri" w:cs="Arial"/>
        </w:rPr>
        <w:t>Respecting reasonable work instructions (including regarding environmental and social norms)</w:t>
      </w:r>
    </w:p>
    <w:p w14:paraId="5EAD02C8">
      <w:pPr>
        <w:pStyle w:val="176"/>
        <w:widowControl w:val="0"/>
        <w:numPr>
          <w:ilvl w:val="0"/>
          <w:numId w:val="63"/>
        </w:numPr>
        <w:spacing w:after="60" w:line="240" w:lineRule="atLeast"/>
        <w:contextualSpacing w:val="0"/>
        <w:rPr>
          <w:rFonts w:eastAsia="Calibri" w:cs="Arial"/>
        </w:rPr>
      </w:pPr>
      <w:r>
        <w:rPr>
          <w:rFonts w:eastAsia="Calibri" w:cs="Arial"/>
        </w:rPr>
        <w:t xml:space="preserve">Protection and proper use of property (for example, to prohibit theft, carelessness or waste)  </w:t>
      </w:r>
    </w:p>
    <w:p w14:paraId="2E509051">
      <w:pPr>
        <w:pStyle w:val="176"/>
        <w:widowControl w:val="0"/>
        <w:numPr>
          <w:ilvl w:val="0"/>
          <w:numId w:val="63"/>
        </w:numPr>
        <w:spacing w:after="60" w:line="240" w:lineRule="atLeast"/>
        <w:contextualSpacing w:val="0"/>
        <w:rPr>
          <w:rFonts w:eastAsia="Calibri" w:cs="Arial"/>
        </w:rPr>
      </w:pPr>
      <w:r>
        <w:rPr>
          <w:rFonts w:eastAsia="Calibri" w:cs="Arial"/>
        </w:rPr>
        <w:t>Duty to report violations of this Code</w:t>
      </w:r>
    </w:p>
    <w:p w14:paraId="63BD4F36">
      <w:pPr>
        <w:pStyle w:val="176"/>
        <w:widowControl w:val="0"/>
        <w:numPr>
          <w:ilvl w:val="0"/>
          <w:numId w:val="63"/>
        </w:numPr>
        <w:spacing w:after="60" w:line="240" w:lineRule="atLeast"/>
        <w:contextualSpacing w:val="0"/>
        <w:rPr>
          <w:rFonts w:eastAsia="Calibri" w:cs="Arial"/>
        </w:rPr>
      </w:pPr>
      <w:r>
        <w:rPr>
          <w:rFonts w:eastAsia="Calibri" w:cs="Arial"/>
        </w:rPr>
        <w:t xml:space="preserve">Non retaliation against workers who report violations of the Code, if that report is made in good faith. </w:t>
      </w:r>
    </w:p>
    <w:p w14:paraId="7094B803">
      <w:pPr>
        <w:spacing w:before="240" w:line="252" w:lineRule="auto"/>
        <w:contextualSpacing/>
        <w:rPr>
          <w:bCs/>
        </w:rPr>
      </w:pPr>
      <w:r>
        <w:rPr>
          <w:bCs/>
        </w:rPr>
        <w:t>The Code of Conduct should be written in plain language and signed by each worker to indicate that they have:</w:t>
      </w:r>
    </w:p>
    <w:p w14:paraId="14642C6D">
      <w:pPr>
        <w:spacing w:before="240" w:line="252" w:lineRule="auto"/>
        <w:contextualSpacing/>
        <w:rPr>
          <w:bCs/>
        </w:rPr>
      </w:pPr>
      <w:r>
        <w:rPr>
          <w:bCs/>
        </w:rPr>
        <w:t xml:space="preserve"> </w:t>
      </w:r>
    </w:p>
    <w:p w14:paraId="62090346">
      <w:pPr>
        <w:pStyle w:val="176"/>
        <w:numPr>
          <w:ilvl w:val="0"/>
          <w:numId w:val="64"/>
        </w:numPr>
        <w:spacing w:line="252" w:lineRule="auto"/>
        <w:rPr>
          <w:bCs/>
        </w:rPr>
      </w:pPr>
      <w:r>
        <w:rPr>
          <w:bCs/>
        </w:rPr>
        <w:t>received a copy of the code;</w:t>
      </w:r>
    </w:p>
    <w:p w14:paraId="0ECF7EAE">
      <w:pPr>
        <w:pStyle w:val="176"/>
        <w:numPr>
          <w:ilvl w:val="0"/>
          <w:numId w:val="64"/>
        </w:numPr>
        <w:spacing w:line="252" w:lineRule="auto"/>
        <w:rPr>
          <w:bCs/>
        </w:rPr>
      </w:pPr>
      <w:r>
        <w:rPr>
          <w:bCs/>
        </w:rPr>
        <w:t>had the code explained to them;</w:t>
      </w:r>
    </w:p>
    <w:p w14:paraId="493BA26A">
      <w:pPr>
        <w:pStyle w:val="176"/>
        <w:numPr>
          <w:ilvl w:val="0"/>
          <w:numId w:val="64"/>
        </w:numPr>
        <w:spacing w:line="252" w:lineRule="auto"/>
      </w:pPr>
      <w:r>
        <w:rPr>
          <w:bCs/>
        </w:rPr>
        <w:t>acknowledged that adherence to this Code of Conduct</w:t>
      </w:r>
      <w:r>
        <w:t xml:space="preserve"> is a condition of employment; and </w:t>
      </w:r>
    </w:p>
    <w:p w14:paraId="0FD2A81C">
      <w:pPr>
        <w:pStyle w:val="176"/>
        <w:numPr>
          <w:ilvl w:val="0"/>
          <w:numId w:val="64"/>
        </w:numPr>
        <w:spacing w:line="252" w:lineRule="auto"/>
      </w:pPr>
      <w:r>
        <w:t xml:space="preserve">understood that violations of the Code can result in serious consequences, up to and including dismissal, or referral to legal authorities.  </w:t>
      </w:r>
    </w:p>
    <w:p w14:paraId="1F87E75B">
      <w:pPr>
        <w:spacing w:after="120"/>
        <w:rPr>
          <w:i/>
          <w:color w:val="000000" w:themeColor="text1"/>
          <w14:textFill>
            <w14:solidFill>
              <w14:schemeClr w14:val="tx1"/>
            </w14:solidFill>
          </w14:textFill>
        </w:rPr>
      </w:pPr>
    </w:p>
    <w:p w14:paraId="3BC355D7">
      <w:pPr>
        <w:jc w:val="both"/>
        <w:rPr>
          <w:color w:val="000000" w:themeColor="text1"/>
          <w14:textFill>
            <w14:solidFill>
              <w14:schemeClr w14:val="tx1"/>
            </w14:solidFill>
          </w14:textFill>
        </w:rPr>
      </w:pPr>
      <w:r>
        <w:rPr>
          <w:color w:val="000000" w:themeColor="text1"/>
          <w14:textFill>
            <w14:solidFill>
              <w14:schemeClr w14:val="tx1"/>
            </w14:solidFill>
          </w14:textFill>
        </w:rPr>
        <w:t xml:space="preserve">A copy of the code shall be displayed in a location easily accessible to the community and project affected people. It shall be provided in languages comprehensible to the local community, Contractor’s personnel </w:t>
      </w:r>
      <w:r>
        <w:t>(including sub-contractors and day workers)</w:t>
      </w:r>
      <w:r>
        <w:rPr>
          <w:color w:val="000000" w:themeColor="text1"/>
          <w14:textFill>
            <w14:solidFill>
              <w14:schemeClr w14:val="tx1"/>
            </w14:solidFill>
          </w14:textFill>
        </w:rPr>
        <w:t>, Employer’s and Project Manager’s personnel, and affected persons.</w:t>
      </w:r>
    </w:p>
    <w:p w14:paraId="1BC8D787">
      <w:pPr>
        <w:jc w:val="both"/>
        <w:rPr>
          <w:color w:val="000000" w:themeColor="text1"/>
          <w14:textFill>
            <w14:solidFill>
              <w14:schemeClr w14:val="tx1"/>
            </w14:solidFill>
          </w14:textFill>
        </w:rPr>
      </w:pPr>
    </w:p>
    <w:p w14:paraId="409F9F9D">
      <w:pPr>
        <w:jc w:val="both"/>
        <w:rPr>
          <w:color w:val="000000" w:themeColor="text1"/>
          <w14:textFill>
            <w14:solidFill>
              <w14:schemeClr w14:val="tx1"/>
            </w14:solidFill>
          </w14:textFill>
        </w:rPr>
      </w:pPr>
    </w:p>
    <w:bookmarkEnd w:id="524"/>
    <w:p w14:paraId="0F158619">
      <w:pPr>
        <w:pStyle w:val="157"/>
        <w:rPr>
          <w:highlight w:val="none"/>
        </w:rPr>
      </w:pPr>
      <w:bookmarkStart w:id="525" w:name="_Toc179504032"/>
      <w:r>
        <w:rPr>
          <w:highlight w:val="none"/>
        </w:rPr>
        <w:t>KEY Personnel</w:t>
      </w:r>
      <w:bookmarkEnd w:id="525"/>
    </w:p>
    <w:p w14:paraId="6D630C22">
      <w:pPr>
        <w:jc w:val="both"/>
        <w:rPr>
          <w:b/>
          <w:bCs/>
          <w:color w:val="000000" w:themeColor="text1"/>
          <w:highlight w:val="none"/>
          <w14:textFill>
            <w14:solidFill>
              <w14:schemeClr w14:val="tx1"/>
            </w14:solidFill>
          </w14:textFill>
        </w:rPr>
      </w:pPr>
      <w:r>
        <w:rPr>
          <w:b/>
          <w:bCs/>
          <w:color w:val="000000" w:themeColor="text1"/>
          <w:highlight w:val="none"/>
          <w14:textFill>
            <w14:solidFill>
              <w14:schemeClr w14:val="tx1"/>
            </w14:solidFill>
          </w14:textFill>
        </w:rPr>
        <w:t>Comment: Provide details on Key Personnel as per the Standard Bidding Document</w:t>
      </w:r>
    </w:p>
    <w:p w14:paraId="3D8DEB20">
      <w:pPr>
        <w:rPr>
          <w:highlight w:val="none"/>
        </w:rPr>
      </w:pPr>
    </w:p>
    <w:p w14:paraId="4E721C32">
      <w:pPr>
        <w:rPr>
          <w:highlight w:val="none"/>
        </w:rPr>
      </w:pPr>
    </w:p>
    <w:tbl>
      <w:tblPr>
        <w:tblStyle w:val="12"/>
        <w:tblW w:w="10642" w:type="dxa"/>
        <w:tblInd w:w="-587"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540"/>
        <w:gridCol w:w="3298"/>
        <w:gridCol w:w="3419"/>
        <w:gridCol w:w="1821"/>
        <w:gridCol w:w="1564"/>
      </w:tblGrid>
      <w:tr w14:paraId="1BC894B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018" w:hRule="atLeast"/>
          <w:tblHeader/>
        </w:trPr>
        <w:tc>
          <w:tcPr>
            <w:tcW w:w="540" w:type="dxa"/>
            <w:shd w:val="clear" w:color="auto" w:fill="auto"/>
            <w:vAlign w:val="center"/>
          </w:tcPr>
          <w:p w14:paraId="45770B38">
            <w:pPr>
              <w:jc w:val="center"/>
              <w:rPr>
                <w:b/>
                <w:bCs/>
                <w:color w:val="000000"/>
                <w:sz w:val="22"/>
                <w:szCs w:val="22"/>
                <w:highlight w:val="none"/>
              </w:rPr>
            </w:pPr>
            <w:r>
              <w:rPr>
                <w:b/>
                <w:bCs/>
                <w:color w:val="000000"/>
                <w:sz w:val="22"/>
                <w:szCs w:val="22"/>
                <w:highlight w:val="none"/>
              </w:rPr>
              <w:t>No.</w:t>
            </w:r>
          </w:p>
        </w:tc>
        <w:tc>
          <w:tcPr>
            <w:tcW w:w="3298" w:type="dxa"/>
            <w:shd w:val="clear" w:color="auto" w:fill="auto"/>
            <w:vAlign w:val="center"/>
          </w:tcPr>
          <w:p w14:paraId="7F6C4816">
            <w:pPr>
              <w:jc w:val="center"/>
              <w:rPr>
                <w:b/>
                <w:bCs/>
                <w:color w:val="000000"/>
                <w:sz w:val="22"/>
                <w:szCs w:val="22"/>
                <w:highlight w:val="none"/>
              </w:rPr>
            </w:pPr>
            <w:r>
              <w:rPr>
                <w:b/>
                <w:bCs/>
                <w:color w:val="000000"/>
                <w:sz w:val="22"/>
                <w:szCs w:val="22"/>
                <w:highlight w:val="none"/>
              </w:rPr>
              <w:t>Position</w:t>
            </w:r>
          </w:p>
        </w:tc>
        <w:tc>
          <w:tcPr>
            <w:tcW w:w="3419" w:type="dxa"/>
            <w:shd w:val="clear" w:color="auto" w:fill="auto"/>
            <w:vAlign w:val="center"/>
          </w:tcPr>
          <w:p w14:paraId="1F3BEC6C">
            <w:pPr>
              <w:jc w:val="center"/>
              <w:rPr>
                <w:b/>
                <w:bCs/>
                <w:color w:val="000000"/>
                <w:sz w:val="22"/>
                <w:szCs w:val="22"/>
                <w:highlight w:val="none"/>
              </w:rPr>
            </w:pPr>
            <w:r>
              <w:rPr>
                <w:b/>
                <w:bCs/>
                <w:color w:val="000000"/>
                <w:sz w:val="22"/>
                <w:szCs w:val="22"/>
                <w:highlight w:val="none"/>
              </w:rPr>
              <w:t>Requirements / Qualifications</w:t>
            </w:r>
          </w:p>
        </w:tc>
        <w:tc>
          <w:tcPr>
            <w:tcW w:w="1821" w:type="dxa"/>
            <w:shd w:val="clear" w:color="auto" w:fill="auto"/>
            <w:vAlign w:val="center"/>
          </w:tcPr>
          <w:p w14:paraId="4289FB3E">
            <w:pPr>
              <w:jc w:val="center"/>
              <w:rPr>
                <w:b/>
                <w:bCs/>
                <w:color w:val="000000"/>
                <w:sz w:val="22"/>
                <w:szCs w:val="22"/>
                <w:highlight w:val="none"/>
              </w:rPr>
            </w:pPr>
            <w:r>
              <w:rPr>
                <w:b/>
                <w:bCs/>
                <w:color w:val="000000"/>
                <w:sz w:val="22"/>
                <w:szCs w:val="22"/>
                <w:highlight w:val="none"/>
              </w:rPr>
              <w:t>Total Work Similar Experience (years)</w:t>
            </w:r>
          </w:p>
        </w:tc>
        <w:tc>
          <w:tcPr>
            <w:tcW w:w="1564" w:type="dxa"/>
            <w:shd w:val="clear" w:color="auto" w:fill="auto"/>
            <w:vAlign w:val="center"/>
          </w:tcPr>
          <w:p w14:paraId="2FFC132B">
            <w:pPr>
              <w:jc w:val="center"/>
              <w:rPr>
                <w:b/>
                <w:bCs/>
                <w:color w:val="000000"/>
                <w:sz w:val="22"/>
                <w:szCs w:val="22"/>
                <w:highlight w:val="none"/>
              </w:rPr>
            </w:pPr>
            <w:r>
              <w:rPr>
                <w:b/>
                <w:bCs/>
                <w:color w:val="000000"/>
                <w:sz w:val="22"/>
                <w:szCs w:val="22"/>
                <w:highlight w:val="none"/>
              </w:rPr>
              <w:t>In Similar Works Experience (years)</w:t>
            </w:r>
          </w:p>
        </w:tc>
      </w:tr>
      <w:tr w14:paraId="29F36DF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65" w:hRule="atLeast"/>
        </w:trPr>
        <w:tc>
          <w:tcPr>
            <w:tcW w:w="540" w:type="dxa"/>
            <w:vMerge w:val="restart"/>
            <w:shd w:val="clear" w:color="auto" w:fill="auto"/>
            <w:vAlign w:val="center"/>
          </w:tcPr>
          <w:p w14:paraId="48E243B0">
            <w:pPr>
              <w:jc w:val="center"/>
              <w:rPr>
                <w:rFonts w:ascii="Arial" w:hAnsi="Arial" w:cs="Arial"/>
                <w:color w:val="000000"/>
                <w:sz w:val="22"/>
                <w:szCs w:val="22"/>
                <w:highlight w:val="none"/>
              </w:rPr>
            </w:pPr>
            <w:r>
              <w:rPr>
                <w:rFonts w:ascii="Arial" w:hAnsi="Arial" w:cs="Arial"/>
                <w:color w:val="000000"/>
                <w:sz w:val="22"/>
                <w:szCs w:val="22"/>
                <w:highlight w:val="none"/>
              </w:rPr>
              <w:t>1</w:t>
            </w:r>
          </w:p>
        </w:tc>
        <w:tc>
          <w:tcPr>
            <w:tcW w:w="3298" w:type="dxa"/>
            <w:vMerge w:val="restart"/>
            <w:shd w:val="clear" w:color="auto" w:fill="auto"/>
            <w:vAlign w:val="center"/>
          </w:tcPr>
          <w:p w14:paraId="739D9BCF">
            <w:pPr>
              <w:rPr>
                <w:color w:val="000000"/>
                <w:sz w:val="22"/>
                <w:szCs w:val="22"/>
                <w:highlight w:val="none"/>
              </w:rPr>
            </w:pPr>
            <w:r>
              <w:rPr>
                <w:color w:val="000000"/>
                <w:sz w:val="22"/>
                <w:szCs w:val="22"/>
                <w:highlight w:val="none"/>
              </w:rPr>
              <w:t>Project Manager (1no.)</w:t>
            </w:r>
          </w:p>
        </w:tc>
        <w:tc>
          <w:tcPr>
            <w:tcW w:w="3419" w:type="dxa"/>
            <w:shd w:val="clear" w:color="auto" w:fill="auto"/>
            <w:vAlign w:val="center"/>
          </w:tcPr>
          <w:p w14:paraId="4936D8D2">
            <w:pPr>
              <w:rPr>
                <w:color w:val="000000"/>
                <w:sz w:val="22"/>
                <w:szCs w:val="22"/>
                <w:highlight w:val="none"/>
              </w:rPr>
            </w:pPr>
            <w:r>
              <w:rPr>
                <w:color w:val="000000"/>
                <w:sz w:val="22"/>
                <w:szCs w:val="22"/>
                <w:highlight w:val="none"/>
              </w:rPr>
              <w:t>BSc. Civil Engineering/Water Engineering, or equivalent. Registered Professional Engineer with at least 10 years’ experience in the field of Wastewater Engineering and not less than 5 years’ experience in a similar position. Should have worked in at least two previous assignments in a similar position.</w:t>
            </w:r>
          </w:p>
        </w:tc>
        <w:tc>
          <w:tcPr>
            <w:tcW w:w="1821" w:type="dxa"/>
            <w:vMerge w:val="restart"/>
            <w:shd w:val="clear" w:color="auto" w:fill="auto"/>
            <w:vAlign w:val="center"/>
          </w:tcPr>
          <w:p w14:paraId="3172D017">
            <w:pPr>
              <w:jc w:val="center"/>
              <w:rPr>
                <w:color w:val="000000"/>
                <w:sz w:val="22"/>
                <w:szCs w:val="22"/>
                <w:highlight w:val="none"/>
              </w:rPr>
            </w:pPr>
            <w:r>
              <w:rPr>
                <w:color w:val="000000"/>
                <w:sz w:val="22"/>
                <w:szCs w:val="22"/>
                <w:highlight w:val="none"/>
              </w:rPr>
              <w:t>10</w:t>
            </w:r>
          </w:p>
        </w:tc>
        <w:tc>
          <w:tcPr>
            <w:tcW w:w="1564" w:type="dxa"/>
            <w:vMerge w:val="restart"/>
            <w:shd w:val="clear" w:color="auto" w:fill="auto"/>
            <w:vAlign w:val="center"/>
          </w:tcPr>
          <w:p w14:paraId="39560975">
            <w:pPr>
              <w:jc w:val="center"/>
              <w:rPr>
                <w:color w:val="000000"/>
                <w:sz w:val="22"/>
                <w:szCs w:val="22"/>
                <w:highlight w:val="none"/>
              </w:rPr>
            </w:pPr>
            <w:r>
              <w:rPr>
                <w:color w:val="000000"/>
                <w:sz w:val="22"/>
                <w:szCs w:val="22"/>
                <w:highlight w:val="none"/>
              </w:rPr>
              <w:t>5</w:t>
            </w:r>
          </w:p>
        </w:tc>
      </w:tr>
      <w:tr w14:paraId="19751D9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2" w:hRule="atLeast"/>
        </w:trPr>
        <w:tc>
          <w:tcPr>
            <w:tcW w:w="540" w:type="dxa"/>
            <w:vMerge w:val="continue"/>
            <w:vAlign w:val="center"/>
          </w:tcPr>
          <w:p w14:paraId="7750EFAC">
            <w:pPr>
              <w:rPr>
                <w:rFonts w:ascii="Arial" w:hAnsi="Arial" w:cs="Arial"/>
                <w:color w:val="000000"/>
                <w:sz w:val="22"/>
                <w:szCs w:val="22"/>
                <w:highlight w:val="none"/>
              </w:rPr>
            </w:pPr>
          </w:p>
        </w:tc>
        <w:tc>
          <w:tcPr>
            <w:tcW w:w="3298" w:type="dxa"/>
            <w:vMerge w:val="continue"/>
            <w:vAlign w:val="center"/>
          </w:tcPr>
          <w:p w14:paraId="3DE170AB">
            <w:pPr>
              <w:rPr>
                <w:color w:val="000000"/>
                <w:sz w:val="22"/>
                <w:szCs w:val="22"/>
                <w:highlight w:val="none"/>
              </w:rPr>
            </w:pPr>
          </w:p>
        </w:tc>
        <w:tc>
          <w:tcPr>
            <w:tcW w:w="3419" w:type="dxa"/>
            <w:shd w:val="clear" w:color="auto" w:fill="auto"/>
            <w:vAlign w:val="center"/>
          </w:tcPr>
          <w:p w14:paraId="37D2CE53">
            <w:pPr>
              <w:rPr>
                <w:color w:val="000000"/>
                <w:sz w:val="22"/>
                <w:szCs w:val="22"/>
                <w:highlight w:val="none"/>
              </w:rPr>
            </w:pPr>
          </w:p>
        </w:tc>
        <w:tc>
          <w:tcPr>
            <w:tcW w:w="1821" w:type="dxa"/>
            <w:vMerge w:val="continue"/>
            <w:vAlign w:val="center"/>
          </w:tcPr>
          <w:p w14:paraId="5AFA9A33">
            <w:pPr>
              <w:rPr>
                <w:color w:val="000000"/>
                <w:sz w:val="22"/>
                <w:szCs w:val="22"/>
                <w:highlight w:val="none"/>
              </w:rPr>
            </w:pPr>
          </w:p>
        </w:tc>
        <w:tc>
          <w:tcPr>
            <w:tcW w:w="1564" w:type="dxa"/>
            <w:vMerge w:val="continue"/>
            <w:vAlign w:val="center"/>
          </w:tcPr>
          <w:p w14:paraId="5212672F">
            <w:pPr>
              <w:rPr>
                <w:color w:val="000000"/>
                <w:sz w:val="22"/>
                <w:szCs w:val="22"/>
                <w:highlight w:val="none"/>
              </w:rPr>
            </w:pPr>
          </w:p>
        </w:tc>
      </w:tr>
      <w:tr w14:paraId="7F0803A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90" w:hRule="atLeast"/>
        </w:trPr>
        <w:tc>
          <w:tcPr>
            <w:tcW w:w="540" w:type="dxa"/>
            <w:shd w:val="clear" w:color="auto" w:fill="auto"/>
            <w:vAlign w:val="center"/>
          </w:tcPr>
          <w:p w14:paraId="577EE376">
            <w:pPr>
              <w:jc w:val="center"/>
              <w:rPr>
                <w:color w:val="000000"/>
                <w:sz w:val="22"/>
                <w:szCs w:val="22"/>
                <w:highlight w:val="none"/>
              </w:rPr>
            </w:pPr>
            <w:r>
              <w:rPr>
                <w:color w:val="000000"/>
                <w:sz w:val="22"/>
                <w:szCs w:val="22"/>
                <w:highlight w:val="none"/>
              </w:rPr>
              <w:t>2</w:t>
            </w:r>
          </w:p>
        </w:tc>
        <w:tc>
          <w:tcPr>
            <w:tcW w:w="3298" w:type="dxa"/>
            <w:shd w:val="clear" w:color="auto" w:fill="auto"/>
            <w:vAlign w:val="center"/>
          </w:tcPr>
          <w:p w14:paraId="6EA057E1">
            <w:pPr>
              <w:rPr>
                <w:color w:val="000000"/>
                <w:sz w:val="22"/>
                <w:szCs w:val="22"/>
                <w:highlight w:val="none"/>
              </w:rPr>
            </w:pPr>
            <w:r>
              <w:rPr>
                <w:color w:val="000000"/>
                <w:sz w:val="22"/>
                <w:szCs w:val="22"/>
                <w:highlight w:val="none"/>
              </w:rPr>
              <w:t>Site Agent (1no.)</w:t>
            </w:r>
          </w:p>
        </w:tc>
        <w:tc>
          <w:tcPr>
            <w:tcW w:w="3419" w:type="dxa"/>
            <w:shd w:val="clear" w:color="auto" w:fill="auto"/>
            <w:vAlign w:val="center"/>
          </w:tcPr>
          <w:p w14:paraId="4C5F3A03">
            <w:pPr>
              <w:rPr>
                <w:color w:val="000000"/>
                <w:sz w:val="22"/>
                <w:szCs w:val="22"/>
                <w:highlight w:val="none"/>
              </w:rPr>
            </w:pPr>
            <w:r>
              <w:rPr>
                <w:color w:val="000000"/>
                <w:sz w:val="22"/>
                <w:szCs w:val="22"/>
                <w:highlight w:val="none"/>
              </w:rPr>
              <w:t>BSc. in Civil Engineering or Water Engineering and must be a Registered Professional Engineer with a minimum of 7years' experience in the field of Wastewater Engineering, with at least 3 years' experience in a similar position. Additionally, the candidate should have successfully worked on at least two previous assignments in a similar role, particularly in projects related to wastewater treatment or faecal sludge management.</w:t>
            </w:r>
          </w:p>
        </w:tc>
        <w:tc>
          <w:tcPr>
            <w:tcW w:w="1821" w:type="dxa"/>
            <w:shd w:val="clear" w:color="auto" w:fill="auto"/>
            <w:vAlign w:val="center"/>
          </w:tcPr>
          <w:p w14:paraId="3D4E973D">
            <w:pPr>
              <w:jc w:val="center"/>
              <w:rPr>
                <w:color w:val="000000"/>
                <w:sz w:val="22"/>
                <w:szCs w:val="22"/>
                <w:highlight w:val="none"/>
              </w:rPr>
            </w:pPr>
            <w:r>
              <w:rPr>
                <w:color w:val="000000"/>
                <w:sz w:val="22"/>
                <w:szCs w:val="22"/>
                <w:highlight w:val="none"/>
              </w:rPr>
              <w:t>7</w:t>
            </w:r>
          </w:p>
        </w:tc>
        <w:tc>
          <w:tcPr>
            <w:tcW w:w="1564" w:type="dxa"/>
            <w:shd w:val="clear" w:color="auto" w:fill="auto"/>
            <w:vAlign w:val="center"/>
          </w:tcPr>
          <w:p w14:paraId="23634DAC">
            <w:pPr>
              <w:jc w:val="center"/>
              <w:rPr>
                <w:color w:val="000000"/>
                <w:sz w:val="22"/>
                <w:szCs w:val="22"/>
                <w:highlight w:val="none"/>
              </w:rPr>
            </w:pPr>
            <w:r>
              <w:rPr>
                <w:color w:val="000000"/>
                <w:sz w:val="22"/>
                <w:szCs w:val="22"/>
                <w:highlight w:val="none"/>
              </w:rPr>
              <w:t>3</w:t>
            </w:r>
          </w:p>
        </w:tc>
      </w:tr>
      <w:tr w14:paraId="0A9722F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65" w:hRule="atLeast"/>
        </w:trPr>
        <w:tc>
          <w:tcPr>
            <w:tcW w:w="540" w:type="dxa"/>
            <w:shd w:val="clear" w:color="auto" w:fill="auto"/>
            <w:vAlign w:val="center"/>
          </w:tcPr>
          <w:p w14:paraId="6DFD6806">
            <w:pPr>
              <w:jc w:val="center"/>
              <w:rPr>
                <w:color w:val="000000"/>
                <w:sz w:val="22"/>
                <w:szCs w:val="22"/>
                <w:highlight w:val="none"/>
              </w:rPr>
            </w:pPr>
            <w:r>
              <w:rPr>
                <w:color w:val="000000"/>
                <w:sz w:val="22"/>
                <w:szCs w:val="22"/>
                <w:highlight w:val="none"/>
              </w:rPr>
              <w:t>3</w:t>
            </w:r>
          </w:p>
        </w:tc>
        <w:tc>
          <w:tcPr>
            <w:tcW w:w="3298" w:type="dxa"/>
            <w:shd w:val="clear" w:color="auto" w:fill="auto"/>
            <w:vAlign w:val="center"/>
          </w:tcPr>
          <w:p w14:paraId="12FCC393">
            <w:pPr>
              <w:rPr>
                <w:color w:val="000000"/>
                <w:sz w:val="22"/>
                <w:szCs w:val="22"/>
                <w:highlight w:val="none"/>
              </w:rPr>
            </w:pPr>
            <w:r>
              <w:rPr>
                <w:color w:val="000000"/>
                <w:sz w:val="22"/>
                <w:szCs w:val="22"/>
                <w:highlight w:val="none"/>
              </w:rPr>
              <w:t>Construction Engineer (1no.)</w:t>
            </w:r>
          </w:p>
        </w:tc>
        <w:tc>
          <w:tcPr>
            <w:tcW w:w="3419" w:type="dxa"/>
            <w:shd w:val="clear" w:color="auto" w:fill="auto"/>
            <w:vAlign w:val="center"/>
          </w:tcPr>
          <w:p w14:paraId="10FEEF60">
            <w:pPr>
              <w:rPr>
                <w:color w:val="000000"/>
                <w:sz w:val="22"/>
                <w:szCs w:val="22"/>
                <w:highlight w:val="none"/>
              </w:rPr>
            </w:pPr>
            <w:r>
              <w:rPr>
                <w:color w:val="000000"/>
                <w:sz w:val="22"/>
                <w:szCs w:val="22"/>
                <w:highlight w:val="none"/>
              </w:rPr>
              <w:t>BSc. in Civil Engineering or Water Engineering and must be a Registered Professional Engineer with at least 5 years of experience in Wastewater Engineering, with a minimum of 2 years in a similar position. The candidate must have successfully participated in at least two previous projects in a similar capacity, particularly focused on the construction of wastewater treatment facilities or faecal sludge treatment plants.</w:t>
            </w:r>
          </w:p>
        </w:tc>
        <w:tc>
          <w:tcPr>
            <w:tcW w:w="1821" w:type="dxa"/>
            <w:shd w:val="clear" w:color="auto" w:fill="auto"/>
            <w:vAlign w:val="center"/>
          </w:tcPr>
          <w:p w14:paraId="389AEB3D">
            <w:pPr>
              <w:jc w:val="center"/>
              <w:rPr>
                <w:color w:val="000000"/>
                <w:sz w:val="22"/>
                <w:szCs w:val="22"/>
                <w:highlight w:val="none"/>
              </w:rPr>
            </w:pPr>
            <w:r>
              <w:rPr>
                <w:color w:val="000000"/>
                <w:sz w:val="22"/>
                <w:szCs w:val="22"/>
                <w:highlight w:val="none"/>
              </w:rPr>
              <w:t>5</w:t>
            </w:r>
          </w:p>
        </w:tc>
        <w:tc>
          <w:tcPr>
            <w:tcW w:w="1564" w:type="dxa"/>
            <w:shd w:val="clear" w:color="auto" w:fill="auto"/>
            <w:vAlign w:val="center"/>
          </w:tcPr>
          <w:p w14:paraId="092EEDCB">
            <w:pPr>
              <w:jc w:val="center"/>
              <w:rPr>
                <w:color w:val="000000"/>
                <w:sz w:val="22"/>
                <w:szCs w:val="22"/>
                <w:highlight w:val="none"/>
              </w:rPr>
            </w:pPr>
            <w:r>
              <w:rPr>
                <w:color w:val="000000"/>
                <w:sz w:val="22"/>
                <w:szCs w:val="22"/>
                <w:highlight w:val="none"/>
              </w:rPr>
              <w:t>2</w:t>
            </w:r>
          </w:p>
        </w:tc>
      </w:tr>
      <w:tr w14:paraId="54AB4C5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0" w:hRule="atLeast"/>
        </w:trPr>
        <w:tc>
          <w:tcPr>
            <w:tcW w:w="540" w:type="dxa"/>
            <w:shd w:val="clear" w:color="auto" w:fill="auto"/>
            <w:vAlign w:val="center"/>
          </w:tcPr>
          <w:p w14:paraId="29FCACD4">
            <w:pPr>
              <w:jc w:val="center"/>
              <w:rPr>
                <w:color w:val="000000"/>
                <w:sz w:val="22"/>
                <w:szCs w:val="22"/>
                <w:highlight w:val="none"/>
              </w:rPr>
            </w:pPr>
            <w:r>
              <w:rPr>
                <w:color w:val="000000"/>
                <w:sz w:val="22"/>
                <w:szCs w:val="22"/>
                <w:highlight w:val="none"/>
              </w:rPr>
              <w:t>4</w:t>
            </w:r>
          </w:p>
        </w:tc>
        <w:tc>
          <w:tcPr>
            <w:tcW w:w="3298" w:type="dxa"/>
            <w:shd w:val="clear" w:color="auto" w:fill="auto"/>
            <w:vAlign w:val="center"/>
          </w:tcPr>
          <w:p w14:paraId="28DEC9DA">
            <w:pPr>
              <w:rPr>
                <w:color w:val="000000"/>
                <w:sz w:val="22"/>
                <w:szCs w:val="22"/>
                <w:highlight w:val="none"/>
              </w:rPr>
            </w:pPr>
            <w:r>
              <w:rPr>
                <w:color w:val="000000"/>
                <w:sz w:val="22"/>
                <w:szCs w:val="22"/>
                <w:highlight w:val="none"/>
              </w:rPr>
              <w:t>Engineering Surveyor (1no)</w:t>
            </w:r>
          </w:p>
        </w:tc>
        <w:tc>
          <w:tcPr>
            <w:tcW w:w="3419" w:type="dxa"/>
            <w:shd w:val="clear" w:color="auto" w:fill="auto"/>
            <w:vAlign w:val="center"/>
          </w:tcPr>
          <w:p w14:paraId="4A3CE381">
            <w:pPr>
              <w:rPr>
                <w:color w:val="000000"/>
                <w:sz w:val="22"/>
                <w:szCs w:val="22"/>
                <w:highlight w:val="none"/>
              </w:rPr>
            </w:pPr>
            <w:r>
              <w:rPr>
                <w:color w:val="000000"/>
                <w:sz w:val="22"/>
                <w:szCs w:val="22"/>
                <w:highlight w:val="none"/>
              </w:rPr>
              <w:t>BSc. Surveying or Higher National Diploma or equivalent. A minimum of 10 years of professional experience in engineering surveying, including at least 5 years of experience in a similar role within the construction or wastewater engineering sectors. Proficiency in using advanced surveying equipment and software, such as GPS, total stations, and CAD applications, to conduct site surveys, topographical assessments, and construction layout activities.</w:t>
            </w:r>
          </w:p>
        </w:tc>
        <w:tc>
          <w:tcPr>
            <w:tcW w:w="1821" w:type="dxa"/>
            <w:shd w:val="clear" w:color="auto" w:fill="auto"/>
            <w:vAlign w:val="center"/>
          </w:tcPr>
          <w:p w14:paraId="3CD765DC">
            <w:pPr>
              <w:jc w:val="center"/>
              <w:rPr>
                <w:color w:val="000000"/>
                <w:sz w:val="22"/>
                <w:szCs w:val="22"/>
                <w:highlight w:val="none"/>
              </w:rPr>
            </w:pPr>
            <w:r>
              <w:rPr>
                <w:color w:val="000000"/>
                <w:sz w:val="22"/>
                <w:szCs w:val="22"/>
                <w:highlight w:val="none"/>
              </w:rPr>
              <w:t>10</w:t>
            </w:r>
          </w:p>
        </w:tc>
        <w:tc>
          <w:tcPr>
            <w:tcW w:w="1564" w:type="dxa"/>
            <w:shd w:val="clear" w:color="auto" w:fill="auto"/>
            <w:vAlign w:val="center"/>
          </w:tcPr>
          <w:p w14:paraId="023E56BC">
            <w:pPr>
              <w:jc w:val="center"/>
              <w:rPr>
                <w:color w:val="000000"/>
                <w:sz w:val="22"/>
                <w:szCs w:val="22"/>
                <w:highlight w:val="none"/>
              </w:rPr>
            </w:pPr>
            <w:r>
              <w:rPr>
                <w:color w:val="000000"/>
                <w:sz w:val="22"/>
                <w:szCs w:val="22"/>
                <w:highlight w:val="none"/>
              </w:rPr>
              <w:t>5</w:t>
            </w:r>
          </w:p>
        </w:tc>
      </w:tr>
      <w:tr w14:paraId="182137B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76" w:hRule="atLeast"/>
        </w:trPr>
        <w:tc>
          <w:tcPr>
            <w:tcW w:w="540" w:type="dxa"/>
            <w:shd w:val="clear" w:color="auto" w:fill="auto"/>
            <w:vAlign w:val="center"/>
          </w:tcPr>
          <w:p w14:paraId="58DCFED3">
            <w:pPr>
              <w:jc w:val="center"/>
              <w:rPr>
                <w:color w:val="000000"/>
                <w:sz w:val="22"/>
                <w:szCs w:val="22"/>
                <w:highlight w:val="none"/>
              </w:rPr>
            </w:pPr>
            <w:r>
              <w:rPr>
                <w:color w:val="000000"/>
                <w:sz w:val="22"/>
                <w:szCs w:val="22"/>
                <w:highlight w:val="none"/>
              </w:rPr>
              <w:t>5</w:t>
            </w:r>
          </w:p>
        </w:tc>
        <w:tc>
          <w:tcPr>
            <w:tcW w:w="3298" w:type="dxa"/>
            <w:shd w:val="clear" w:color="auto" w:fill="auto"/>
            <w:vAlign w:val="center"/>
          </w:tcPr>
          <w:p w14:paraId="1D77D5FA">
            <w:pPr>
              <w:rPr>
                <w:color w:val="000000"/>
                <w:sz w:val="22"/>
                <w:szCs w:val="22"/>
                <w:highlight w:val="none"/>
              </w:rPr>
            </w:pPr>
            <w:r>
              <w:rPr>
                <w:color w:val="000000"/>
                <w:sz w:val="22"/>
                <w:szCs w:val="22"/>
                <w:highlight w:val="none"/>
              </w:rPr>
              <w:t>Foremen Civil works (2Nr)</w:t>
            </w:r>
          </w:p>
        </w:tc>
        <w:tc>
          <w:tcPr>
            <w:tcW w:w="3419" w:type="dxa"/>
            <w:shd w:val="clear" w:color="auto" w:fill="auto"/>
            <w:vAlign w:val="center"/>
          </w:tcPr>
          <w:p w14:paraId="44133CBC">
            <w:pPr>
              <w:rPr>
                <w:color w:val="000000"/>
                <w:sz w:val="22"/>
                <w:szCs w:val="22"/>
                <w:highlight w:val="none"/>
              </w:rPr>
            </w:pPr>
            <w:r>
              <w:rPr>
                <w:color w:val="000000"/>
                <w:sz w:val="22"/>
                <w:szCs w:val="22"/>
                <w:highlight w:val="none"/>
              </w:rPr>
              <w:t>Diploma in Civil Engineering/ Water Engineering, or an equivalent qualification. A minimum of 7 years’ experience in construction supervision, with at least 3 years' experience in a similar supervisory role focused on wastewater engineering projects, particularly in the construction of treatment facilities like faecal sludge treatment plants. Experience in at least two previous assignments in a similar capacity.</w:t>
            </w:r>
          </w:p>
        </w:tc>
        <w:tc>
          <w:tcPr>
            <w:tcW w:w="1821" w:type="dxa"/>
            <w:shd w:val="clear" w:color="auto" w:fill="auto"/>
            <w:vAlign w:val="center"/>
          </w:tcPr>
          <w:p w14:paraId="49F39A9D">
            <w:pPr>
              <w:jc w:val="center"/>
              <w:rPr>
                <w:color w:val="000000"/>
                <w:sz w:val="22"/>
                <w:szCs w:val="22"/>
                <w:highlight w:val="none"/>
              </w:rPr>
            </w:pPr>
            <w:r>
              <w:rPr>
                <w:color w:val="000000"/>
                <w:sz w:val="22"/>
                <w:szCs w:val="22"/>
                <w:highlight w:val="none"/>
              </w:rPr>
              <w:t>7</w:t>
            </w:r>
          </w:p>
        </w:tc>
        <w:tc>
          <w:tcPr>
            <w:tcW w:w="1564" w:type="dxa"/>
            <w:shd w:val="clear" w:color="auto" w:fill="auto"/>
            <w:vAlign w:val="center"/>
          </w:tcPr>
          <w:p w14:paraId="6749A49B">
            <w:pPr>
              <w:jc w:val="center"/>
              <w:rPr>
                <w:color w:val="000000"/>
                <w:sz w:val="22"/>
                <w:szCs w:val="22"/>
                <w:highlight w:val="none"/>
              </w:rPr>
            </w:pPr>
            <w:r>
              <w:rPr>
                <w:color w:val="000000"/>
                <w:sz w:val="22"/>
                <w:szCs w:val="22"/>
                <w:highlight w:val="none"/>
              </w:rPr>
              <w:t>3</w:t>
            </w:r>
          </w:p>
        </w:tc>
      </w:tr>
      <w:tr w14:paraId="7DBA9AB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546" w:hRule="atLeast"/>
        </w:trPr>
        <w:tc>
          <w:tcPr>
            <w:tcW w:w="540" w:type="dxa"/>
            <w:vMerge w:val="restart"/>
            <w:shd w:val="clear" w:color="auto" w:fill="auto"/>
            <w:vAlign w:val="center"/>
          </w:tcPr>
          <w:p w14:paraId="31787841">
            <w:pPr>
              <w:jc w:val="center"/>
              <w:rPr>
                <w:color w:val="000000"/>
                <w:sz w:val="22"/>
                <w:szCs w:val="22"/>
                <w:highlight w:val="none"/>
              </w:rPr>
            </w:pPr>
            <w:r>
              <w:rPr>
                <w:color w:val="000000"/>
                <w:sz w:val="22"/>
                <w:szCs w:val="22"/>
                <w:highlight w:val="none"/>
              </w:rPr>
              <w:t>6</w:t>
            </w:r>
          </w:p>
        </w:tc>
        <w:tc>
          <w:tcPr>
            <w:tcW w:w="3298" w:type="dxa"/>
            <w:vMerge w:val="restart"/>
            <w:shd w:val="clear" w:color="auto" w:fill="auto"/>
            <w:vAlign w:val="center"/>
          </w:tcPr>
          <w:p w14:paraId="118AC3E8">
            <w:pPr>
              <w:rPr>
                <w:color w:val="000000"/>
                <w:sz w:val="22"/>
                <w:szCs w:val="22"/>
                <w:highlight w:val="none"/>
              </w:rPr>
            </w:pPr>
            <w:r>
              <w:rPr>
                <w:color w:val="000000"/>
                <w:sz w:val="22"/>
                <w:szCs w:val="22"/>
                <w:highlight w:val="none"/>
              </w:rPr>
              <w:t>Environmental Safeguard</w:t>
            </w:r>
          </w:p>
          <w:p w14:paraId="5E804F4A">
            <w:pPr>
              <w:rPr>
                <w:color w:val="000000"/>
                <w:sz w:val="22"/>
                <w:szCs w:val="22"/>
                <w:highlight w:val="none"/>
              </w:rPr>
            </w:pPr>
            <w:r>
              <w:rPr>
                <w:color w:val="000000"/>
                <w:sz w:val="22"/>
                <w:szCs w:val="22"/>
                <w:highlight w:val="none"/>
              </w:rPr>
              <w:t>Specialist (1no.)</w:t>
            </w:r>
          </w:p>
        </w:tc>
        <w:tc>
          <w:tcPr>
            <w:tcW w:w="3419" w:type="dxa"/>
            <w:shd w:val="clear" w:color="auto" w:fill="auto"/>
            <w:vAlign w:val="center"/>
          </w:tcPr>
          <w:p w14:paraId="040EC9C2">
            <w:pPr>
              <w:rPr>
                <w:color w:val="000000"/>
                <w:sz w:val="22"/>
                <w:szCs w:val="22"/>
                <w:highlight w:val="none"/>
              </w:rPr>
            </w:pPr>
            <w:r>
              <w:rPr>
                <w:color w:val="000000"/>
                <w:sz w:val="22"/>
                <w:szCs w:val="22"/>
                <w:highlight w:val="none"/>
              </w:rPr>
              <w:t>Degree in Environmental Science, Environmental Management, Environmental Impact Assessment (EIA), Environmental Planning, or a related field. A minimum of 7 years of professional experience in planning and conducting Environmental Impact Assessments and related environmental studies, including at least 3 years of experience in a similar role. Registered NEMA Lead Expert or hold a similar qualification in a relevant field. Proven expertise in environmental management practices, regulatory compliance, and stakeholder engagement in relation to environmental projects is essential.</w:t>
            </w:r>
          </w:p>
          <w:p w14:paraId="3351B095">
            <w:pPr>
              <w:rPr>
                <w:color w:val="000000"/>
                <w:sz w:val="22"/>
                <w:szCs w:val="22"/>
                <w:highlight w:val="none"/>
              </w:rPr>
            </w:pPr>
          </w:p>
        </w:tc>
        <w:tc>
          <w:tcPr>
            <w:tcW w:w="1821" w:type="dxa"/>
            <w:vMerge w:val="restart"/>
            <w:shd w:val="clear" w:color="auto" w:fill="auto"/>
            <w:vAlign w:val="center"/>
          </w:tcPr>
          <w:p w14:paraId="4881B60B">
            <w:pPr>
              <w:jc w:val="center"/>
              <w:rPr>
                <w:color w:val="000000"/>
                <w:sz w:val="22"/>
                <w:szCs w:val="22"/>
                <w:highlight w:val="none"/>
              </w:rPr>
            </w:pPr>
            <w:r>
              <w:rPr>
                <w:color w:val="000000"/>
                <w:sz w:val="22"/>
                <w:szCs w:val="22"/>
                <w:highlight w:val="none"/>
              </w:rPr>
              <w:t>7</w:t>
            </w:r>
          </w:p>
        </w:tc>
        <w:tc>
          <w:tcPr>
            <w:tcW w:w="1564" w:type="dxa"/>
            <w:vMerge w:val="restart"/>
            <w:shd w:val="clear" w:color="auto" w:fill="auto"/>
            <w:vAlign w:val="center"/>
          </w:tcPr>
          <w:p w14:paraId="70ED47E9">
            <w:pPr>
              <w:jc w:val="center"/>
              <w:rPr>
                <w:color w:val="000000"/>
                <w:sz w:val="22"/>
                <w:szCs w:val="22"/>
                <w:highlight w:val="none"/>
              </w:rPr>
            </w:pPr>
            <w:r>
              <w:rPr>
                <w:color w:val="000000"/>
                <w:sz w:val="22"/>
                <w:szCs w:val="22"/>
                <w:highlight w:val="none"/>
              </w:rPr>
              <w:t>3</w:t>
            </w:r>
          </w:p>
        </w:tc>
      </w:tr>
      <w:tr w14:paraId="79395DE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5" w:hRule="atLeast"/>
        </w:trPr>
        <w:tc>
          <w:tcPr>
            <w:tcW w:w="540" w:type="dxa"/>
            <w:vMerge w:val="continue"/>
            <w:vAlign w:val="center"/>
          </w:tcPr>
          <w:p w14:paraId="3500DA62">
            <w:pPr>
              <w:rPr>
                <w:color w:val="000000"/>
                <w:sz w:val="22"/>
                <w:szCs w:val="22"/>
                <w:highlight w:val="none"/>
              </w:rPr>
            </w:pPr>
          </w:p>
        </w:tc>
        <w:tc>
          <w:tcPr>
            <w:tcW w:w="3298" w:type="dxa"/>
            <w:vMerge w:val="continue"/>
            <w:vAlign w:val="center"/>
          </w:tcPr>
          <w:p w14:paraId="2D1B8B98">
            <w:pPr>
              <w:rPr>
                <w:color w:val="000000"/>
                <w:sz w:val="22"/>
                <w:szCs w:val="22"/>
                <w:highlight w:val="none"/>
              </w:rPr>
            </w:pPr>
          </w:p>
        </w:tc>
        <w:tc>
          <w:tcPr>
            <w:tcW w:w="3419" w:type="dxa"/>
            <w:shd w:val="clear" w:color="auto" w:fill="auto"/>
            <w:vAlign w:val="center"/>
          </w:tcPr>
          <w:p w14:paraId="7CE5344D">
            <w:pPr>
              <w:rPr>
                <w:color w:val="000000"/>
                <w:sz w:val="22"/>
                <w:szCs w:val="22"/>
                <w:highlight w:val="none"/>
              </w:rPr>
            </w:pPr>
          </w:p>
        </w:tc>
        <w:tc>
          <w:tcPr>
            <w:tcW w:w="1821" w:type="dxa"/>
            <w:vMerge w:val="continue"/>
            <w:vAlign w:val="center"/>
          </w:tcPr>
          <w:p w14:paraId="787F10BE">
            <w:pPr>
              <w:rPr>
                <w:color w:val="000000"/>
                <w:sz w:val="22"/>
                <w:szCs w:val="22"/>
                <w:highlight w:val="none"/>
              </w:rPr>
            </w:pPr>
          </w:p>
        </w:tc>
        <w:tc>
          <w:tcPr>
            <w:tcW w:w="1564" w:type="dxa"/>
            <w:vMerge w:val="continue"/>
            <w:vAlign w:val="center"/>
          </w:tcPr>
          <w:p w14:paraId="3076B96B">
            <w:pPr>
              <w:rPr>
                <w:color w:val="000000"/>
                <w:sz w:val="22"/>
                <w:szCs w:val="22"/>
                <w:highlight w:val="none"/>
              </w:rPr>
            </w:pPr>
          </w:p>
        </w:tc>
      </w:tr>
      <w:tr w14:paraId="0757A7A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5" w:hRule="atLeast"/>
        </w:trPr>
        <w:tc>
          <w:tcPr>
            <w:tcW w:w="540" w:type="dxa"/>
            <w:shd w:val="clear" w:color="auto" w:fill="auto"/>
            <w:vAlign w:val="center"/>
          </w:tcPr>
          <w:p w14:paraId="1FE37260">
            <w:pPr>
              <w:jc w:val="center"/>
              <w:rPr>
                <w:color w:val="000000"/>
                <w:sz w:val="22"/>
                <w:szCs w:val="22"/>
                <w:highlight w:val="none"/>
              </w:rPr>
            </w:pPr>
            <w:r>
              <w:rPr>
                <w:color w:val="000000"/>
                <w:sz w:val="22"/>
                <w:szCs w:val="22"/>
                <w:highlight w:val="none"/>
              </w:rPr>
              <w:t>7</w:t>
            </w:r>
          </w:p>
        </w:tc>
        <w:tc>
          <w:tcPr>
            <w:tcW w:w="3298" w:type="dxa"/>
            <w:shd w:val="clear" w:color="auto" w:fill="auto"/>
            <w:vAlign w:val="center"/>
          </w:tcPr>
          <w:p w14:paraId="55980268">
            <w:pPr>
              <w:rPr>
                <w:color w:val="000000"/>
                <w:sz w:val="22"/>
                <w:szCs w:val="22"/>
                <w:highlight w:val="none"/>
              </w:rPr>
            </w:pPr>
            <w:r>
              <w:rPr>
                <w:color w:val="000000"/>
                <w:sz w:val="22"/>
                <w:szCs w:val="22"/>
                <w:highlight w:val="none"/>
              </w:rPr>
              <w:t>Health &amp; Safety Specialist (1no.)</w:t>
            </w:r>
          </w:p>
        </w:tc>
        <w:tc>
          <w:tcPr>
            <w:tcW w:w="3419" w:type="dxa"/>
            <w:shd w:val="clear" w:color="auto" w:fill="auto"/>
            <w:vAlign w:val="center"/>
          </w:tcPr>
          <w:p w14:paraId="13FF88DA">
            <w:pPr>
              <w:rPr>
                <w:color w:val="000000"/>
                <w:sz w:val="22"/>
                <w:szCs w:val="22"/>
                <w:highlight w:val="none"/>
              </w:rPr>
            </w:pPr>
            <w:r>
              <w:rPr>
                <w:color w:val="000000"/>
                <w:sz w:val="22"/>
                <w:szCs w:val="22"/>
                <w:highlight w:val="none"/>
              </w:rPr>
              <w:t>Degree in Occupational Health and Safety, Environmental Health, or a related field. A minimum of 7 years of professional experience in developing, implementing, and managing health and safety programs, with at least 3 years of experience in a similar role within the construction or wastewater engineering sectors in Kenya. Knowledgeable about local health and safety regulations and standards set by the Occupational Safety and Health Administration (OSHA) in Kenya, as well as risk assessment methodologies and safety management systems. Certification in health and safety, such as NEBOSH or IOSH, is highly desirable. Proven experience in conducting safety audits, training staff on safety practices, and promoting a culture of safety on site is essential.</w:t>
            </w:r>
          </w:p>
        </w:tc>
        <w:tc>
          <w:tcPr>
            <w:tcW w:w="1821" w:type="dxa"/>
            <w:shd w:val="clear" w:color="auto" w:fill="auto"/>
            <w:vAlign w:val="center"/>
          </w:tcPr>
          <w:p w14:paraId="32156E3E">
            <w:pPr>
              <w:jc w:val="center"/>
              <w:rPr>
                <w:color w:val="000000"/>
                <w:sz w:val="22"/>
                <w:szCs w:val="22"/>
                <w:highlight w:val="none"/>
              </w:rPr>
            </w:pPr>
            <w:r>
              <w:rPr>
                <w:color w:val="000000"/>
                <w:sz w:val="22"/>
                <w:szCs w:val="22"/>
                <w:highlight w:val="none"/>
              </w:rPr>
              <w:t>7</w:t>
            </w:r>
          </w:p>
        </w:tc>
        <w:tc>
          <w:tcPr>
            <w:tcW w:w="1564" w:type="dxa"/>
            <w:shd w:val="clear" w:color="auto" w:fill="auto"/>
            <w:vAlign w:val="center"/>
          </w:tcPr>
          <w:p w14:paraId="0AA1DA56">
            <w:pPr>
              <w:jc w:val="center"/>
              <w:rPr>
                <w:color w:val="000000"/>
                <w:sz w:val="22"/>
                <w:szCs w:val="22"/>
                <w:highlight w:val="none"/>
              </w:rPr>
            </w:pPr>
            <w:r>
              <w:rPr>
                <w:color w:val="000000"/>
                <w:sz w:val="22"/>
                <w:szCs w:val="22"/>
                <w:highlight w:val="none"/>
              </w:rPr>
              <w:t>3</w:t>
            </w:r>
          </w:p>
        </w:tc>
      </w:tr>
      <w:tr w14:paraId="0A16AD2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5" w:hRule="atLeast"/>
        </w:trPr>
        <w:tc>
          <w:tcPr>
            <w:tcW w:w="540" w:type="dxa"/>
            <w:shd w:val="clear" w:color="auto" w:fill="auto"/>
            <w:vAlign w:val="center"/>
          </w:tcPr>
          <w:p w14:paraId="546689D2">
            <w:pPr>
              <w:jc w:val="center"/>
              <w:rPr>
                <w:color w:val="000000"/>
                <w:sz w:val="22"/>
                <w:szCs w:val="22"/>
                <w:highlight w:val="none"/>
              </w:rPr>
            </w:pPr>
            <w:r>
              <w:rPr>
                <w:color w:val="000000"/>
                <w:sz w:val="22"/>
                <w:szCs w:val="22"/>
                <w:highlight w:val="none"/>
              </w:rPr>
              <w:t>8</w:t>
            </w:r>
          </w:p>
        </w:tc>
        <w:tc>
          <w:tcPr>
            <w:tcW w:w="3298" w:type="dxa"/>
            <w:shd w:val="clear" w:color="auto" w:fill="auto"/>
            <w:vAlign w:val="center"/>
          </w:tcPr>
          <w:p w14:paraId="7199C754">
            <w:pPr>
              <w:rPr>
                <w:color w:val="000000"/>
                <w:sz w:val="22"/>
                <w:szCs w:val="22"/>
                <w:highlight w:val="none"/>
              </w:rPr>
            </w:pPr>
            <w:r>
              <w:rPr>
                <w:color w:val="000000"/>
                <w:sz w:val="22"/>
                <w:szCs w:val="22"/>
                <w:highlight w:val="none"/>
              </w:rPr>
              <w:t>Artisans 4 No. (electrical technical, plumber/pipe fitter, mason, steel fixer)</w:t>
            </w:r>
          </w:p>
          <w:p w14:paraId="491EF043">
            <w:pPr>
              <w:rPr>
                <w:color w:val="000000"/>
                <w:sz w:val="22"/>
                <w:szCs w:val="22"/>
                <w:highlight w:val="none"/>
              </w:rPr>
            </w:pPr>
          </w:p>
        </w:tc>
        <w:tc>
          <w:tcPr>
            <w:tcW w:w="3419" w:type="dxa"/>
            <w:shd w:val="clear" w:color="auto" w:fill="auto"/>
            <w:vAlign w:val="center"/>
          </w:tcPr>
          <w:p w14:paraId="34A4350A">
            <w:pPr>
              <w:rPr>
                <w:color w:val="000000"/>
                <w:sz w:val="22"/>
                <w:szCs w:val="22"/>
                <w:highlight w:val="none"/>
              </w:rPr>
            </w:pPr>
            <w:r>
              <w:rPr>
                <w:sz w:val="22"/>
                <w:szCs w:val="22"/>
                <w:highlight w:val="none"/>
              </w:rPr>
              <w:t>Government Trade Test Grade 1.</w:t>
            </w:r>
          </w:p>
          <w:p w14:paraId="14DDFD8B">
            <w:pPr>
              <w:rPr>
                <w:b/>
                <w:bCs/>
                <w:color w:val="000000"/>
                <w:sz w:val="22"/>
                <w:szCs w:val="22"/>
                <w:highlight w:val="none"/>
              </w:rPr>
            </w:pPr>
          </w:p>
        </w:tc>
        <w:tc>
          <w:tcPr>
            <w:tcW w:w="1821" w:type="dxa"/>
            <w:shd w:val="clear" w:color="auto" w:fill="auto"/>
            <w:vAlign w:val="center"/>
          </w:tcPr>
          <w:p w14:paraId="16BDF7EB">
            <w:pPr>
              <w:jc w:val="center"/>
              <w:rPr>
                <w:color w:val="000000"/>
                <w:sz w:val="22"/>
                <w:szCs w:val="22"/>
                <w:highlight w:val="none"/>
              </w:rPr>
            </w:pPr>
            <w:r>
              <w:rPr>
                <w:color w:val="000000"/>
                <w:sz w:val="22"/>
                <w:szCs w:val="22"/>
                <w:highlight w:val="none"/>
              </w:rPr>
              <w:t>7</w:t>
            </w:r>
          </w:p>
        </w:tc>
        <w:tc>
          <w:tcPr>
            <w:tcW w:w="1564" w:type="dxa"/>
            <w:shd w:val="clear" w:color="auto" w:fill="auto"/>
            <w:vAlign w:val="center"/>
          </w:tcPr>
          <w:p w14:paraId="657870F9">
            <w:pPr>
              <w:jc w:val="center"/>
              <w:rPr>
                <w:color w:val="000000"/>
                <w:sz w:val="22"/>
                <w:szCs w:val="22"/>
                <w:highlight w:val="none"/>
              </w:rPr>
            </w:pPr>
            <w:r>
              <w:rPr>
                <w:color w:val="000000"/>
                <w:sz w:val="22"/>
                <w:szCs w:val="22"/>
                <w:highlight w:val="none"/>
              </w:rPr>
              <w:t>3</w:t>
            </w:r>
          </w:p>
        </w:tc>
      </w:tr>
    </w:tbl>
    <w:p w14:paraId="556F9F21">
      <w:pPr>
        <w:pStyle w:val="157"/>
      </w:pPr>
    </w:p>
    <w:p w14:paraId="3B48765C">
      <w:pPr>
        <w:pStyle w:val="157"/>
        <w:jc w:val="both"/>
      </w:pPr>
      <w:bookmarkStart w:id="526" w:name="_Toc179504031"/>
      <w:r>
        <w:t>Supplementary Information</w:t>
      </w:r>
      <w:bookmarkEnd w:id="526"/>
    </w:p>
    <w:p w14:paraId="528BCDFA">
      <w:pPr>
        <w:pStyle w:val="176"/>
        <w:ind w:left="0" w:leftChars="0" w:firstLine="0" w:firstLineChars="0"/>
        <w:rPr>
          <w:b/>
          <w:u w:val="single"/>
        </w:rPr>
      </w:pPr>
      <w:r>
        <w:rPr>
          <w:b/>
          <w:u w:val="single"/>
        </w:rPr>
        <w:t>Contractor’s Camps</w:t>
      </w:r>
    </w:p>
    <w:p w14:paraId="3BF4D146">
      <w:pPr>
        <w:jc w:val="both"/>
        <w:rPr>
          <w:sz w:val="18"/>
        </w:rPr>
      </w:pPr>
    </w:p>
    <w:p w14:paraId="5B7CB328">
      <w:pPr>
        <w:pStyle w:val="157"/>
        <w:jc w:val="both"/>
      </w:pPr>
      <w:r>
        <w:rPr>
          <w:sz w:val="23"/>
          <w:szCs w:val="23"/>
        </w:rPr>
        <w:t xml:space="preserve">Apart from the Project site (area), the employer has no available land to offer for Contractor’s Camps, storage of materials and preparation of concrete etc.  Identification and procurement where necessary of suitable area of land for Contractor’s Camp whether rented or purchased is the responsibility of the Contractor. </w:t>
      </w:r>
    </w:p>
    <w:p w14:paraId="7DDD9BB1">
      <w:pPr>
        <w:pStyle w:val="157"/>
      </w:pPr>
      <w:r>
        <w:br w:type="page"/>
      </w:r>
      <w:bookmarkStart w:id="527" w:name="_Toc23238062"/>
      <w:bookmarkStart w:id="528" w:name="_Toc73867682"/>
      <w:bookmarkStart w:id="529" w:name="_Toc41971553"/>
      <w:bookmarkStart w:id="530" w:name="_Toc70500481"/>
      <w:bookmarkStart w:id="531" w:name="_Toc179504030"/>
      <w:bookmarkStart w:id="532" w:name="_Toc78273064"/>
      <w:bookmarkStart w:id="533" w:name="_Toc23233013"/>
      <w:bookmarkStart w:id="534" w:name="_Toc41971554"/>
      <w:bookmarkStart w:id="535" w:name="_Toc73867683"/>
      <w:bookmarkStart w:id="536" w:name="_Toc23238063"/>
      <w:bookmarkStart w:id="537" w:name="_Toc23233014"/>
      <w:r>
        <w:t>Drawings</w:t>
      </w:r>
      <w:bookmarkEnd w:id="527"/>
      <w:bookmarkEnd w:id="528"/>
      <w:bookmarkEnd w:id="529"/>
      <w:bookmarkEnd w:id="530"/>
      <w:bookmarkEnd w:id="531"/>
      <w:bookmarkEnd w:id="532"/>
      <w:bookmarkEnd w:id="533"/>
    </w:p>
    <w:p w14:paraId="39AAC120"/>
    <w:p w14:paraId="66BFAAC9">
      <w:pPr>
        <w:pStyle w:val="75"/>
        <w:spacing w:after="0" w:line="240" w:lineRule="auto"/>
        <w:ind w:right="288"/>
        <w:rPr>
          <w:rFonts w:ascii="Times New Roman" w:hAnsi="Times New Roman"/>
          <w:sz w:val="24"/>
          <w:szCs w:val="24"/>
        </w:rPr>
      </w:pPr>
    </w:p>
    <w:p w14:paraId="6207C9C4">
      <w:pPr>
        <w:pStyle w:val="75"/>
        <w:spacing w:after="0" w:line="240" w:lineRule="auto"/>
        <w:ind w:right="288"/>
        <w:rPr>
          <w:rFonts w:cs="Arial"/>
          <w:b/>
          <w:sz w:val="28"/>
          <w:szCs w:val="28"/>
        </w:rPr>
      </w:pPr>
      <w:r>
        <w:rPr>
          <w:rFonts w:ascii="Times New Roman" w:hAnsi="Times New Roman"/>
          <w:b/>
          <w:sz w:val="28"/>
          <w:szCs w:val="28"/>
        </w:rPr>
        <w:t>The Engineering Drawings are given in Volume III of the Bidding Documents</w:t>
      </w:r>
      <w:r>
        <w:rPr>
          <w:b/>
          <w:sz w:val="28"/>
          <w:szCs w:val="28"/>
        </w:rPr>
        <w:t>.</w:t>
      </w:r>
    </w:p>
    <w:p w14:paraId="4F7ACD83"/>
    <w:p w14:paraId="3BAB85DD">
      <w:pPr>
        <w:rPr>
          <w:rFonts w:cs="Arial"/>
          <w:b/>
          <w:sz w:val="32"/>
        </w:rPr>
      </w:pPr>
      <w:bookmarkStart w:id="538" w:name="_Toc78273065"/>
      <w:r>
        <w:br w:type="page"/>
      </w:r>
    </w:p>
    <w:bookmarkEnd w:id="534"/>
    <w:bookmarkEnd w:id="535"/>
    <w:bookmarkEnd w:id="536"/>
    <w:bookmarkEnd w:id="537"/>
    <w:bookmarkEnd w:id="538"/>
    <w:p w14:paraId="68FD9163"/>
    <w:p w14:paraId="4A3265AE"/>
    <w:p w14:paraId="3083A9E0"/>
    <w:p w14:paraId="0E6F6253">
      <w:pPr>
        <w:pStyle w:val="158"/>
      </w:pPr>
      <w:bookmarkStart w:id="539" w:name="_Toc178543294"/>
      <w:r>
        <w:t>PART 3 – Conditions of Contract and Contract Forms</w:t>
      </w:r>
      <w:bookmarkEnd w:id="539"/>
    </w:p>
    <w:p w14:paraId="2A04D60A">
      <w:pPr>
        <w:pStyle w:val="158"/>
        <w:tabs>
          <w:tab w:val="left" w:pos="2835"/>
        </w:tabs>
        <w:jc w:val="left"/>
      </w:pPr>
      <w:r>
        <w:tab/>
      </w:r>
    </w:p>
    <w:p w14:paraId="4819485D"/>
    <w:p w14:paraId="621BB84E">
      <w:r>
        <w:br w:type="page"/>
      </w:r>
    </w:p>
    <w:p w14:paraId="5C7A8457">
      <w:pPr>
        <w:pStyle w:val="54"/>
      </w:pPr>
      <w:bookmarkStart w:id="540" w:name="_Toc87070116"/>
      <w:bookmarkStart w:id="541" w:name="_Toc178543295"/>
      <w:r>
        <w:t>Section VIII.  General Conditions of Contract</w:t>
      </w:r>
      <w:bookmarkEnd w:id="540"/>
      <w:bookmarkEnd w:id="541"/>
    </w:p>
    <w:p w14:paraId="6333EF0C"/>
    <w:p w14:paraId="5A667959"/>
    <w:p w14:paraId="284A2AF1"/>
    <w:p w14:paraId="405E30B3">
      <w:pPr>
        <w:jc w:val="both"/>
      </w:pPr>
      <w:r>
        <w:t>These General Conditions of Contract (GCC), read in conjunction with the Particular Conditions of Contract</w:t>
      </w:r>
      <w:r>
        <w:rPr>
          <w:i/>
        </w:rPr>
        <w:t xml:space="preserve"> </w:t>
      </w:r>
      <w:r>
        <w:t>(PCC) and other documents listed therein, should be a complete document expressing fairly the rights and obligations of both parties.</w:t>
      </w:r>
    </w:p>
    <w:p w14:paraId="787F1200">
      <w:pPr>
        <w:jc w:val="both"/>
      </w:pPr>
    </w:p>
    <w:p w14:paraId="3DE27513">
      <w:pPr>
        <w:jc w:val="both"/>
      </w:pPr>
      <w:r>
        <w:t>These General Conditions of Contract have been developed on the basis of considerable international experience in the drafting and management of contracts, bearing in mind a trend in the construction industry towards simpler, more straightforward language.</w:t>
      </w:r>
    </w:p>
    <w:p w14:paraId="33B2231C">
      <w:pPr>
        <w:jc w:val="both"/>
      </w:pPr>
    </w:p>
    <w:p w14:paraId="53F9AE68">
      <w:pPr>
        <w:jc w:val="both"/>
      </w:pPr>
      <w:r>
        <w:t>The GCC can be used for both smaller admeasurement contracts and lump sum contracts.</w:t>
      </w:r>
    </w:p>
    <w:p w14:paraId="2CA49F54"/>
    <w:p w14:paraId="4281214C"/>
    <w:p w14:paraId="6EE73AE5"/>
    <w:p w14:paraId="37CB5EAD">
      <w:pPr>
        <w:pStyle w:val="3"/>
        <w:rPr>
          <w:rFonts w:ascii="Times New Roman" w:hAnsi="Times New Roman" w:cs="Times New Roman"/>
        </w:rPr>
      </w:pPr>
      <w:r>
        <w:br w:type="page"/>
      </w:r>
      <w:bookmarkStart w:id="542" w:name="_Toc432229765"/>
      <w:bookmarkStart w:id="543" w:name="_Toc432663763"/>
      <w:bookmarkStart w:id="544" w:name="_Toc87070117"/>
      <w:bookmarkStart w:id="545" w:name="_Toc433224194"/>
      <w:bookmarkStart w:id="546" w:name="_Toc448224319"/>
      <w:bookmarkStart w:id="547" w:name="_Toc435519301"/>
      <w:bookmarkStart w:id="548" w:name="_Toc435624936"/>
      <w:bookmarkStart w:id="549" w:name="_Toc440526110"/>
      <w:r>
        <w:rPr>
          <w:rFonts w:ascii="Times New Roman" w:hAnsi="Times New Roman" w:cs="Times New Roman"/>
        </w:rPr>
        <w:t>Table of Clauses</w:t>
      </w:r>
      <w:bookmarkEnd w:id="542"/>
      <w:bookmarkEnd w:id="543"/>
      <w:bookmarkEnd w:id="544"/>
      <w:bookmarkEnd w:id="545"/>
      <w:bookmarkEnd w:id="546"/>
      <w:bookmarkEnd w:id="547"/>
      <w:bookmarkEnd w:id="548"/>
      <w:bookmarkEnd w:id="549"/>
    </w:p>
    <w:p w14:paraId="25EC8934">
      <w:pPr>
        <w:pStyle w:val="59"/>
        <w:rPr>
          <w:rFonts w:asciiTheme="minorHAnsi" w:hAnsiTheme="minorHAnsi" w:eastAsiaTheme="minorEastAsia" w:cstheme="minorBidi"/>
          <w:sz w:val="22"/>
          <w:szCs w:val="22"/>
        </w:rPr>
      </w:pPr>
      <w:r>
        <w:rPr>
          <w:b/>
        </w:rPr>
        <w:fldChar w:fldCharType="begin"/>
      </w:r>
      <w:r>
        <w:instrText xml:space="preserve"> TOC \h \z \t "Section 8 - Section,1,Section 8 - Clauses,2" </w:instrText>
      </w:r>
      <w:r>
        <w:rPr>
          <w:b/>
        </w:rPr>
        <w:fldChar w:fldCharType="separate"/>
      </w:r>
      <w:r>
        <w:fldChar w:fldCharType="begin"/>
      </w:r>
      <w:r>
        <w:instrText xml:space="preserve"> HYPERLINK \l "_Toc29906882" </w:instrText>
      </w:r>
      <w:r>
        <w:fldChar w:fldCharType="separate"/>
      </w:r>
      <w:r>
        <w:rPr>
          <w:rStyle w:val="31"/>
        </w:rPr>
        <w:t>1.</w:t>
      </w:r>
      <w:r>
        <w:rPr>
          <w:rFonts w:asciiTheme="minorHAnsi" w:hAnsiTheme="minorHAnsi" w:eastAsiaTheme="minorEastAsia" w:cstheme="minorBidi"/>
          <w:sz w:val="22"/>
          <w:szCs w:val="22"/>
        </w:rPr>
        <w:tab/>
      </w:r>
      <w:r>
        <w:rPr>
          <w:rStyle w:val="31"/>
        </w:rPr>
        <w:t>Definitions</w:t>
      </w:r>
      <w:r>
        <w:tab/>
      </w:r>
      <w:r>
        <w:fldChar w:fldCharType="begin"/>
      </w:r>
      <w:r>
        <w:instrText xml:space="preserve"> PAGEREF _Toc29906882 \h </w:instrText>
      </w:r>
      <w:r>
        <w:fldChar w:fldCharType="separate"/>
      </w:r>
      <w:r>
        <w:t>122</w:t>
      </w:r>
      <w:r>
        <w:fldChar w:fldCharType="end"/>
      </w:r>
      <w:r>
        <w:fldChar w:fldCharType="end"/>
      </w:r>
    </w:p>
    <w:p w14:paraId="7E5859C5">
      <w:pPr>
        <w:pStyle w:val="59"/>
        <w:rPr>
          <w:rFonts w:asciiTheme="minorHAnsi" w:hAnsiTheme="minorHAnsi" w:eastAsiaTheme="minorEastAsia" w:cstheme="minorBidi"/>
          <w:sz w:val="22"/>
          <w:szCs w:val="22"/>
        </w:rPr>
      </w:pPr>
      <w:r>
        <w:fldChar w:fldCharType="begin"/>
      </w:r>
      <w:r>
        <w:instrText xml:space="preserve"> HYPERLINK \l "_Toc29906883" </w:instrText>
      </w:r>
      <w:r>
        <w:fldChar w:fldCharType="separate"/>
      </w:r>
      <w:r>
        <w:rPr>
          <w:rStyle w:val="31"/>
        </w:rPr>
        <w:t>2.</w:t>
      </w:r>
      <w:r>
        <w:rPr>
          <w:rFonts w:asciiTheme="minorHAnsi" w:hAnsiTheme="minorHAnsi" w:eastAsiaTheme="minorEastAsia" w:cstheme="minorBidi"/>
          <w:sz w:val="22"/>
          <w:szCs w:val="22"/>
        </w:rPr>
        <w:tab/>
      </w:r>
      <w:r>
        <w:rPr>
          <w:rStyle w:val="31"/>
        </w:rPr>
        <w:t>Interpretation</w:t>
      </w:r>
      <w:r>
        <w:tab/>
      </w:r>
      <w:r>
        <w:fldChar w:fldCharType="begin"/>
      </w:r>
      <w:r>
        <w:instrText xml:space="preserve"> PAGEREF _Toc29906883 \h </w:instrText>
      </w:r>
      <w:r>
        <w:fldChar w:fldCharType="separate"/>
      </w:r>
      <w:r>
        <w:t>125</w:t>
      </w:r>
      <w:r>
        <w:fldChar w:fldCharType="end"/>
      </w:r>
      <w:r>
        <w:fldChar w:fldCharType="end"/>
      </w:r>
    </w:p>
    <w:p w14:paraId="1E78C3A8">
      <w:pPr>
        <w:pStyle w:val="59"/>
        <w:rPr>
          <w:rFonts w:asciiTheme="minorHAnsi" w:hAnsiTheme="minorHAnsi" w:eastAsiaTheme="minorEastAsia" w:cstheme="minorBidi"/>
          <w:sz w:val="22"/>
          <w:szCs w:val="22"/>
        </w:rPr>
      </w:pPr>
      <w:r>
        <w:fldChar w:fldCharType="begin"/>
      </w:r>
      <w:r>
        <w:instrText xml:space="preserve"> HYPERLINK \l "_Toc29906884" </w:instrText>
      </w:r>
      <w:r>
        <w:fldChar w:fldCharType="separate"/>
      </w:r>
      <w:r>
        <w:rPr>
          <w:rStyle w:val="31"/>
        </w:rPr>
        <w:t>3.</w:t>
      </w:r>
      <w:r>
        <w:rPr>
          <w:rFonts w:asciiTheme="minorHAnsi" w:hAnsiTheme="minorHAnsi" w:eastAsiaTheme="minorEastAsia" w:cstheme="minorBidi"/>
          <w:sz w:val="22"/>
          <w:szCs w:val="22"/>
        </w:rPr>
        <w:tab/>
      </w:r>
      <w:r>
        <w:rPr>
          <w:rStyle w:val="31"/>
        </w:rPr>
        <w:t>Language and Law</w:t>
      </w:r>
      <w:r>
        <w:tab/>
      </w:r>
      <w:r>
        <w:fldChar w:fldCharType="begin"/>
      </w:r>
      <w:r>
        <w:instrText xml:space="preserve"> PAGEREF _Toc29906884 \h </w:instrText>
      </w:r>
      <w:r>
        <w:fldChar w:fldCharType="separate"/>
      </w:r>
      <w:r>
        <w:t>126</w:t>
      </w:r>
      <w:r>
        <w:fldChar w:fldCharType="end"/>
      </w:r>
      <w:r>
        <w:fldChar w:fldCharType="end"/>
      </w:r>
    </w:p>
    <w:p w14:paraId="19F6C140">
      <w:pPr>
        <w:pStyle w:val="59"/>
        <w:rPr>
          <w:rFonts w:asciiTheme="minorHAnsi" w:hAnsiTheme="minorHAnsi" w:eastAsiaTheme="minorEastAsia" w:cstheme="minorBidi"/>
          <w:sz w:val="22"/>
          <w:szCs w:val="22"/>
        </w:rPr>
      </w:pPr>
      <w:r>
        <w:fldChar w:fldCharType="begin"/>
      </w:r>
      <w:r>
        <w:instrText xml:space="preserve"> HYPERLINK \l "_Toc29906885" </w:instrText>
      </w:r>
      <w:r>
        <w:fldChar w:fldCharType="separate"/>
      </w:r>
      <w:r>
        <w:rPr>
          <w:rStyle w:val="31"/>
        </w:rPr>
        <w:t>4.</w:t>
      </w:r>
      <w:r>
        <w:rPr>
          <w:rFonts w:asciiTheme="minorHAnsi" w:hAnsiTheme="minorHAnsi" w:eastAsiaTheme="minorEastAsia" w:cstheme="minorBidi"/>
          <w:sz w:val="22"/>
          <w:szCs w:val="22"/>
        </w:rPr>
        <w:tab/>
      </w:r>
      <w:r>
        <w:rPr>
          <w:rStyle w:val="31"/>
        </w:rPr>
        <w:t>Project Manager’s Decisions</w:t>
      </w:r>
      <w:r>
        <w:tab/>
      </w:r>
      <w:r>
        <w:fldChar w:fldCharType="begin"/>
      </w:r>
      <w:r>
        <w:instrText xml:space="preserve"> PAGEREF _Toc29906885 \h </w:instrText>
      </w:r>
      <w:r>
        <w:fldChar w:fldCharType="separate"/>
      </w:r>
      <w:r>
        <w:t>126</w:t>
      </w:r>
      <w:r>
        <w:fldChar w:fldCharType="end"/>
      </w:r>
      <w:r>
        <w:fldChar w:fldCharType="end"/>
      </w:r>
    </w:p>
    <w:p w14:paraId="2A607716">
      <w:pPr>
        <w:pStyle w:val="59"/>
        <w:rPr>
          <w:rFonts w:asciiTheme="minorHAnsi" w:hAnsiTheme="minorHAnsi" w:eastAsiaTheme="minorEastAsia" w:cstheme="minorBidi"/>
          <w:sz w:val="22"/>
          <w:szCs w:val="22"/>
        </w:rPr>
      </w:pPr>
      <w:r>
        <w:fldChar w:fldCharType="begin"/>
      </w:r>
      <w:r>
        <w:instrText xml:space="preserve"> HYPERLINK \l "_Toc29906886" </w:instrText>
      </w:r>
      <w:r>
        <w:fldChar w:fldCharType="separate"/>
      </w:r>
      <w:r>
        <w:rPr>
          <w:rStyle w:val="31"/>
        </w:rPr>
        <w:t>5.</w:t>
      </w:r>
      <w:r>
        <w:rPr>
          <w:rFonts w:asciiTheme="minorHAnsi" w:hAnsiTheme="minorHAnsi" w:eastAsiaTheme="minorEastAsia" w:cstheme="minorBidi"/>
          <w:sz w:val="22"/>
          <w:szCs w:val="22"/>
        </w:rPr>
        <w:tab/>
      </w:r>
      <w:r>
        <w:rPr>
          <w:rStyle w:val="31"/>
        </w:rPr>
        <w:t>Delegation</w:t>
      </w:r>
      <w:r>
        <w:tab/>
      </w:r>
      <w:r>
        <w:fldChar w:fldCharType="begin"/>
      </w:r>
      <w:r>
        <w:instrText xml:space="preserve"> PAGEREF _Toc29906886 \h </w:instrText>
      </w:r>
      <w:r>
        <w:fldChar w:fldCharType="separate"/>
      </w:r>
      <w:r>
        <w:t>126</w:t>
      </w:r>
      <w:r>
        <w:fldChar w:fldCharType="end"/>
      </w:r>
      <w:r>
        <w:fldChar w:fldCharType="end"/>
      </w:r>
    </w:p>
    <w:p w14:paraId="51C561BB">
      <w:pPr>
        <w:pStyle w:val="59"/>
        <w:rPr>
          <w:rFonts w:asciiTheme="minorHAnsi" w:hAnsiTheme="minorHAnsi" w:eastAsiaTheme="minorEastAsia" w:cstheme="minorBidi"/>
          <w:sz w:val="22"/>
          <w:szCs w:val="22"/>
        </w:rPr>
      </w:pPr>
      <w:r>
        <w:fldChar w:fldCharType="begin"/>
      </w:r>
      <w:r>
        <w:instrText xml:space="preserve"> HYPERLINK \l "_Toc29906887" </w:instrText>
      </w:r>
      <w:r>
        <w:fldChar w:fldCharType="separate"/>
      </w:r>
      <w:r>
        <w:rPr>
          <w:rStyle w:val="31"/>
        </w:rPr>
        <w:t>6.</w:t>
      </w:r>
      <w:r>
        <w:rPr>
          <w:rFonts w:asciiTheme="minorHAnsi" w:hAnsiTheme="minorHAnsi" w:eastAsiaTheme="minorEastAsia" w:cstheme="minorBidi"/>
          <w:sz w:val="22"/>
          <w:szCs w:val="22"/>
        </w:rPr>
        <w:tab/>
      </w:r>
      <w:r>
        <w:rPr>
          <w:rStyle w:val="31"/>
        </w:rPr>
        <w:t>Communications</w:t>
      </w:r>
      <w:r>
        <w:tab/>
      </w:r>
      <w:r>
        <w:fldChar w:fldCharType="begin"/>
      </w:r>
      <w:r>
        <w:instrText xml:space="preserve"> PAGEREF _Toc29906887 \h </w:instrText>
      </w:r>
      <w:r>
        <w:fldChar w:fldCharType="separate"/>
      </w:r>
      <w:r>
        <w:t>126</w:t>
      </w:r>
      <w:r>
        <w:fldChar w:fldCharType="end"/>
      </w:r>
      <w:r>
        <w:fldChar w:fldCharType="end"/>
      </w:r>
    </w:p>
    <w:p w14:paraId="1C431B80">
      <w:pPr>
        <w:pStyle w:val="59"/>
        <w:rPr>
          <w:rFonts w:asciiTheme="minorHAnsi" w:hAnsiTheme="minorHAnsi" w:eastAsiaTheme="minorEastAsia" w:cstheme="minorBidi"/>
          <w:sz w:val="22"/>
          <w:szCs w:val="22"/>
        </w:rPr>
      </w:pPr>
      <w:r>
        <w:fldChar w:fldCharType="begin"/>
      </w:r>
      <w:r>
        <w:instrText xml:space="preserve"> HYPERLINK \l "_Toc29906888" </w:instrText>
      </w:r>
      <w:r>
        <w:fldChar w:fldCharType="separate"/>
      </w:r>
      <w:r>
        <w:rPr>
          <w:rStyle w:val="31"/>
        </w:rPr>
        <w:t>7.</w:t>
      </w:r>
      <w:r>
        <w:rPr>
          <w:rFonts w:asciiTheme="minorHAnsi" w:hAnsiTheme="minorHAnsi" w:eastAsiaTheme="minorEastAsia" w:cstheme="minorBidi"/>
          <w:sz w:val="22"/>
          <w:szCs w:val="22"/>
        </w:rPr>
        <w:tab/>
      </w:r>
      <w:r>
        <w:rPr>
          <w:rStyle w:val="31"/>
        </w:rPr>
        <w:t>Subcontracting</w:t>
      </w:r>
      <w:r>
        <w:tab/>
      </w:r>
      <w:r>
        <w:fldChar w:fldCharType="begin"/>
      </w:r>
      <w:r>
        <w:instrText xml:space="preserve"> PAGEREF _Toc29906888 \h </w:instrText>
      </w:r>
      <w:r>
        <w:fldChar w:fldCharType="separate"/>
      </w:r>
      <w:r>
        <w:t>126</w:t>
      </w:r>
      <w:r>
        <w:fldChar w:fldCharType="end"/>
      </w:r>
      <w:r>
        <w:fldChar w:fldCharType="end"/>
      </w:r>
    </w:p>
    <w:p w14:paraId="5582CBCD">
      <w:pPr>
        <w:pStyle w:val="59"/>
        <w:rPr>
          <w:rFonts w:asciiTheme="minorHAnsi" w:hAnsiTheme="minorHAnsi" w:eastAsiaTheme="minorEastAsia" w:cstheme="minorBidi"/>
          <w:sz w:val="22"/>
          <w:szCs w:val="22"/>
        </w:rPr>
      </w:pPr>
      <w:r>
        <w:fldChar w:fldCharType="begin"/>
      </w:r>
      <w:r>
        <w:instrText xml:space="preserve"> HYPERLINK \l "_Toc29906889" </w:instrText>
      </w:r>
      <w:r>
        <w:fldChar w:fldCharType="separate"/>
      </w:r>
      <w:r>
        <w:rPr>
          <w:rStyle w:val="31"/>
        </w:rPr>
        <w:t>8.</w:t>
      </w:r>
      <w:r>
        <w:rPr>
          <w:rFonts w:asciiTheme="minorHAnsi" w:hAnsiTheme="minorHAnsi" w:eastAsiaTheme="minorEastAsia" w:cstheme="minorBidi"/>
          <w:sz w:val="22"/>
          <w:szCs w:val="22"/>
        </w:rPr>
        <w:tab/>
      </w:r>
      <w:r>
        <w:rPr>
          <w:rStyle w:val="31"/>
        </w:rPr>
        <w:t>Other Contractors</w:t>
      </w:r>
      <w:r>
        <w:tab/>
      </w:r>
      <w:r>
        <w:fldChar w:fldCharType="begin"/>
      </w:r>
      <w:r>
        <w:instrText xml:space="preserve"> PAGEREF _Toc29906889 \h </w:instrText>
      </w:r>
      <w:r>
        <w:fldChar w:fldCharType="separate"/>
      </w:r>
      <w:r>
        <w:t>127</w:t>
      </w:r>
      <w:r>
        <w:fldChar w:fldCharType="end"/>
      </w:r>
      <w:r>
        <w:fldChar w:fldCharType="end"/>
      </w:r>
    </w:p>
    <w:p w14:paraId="15D14A32">
      <w:pPr>
        <w:pStyle w:val="59"/>
        <w:rPr>
          <w:rFonts w:asciiTheme="minorHAnsi" w:hAnsiTheme="minorHAnsi" w:eastAsiaTheme="minorEastAsia" w:cstheme="minorBidi"/>
          <w:sz w:val="22"/>
          <w:szCs w:val="22"/>
        </w:rPr>
      </w:pPr>
      <w:r>
        <w:fldChar w:fldCharType="begin"/>
      </w:r>
      <w:r>
        <w:instrText xml:space="preserve"> HYPERLINK \l "_Toc29906890" </w:instrText>
      </w:r>
      <w:r>
        <w:fldChar w:fldCharType="separate"/>
      </w:r>
      <w:r>
        <w:rPr>
          <w:rStyle w:val="31"/>
        </w:rPr>
        <w:t>9.</w:t>
      </w:r>
      <w:r>
        <w:rPr>
          <w:rFonts w:asciiTheme="minorHAnsi" w:hAnsiTheme="minorHAnsi" w:eastAsiaTheme="minorEastAsia" w:cstheme="minorBidi"/>
          <w:sz w:val="22"/>
          <w:szCs w:val="22"/>
        </w:rPr>
        <w:tab/>
      </w:r>
      <w:r>
        <w:rPr>
          <w:rStyle w:val="31"/>
        </w:rPr>
        <w:t>Personnel and Equipment</w:t>
      </w:r>
      <w:r>
        <w:tab/>
      </w:r>
      <w:r>
        <w:fldChar w:fldCharType="begin"/>
      </w:r>
      <w:r>
        <w:instrText xml:space="preserve"> PAGEREF _Toc29906890 \h </w:instrText>
      </w:r>
      <w:r>
        <w:fldChar w:fldCharType="separate"/>
      </w:r>
      <w:r>
        <w:t>128</w:t>
      </w:r>
      <w:r>
        <w:fldChar w:fldCharType="end"/>
      </w:r>
      <w:r>
        <w:fldChar w:fldCharType="end"/>
      </w:r>
    </w:p>
    <w:p w14:paraId="19182806">
      <w:pPr>
        <w:pStyle w:val="59"/>
        <w:rPr>
          <w:rFonts w:asciiTheme="minorHAnsi" w:hAnsiTheme="minorHAnsi" w:eastAsiaTheme="minorEastAsia" w:cstheme="minorBidi"/>
          <w:sz w:val="22"/>
          <w:szCs w:val="22"/>
        </w:rPr>
      </w:pPr>
      <w:r>
        <w:fldChar w:fldCharType="begin"/>
      </w:r>
      <w:r>
        <w:instrText xml:space="preserve"> HYPERLINK \l "_Toc29906891" </w:instrText>
      </w:r>
      <w:r>
        <w:fldChar w:fldCharType="separate"/>
      </w:r>
      <w:r>
        <w:rPr>
          <w:rStyle w:val="31"/>
        </w:rPr>
        <w:t>10.</w:t>
      </w:r>
      <w:r>
        <w:rPr>
          <w:rFonts w:asciiTheme="minorHAnsi" w:hAnsiTheme="minorHAnsi" w:eastAsiaTheme="minorEastAsia" w:cstheme="minorBidi"/>
          <w:sz w:val="22"/>
          <w:szCs w:val="22"/>
        </w:rPr>
        <w:tab/>
      </w:r>
      <w:r>
        <w:rPr>
          <w:rStyle w:val="31"/>
        </w:rPr>
        <w:t>Employer’s and Contractor’s Risks</w:t>
      </w:r>
      <w:r>
        <w:tab/>
      </w:r>
      <w:r>
        <w:fldChar w:fldCharType="begin"/>
      </w:r>
      <w:r>
        <w:instrText xml:space="preserve"> PAGEREF _Toc29906891 \h </w:instrText>
      </w:r>
      <w:r>
        <w:fldChar w:fldCharType="separate"/>
      </w:r>
      <w:r>
        <w:t>133</w:t>
      </w:r>
      <w:r>
        <w:fldChar w:fldCharType="end"/>
      </w:r>
      <w:r>
        <w:fldChar w:fldCharType="end"/>
      </w:r>
    </w:p>
    <w:p w14:paraId="4EC42913">
      <w:pPr>
        <w:pStyle w:val="59"/>
        <w:rPr>
          <w:rFonts w:asciiTheme="minorHAnsi" w:hAnsiTheme="minorHAnsi" w:eastAsiaTheme="minorEastAsia" w:cstheme="minorBidi"/>
          <w:sz w:val="22"/>
          <w:szCs w:val="22"/>
        </w:rPr>
      </w:pPr>
      <w:r>
        <w:fldChar w:fldCharType="begin"/>
      </w:r>
      <w:r>
        <w:instrText xml:space="preserve"> HYPERLINK \l "_Toc29906892" </w:instrText>
      </w:r>
      <w:r>
        <w:fldChar w:fldCharType="separate"/>
      </w:r>
      <w:r>
        <w:rPr>
          <w:rStyle w:val="31"/>
        </w:rPr>
        <w:t>11.</w:t>
      </w:r>
      <w:r>
        <w:rPr>
          <w:rFonts w:asciiTheme="minorHAnsi" w:hAnsiTheme="minorHAnsi" w:eastAsiaTheme="minorEastAsia" w:cstheme="minorBidi"/>
          <w:sz w:val="22"/>
          <w:szCs w:val="22"/>
        </w:rPr>
        <w:tab/>
      </w:r>
      <w:r>
        <w:rPr>
          <w:rStyle w:val="31"/>
        </w:rPr>
        <w:t>Employer’s Risks</w:t>
      </w:r>
      <w:r>
        <w:tab/>
      </w:r>
      <w:r>
        <w:fldChar w:fldCharType="begin"/>
      </w:r>
      <w:r>
        <w:instrText xml:space="preserve"> PAGEREF _Toc29906892 \h </w:instrText>
      </w:r>
      <w:r>
        <w:fldChar w:fldCharType="separate"/>
      </w:r>
      <w:r>
        <w:t>133</w:t>
      </w:r>
      <w:r>
        <w:fldChar w:fldCharType="end"/>
      </w:r>
      <w:r>
        <w:fldChar w:fldCharType="end"/>
      </w:r>
    </w:p>
    <w:p w14:paraId="56688EE6">
      <w:pPr>
        <w:pStyle w:val="59"/>
        <w:rPr>
          <w:rFonts w:asciiTheme="minorHAnsi" w:hAnsiTheme="minorHAnsi" w:eastAsiaTheme="minorEastAsia" w:cstheme="minorBidi"/>
          <w:sz w:val="22"/>
          <w:szCs w:val="22"/>
        </w:rPr>
      </w:pPr>
      <w:r>
        <w:fldChar w:fldCharType="begin"/>
      </w:r>
      <w:r>
        <w:instrText xml:space="preserve"> HYPERLINK \l "_Toc29906893" </w:instrText>
      </w:r>
      <w:r>
        <w:fldChar w:fldCharType="separate"/>
      </w:r>
      <w:r>
        <w:rPr>
          <w:rStyle w:val="31"/>
        </w:rPr>
        <w:t>12.</w:t>
      </w:r>
      <w:r>
        <w:rPr>
          <w:rFonts w:asciiTheme="minorHAnsi" w:hAnsiTheme="minorHAnsi" w:eastAsiaTheme="minorEastAsia" w:cstheme="minorBidi"/>
          <w:sz w:val="22"/>
          <w:szCs w:val="22"/>
        </w:rPr>
        <w:tab/>
      </w:r>
      <w:r>
        <w:rPr>
          <w:rStyle w:val="31"/>
        </w:rPr>
        <w:t>Contractor’s Risks</w:t>
      </w:r>
      <w:r>
        <w:tab/>
      </w:r>
      <w:r>
        <w:fldChar w:fldCharType="begin"/>
      </w:r>
      <w:r>
        <w:instrText xml:space="preserve"> PAGEREF _Toc29906893 \h </w:instrText>
      </w:r>
      <w:r>
        <w:fldChar w:fldCharType="separate"/>
      </w:r>
      <w:r>
        <w:t>134</w:t>
      </w:r>
      <w:r>
        <w:fldChar w:fldCharType="end"/>
      </w:r>
      <w:r>
        <w:fldChar w:fldCharType="end"/>
      </w:r>
    </w:p>
    <w:p w14:paraId="043EF4F6">
      <w:pPr>
        <w:pStyle w:val="59"/>
        <w:rPr>
          <w:rFonts w:asciiTheme="minorHAnsi" w:hAnsiTheme="minorHAnsi" w:eastAsiaTheme="minorEastAsia" w:cstheme="minorBidi"/>
          <w:sz w:val="22"/>
          <w:szCs w:val="22"/>
        </w:rPr>
      </w:pPr>
      <w:r>
        <w:fldChar w:fldCharType="begin"/>
      </w:r>
      <w:r>
        <w:instrText xml:space="preserve"> HYPERLINK \l "_Toc29906894" </w:instrText>
      </w:r>
      <w:r>
        <w:fldChar w:fldCharType="separate"/>
      </w:r>
      <w:r>
        <w:rPr>
          <w:rStyle w:val="31"/>
        </w:rPr>
        <w:t>13.</w:t>
      </w:r>
      <w:r>
        <w:rPr>
          <w:rFonts w:asciiTheme="minorHAnsi" w:hAnsiTheme="minorHAnsi" w:eastAsiaTheme="minorEastAsia" w:cstheme="minorBidi"/>
          <w:sz w:val="22"/>
          <w:szCs w:val="22"/>
        </w:rPr>
        <w:tab/>
      </w:r>
      <w:r>
        <w:rPr>
          <w:rStyle w:val="31"/>
        </w:rPr>
        <w:t>Insurance</w:t>
      </w:r>
      <w:r>
        <w:tab/>
      </w:r>
      <w:r>
        <w:fldChar w:fldCharType="begin"/>
      </w:r>
      <w:r>
        <w:instrText xml:space="preserve"> PAGEREF _Toc29906894 \h </w:instrText>
      </w:r>
      <w:r>
        <w:fldChar w:fldCharType="separate"/>
      </w:r>
      <w:r>
        <w:t>134</w:t>
      </w:r>
      <w:r>
        <w:fldChar w:fldCharType="end"/>
      </w:r>
      <w:r>
        <w:fldChar w:fldCharType="end"/>
      </w:r>
    </w:p>
    <w:p w14:paraId="7E4827F4">
      <w:pPr>
        <w:pStyle w:val="59"/>
        <w:rPr>
          <w:rFonts w:asciiTheme="minorHAnsi" w:hAnsiTheme="minorHAnsi" w:eastAsiaTheme="minorEastAsia" w:cstheme="minorBidi"/>
          <w:sz w:val="22"/>
          <w:szCs w:val="22"/>
        </w:rPr>
      </w:pPr>
      <w:r>
        <w:fldChar w:fldCharType="begin"/>
      </w:r>
      <w:r>
        <w:instrText xml:space="preserve"> HYPERLINK \l "_Toc29906895" </w:instrText>
      </w:r>
      <w:r>
        <w:fldChar w:fldCharType="separate"/>
      </w:r>
      <w:r>
        <w:rPr>
          <w:rStyle w:val="31"/>
        </w:rPr>
        <w:t>14.</w:t>
      </w:r>
      <w:r>
        <w:rPr>
          <w:rFonts w:asciiTheme="minorHAnsi" w:hAnsiTheme="minorHAnsi" w:eastAsiaTheme="minorEastAsia" w:cstheme="minorBidi"/>
          <w:sz w:val="22"/>
          <w:szCs w:val="22"/>
        </w:rPr>
        <w:tab/>
      </w:r>
      <w:r>
        <w:rPr>
          <w:rStyle w:val="31"/>
        </w:rPr>
        <w:t>Site Data</w:t>
      </w:r>
      <w:r>
        <w:tab/>
      </w:r>
      <w:r>
        <w:fldChar w:fldCharType="begin"/>
      </w:r>
      <w:r>
        <w:instrText xml:space="preserve"> PAGEREF _Toc29906895 \h </w:instrText>
      </w:r>
      <w:r>
        <w:fldChar w:fldCharType="separate"/>
      </w:r>
      <w:r>
        <w:t>135</w:t>
      </w:r>
      <w:r>
        <w:fldChar w:fldCharType="end"/>
      </w:r>
      <w:r>
        <w:fldChar w:fldCharType="end"/>
      </w:r>
    </w:p>
    <w:p w14:paraId="3131AA63">
      <w:pPr>
        <w:pStyle w:val="59"/>
        <w:rPr>
          <w:rFonts w:asciiTheme="minorHAnsi" w:hAnsiTheme="minorHAnsi" w:eastAsiaTheme="minorEastAsia" w:cstheme="minorBidi"/>
          <w:sz w:val="22"/>
          <w:szCs w:val="22"/>
        </w:rPr>
      </w:pPr>
      <w:r>
        <w:fldChar w:fldCharType="begin"/>
      </w:r>
      <w:r>
        <w:instrText xml:space="preserve"> HYPERLINK \l "_Toc29906896" </w:instrText>
      </w:r>
      <w:r>
        <w:fldChar w:fldCharType="separate"/>
      </w:r>
      <w:r>
        <w:rPr>
          <w:rStyle w:val="31"/>
        </w:rPr>
        <w:t>15.</w:t>
      </w:r>
      <w:r>
        <w:rPr>
          <w:rFonts w:asciiTheme="minorHAnsi" w:hAnsiTheme="minorHAnsi" w:eastAsiaTheme="minorEastAsia" w:cstheme="minorBidi"/>
          <w:sz w:val="22"/>
          <w:szCs w:val="22"/>
        </w:rPr>
        <w:tab/>
      </w:r>
      <w:r>
        <w:rPr>
          <w:rStyle w:val="31"/>
        </w:rPr>
        <w:t>Contractor to Construct the Works</w:t>
      </w:r>
      <w:r>
        <w:tab/>
      </w:r>
      <w:r>
        <w:fldChar w:fldCharType="begin"/>
      </w:r>
      <w:r>
        <w:instrText xml:space="preserve"> PAGEREF _Toc29906896 \h </w:instrText>
      </w:r>
      <w:r>
        <w:fldChar w:fldCharType="separate"/>
      </w:r>
      <w:r>
        <w:t>135</w:t>
      </w:r>
      <w:r>
        <w:fldChar w:fldCharType="end"/>
      </w:r>
      <w:r>
        <w:fldChar w:fldCharType="end"/>
      </w:r>
    </w:p>
    <w:p w14:paraId="59625D6C">
      <w:pPr>
        <w:pStyle w:val="59"/>
        <w:rPr>
          <w:rFonts w:asciiTheme="minorHAnsi" w:hAnsiTheme="minorHAnsi" w:eastAsiaTheme="minorEastAsia" w:cstheme="minorBidi"/>
          <w:sz w:val="22"/>
          <w:szCs w:val="22"/>
        </w:rPr>
      </w:pPr>
      <w:r>
        <w:fldChar w:fldCharType="begin"/>
      </w:r>
      <w:r>
        <w:instrText xml:space="preserve"> HYPERLINK \l "_Toc29906897" </w:instrText>
      </w:r>
      <w:r>
        <w:fldChar w:fldCharType="separate"/>
      </w:r>
      <w:r>
        <w:rPr>
          <w:rStyle w:val="31"/>
        </w:rPr>
        <w:t>16.</w:t>
      </w:r>
      <w:r>
        <w:rPr>
          <w:rFonts w:asciiTheme="minorHAnsi" w:hAnsiTheme="minorHAnsi" w:eastAsiaTheme="minorEastAsia" w:cstheme="minorBidi"/>
          <w:sz w:val="22"/>
          <w:szCs w:val="22"/>
        </w:rPr>
        <w:tab/>
      </w:r>
      <w:r>
        <w:rPr>
          <w:rStyle w:val="31"/>
        </w:rPr>
        <w:t>The Works to Be Completed by the Intended Completion Date</w:t>
      </w:r>
      <w:r>
        <w:tab/>
      </w:r>
      <w:r>
        <w:fldChar w:fldCharType="begin"/>
      </w:r>
      <w:r>
        <w:instrText xml:space="preserve"> PAGEREF _Toc29906897 \h </w:instrText>
      </w:r>
      <w:r>
        <w:fldChar w:fldCharType="separate"/>
      </w:r>
      <w:r>
        <w:t>135</w:t>
      </w:r>
      <w:r>
        <w:fldChar w:fldCharType="end"/>
      </w:r>
      <w:r>
        <w:fldChar w:fldCharType="end"/>
      </w:r>
    </w:p>
    <w:p w14:paraId="2DA6E0B0">
      <w:pPr>
        <w:pStyle w:val="59"/>
        <w:rPr>
          <w:rFonts w:asciiTheme="minorHAnsi" w:hAnsiTheme="minorHAnsi" w:eastAsiaTheme="minorEastAsia" w:cstheme="minorBidi"/>
          <w:sz w:val="22"/>
          <w:szCs w:val="22"/>
        </w:rPr>
      </w:pPr>
      <w:r>
        <w:fldChar w:fldCharType="begin"/>
      </w:r>
      <w:r>
        <w:instrText xml:space="preserve"> HYPERLINK \l "_Toc29906898" </w:instrText>
      </w:r>
      <w:r>
        <w:fldChar w:fldCharType="separate"/>
      </w:r>
      <w:r>
        <w:rPr>
          <w:rStyle w:val="31"/>
        </w:rPr>
        <w:t>17.</w:t>
      </w:r>
      <w:r>
        <w:rPr>
          <w:rFonts w:asciiTheme="minorHAnsi" w:hAnsiTheme="minorHAnsi" w:eastAsiaTheme="minorEastAsia" w:cstheme="minorBidi"/>
          <w:sz w:val="22"/>
          <w:szCs w:val="22"/>
        </w:rPr>
        <w:tab/>
      </w:r>
      <w:r>
        <w:rPr>
          <w:rStyle w:val="31"/>
        </w:rPr>
        <w:t>Approval by the Project Manager</w:t>
      </w:r>
      <w:r>
        <w:tab/>
      </w:r>
      <w:r>
        <w:fldChar w:fldCharType="begin"/>
      </w:r>
      <w:r>
        <w:instrText xml:space="preserve"> PAGEREF _Toc29906898 \h </w:instrText>
      </w:r>
      <w:r>
        <w:fldChar w:fldCharType="separate"/>
      </w:r>
      <w:r>
        <w:t>136</w:t>
      </w:r>
      <w:r>
        <w:fldChar w:fldCharType="end"/>
      </w:r>
      <w:r>
        <w:fldChar w:fldCharType="end"/>
      </w:r>
    </w:p>
    <w:p w14:paraId="76067B5A">
      <w:pPr>
        <w:pStyle w:val="59"/>
        <w:rPr>
          <w:rFonts w:asciiTheme="minorHAnsi" w:hAnsiTheme="minorHAnsi" w:eastAsiaTheme="minorEastAsia" w:cstheme="minorBidi"/>
          <w:sz w:val="22"/>
          <w:szCs w:val="22"/>
        </w:rPr>
      </w:pPr>
      <w:r>
        <w:fldChar w:fldCharType="begin"/>
      </w:r>
      <w:r>
        <w:instrText xml:space="preserve"> HYPERLINK \l "_Toc29906899" </w:instrText>
      </w:r>
      <w:r>
        <w:fldChar w:fldCharType="separate"/>
      </w:r>
      <w:r>
        <w:rPr>
          <w:rStyle w:val="31"/>
        </w:rPr>
        <w:t>18.</w:t>
      </w:r>
      <w:r>
        <w:rPr>
          <w:rFonts w:asciiTheme="minorHAnsi" w:hAnsiTheme="minorHAnsi" w:eastAsiaTheme="minorEastAsia" w:cstheme="minorBidi"/>
          <w:sz w:val="22"/>
          <w:szCs w:val="22"/>
        </w:rPr>
        <w:tab/>
      </w:r>
      <w:r>
        <w:rPr>
          <w:rStyle w:val="31"/>
        </w:rPr>
        <w:t>Health, Safety and Protection of the Environment</w:t>
      </w:r>
      <w:r>
        <w:tab/>
      </w:r>
      <w:r>
        <w:fldChar w:fldCharType="begin"/>
      </w:r>
      <w:r>
        <w:instrText xml:space="preserve"> PAGEREF _Toc29906899 \h </w:instrText>
      </w:r>
      <w:r>
        <w:fldChar w:fldCharType="separate"/>
      </w:r>
      <w:r>
        <w:t>136</w:t>
      </w:r>
      <w:r>
        <w:fldChar w:fldCharType="end"/>
      </w:r>
      <w:r>
        <w:fldChar w:fldCharType="end"/>
      </w:r>
    </w:p>
    <w:p w14:paraId="71B72D78">
      <w:pPr>
        <w:pStyle w:val="59"/>
        <w:rPr>
          <w:rFonts w:asciiTheme="minorHAnsi" w:hAnsiTheme="minorHAnsi" w:eastAsiaTheme="minorEastAsia" w:cstheme="minorBidi"/>
          <w:sz w:val="22"/>
          <w:szCs w:val="22"/>
        </w:rPr>
      </w:pPr>
      <w:r>
        <w:fldChar w:fldCharType="begin"/>
      </w:r>
      <w:r>
        <w:instrText xml:space="preserve"> HYPERLINK \l "_Toc29906900" </w:instrText>
      </w:r>
      <w:r>
        <w:fldChar w:fldCharType="separate"/>
      </w:r>
      <w:r>
        <w:rPr>
          <w:rStyle w:val="31"/>
        </w:rPr>
        <w:t>19.</w:t>
      </w:r>
      <w:r>
        <w:rPr>
          <w:rFonts w:asciiTheme="minorHAnsi" w:hAnsiTheme="minorHAnsi" w:eastAsiaTheme="minorEastAsia" w:cstheme="minorBidi"/>
          <w:sz w:val="22"/>
          <w:szCs w:val="22"/>
        </w:rPr>
        <w:tab/>
      </w:r>
      <w:r>
        <w:rPr>
          <w:rStyle w:val="31"/>
        </w:rPr>
        <w:t>Archaeological and Geological Findings</w:t>
      </w:r>
      <w:r>
        <w:tab/>
      </w:r>
      <w:r>
        <w:fldChar w:fldCharType="begin"/>
      </w:r>
      <w:r>
        <w:instrText xml:space="preserve"> PAGEREF _Toc29906900 \h </w:instrText>
      </w:r>
      <w:r>
        <w:fldChar w:fldCharType="separate"/>
      </w:r>
      <w:r>
        <w:t>137</w:t>
      </w:r>
      <w:r>
        <w:fldChar w:fldCharType="end"/>
      </w:r>
      <w:r>
        <w:fldChar w:fldCharType="end"/>
      </w:r>
    </w:p>
    <w:p w14:paraId="1B584583">
      <w:pPr>
        <w:pStyle w:val="59"/>
        <w:rPr>
          <w:rFonts w:asciiTheme="minorHAnsi" w:hAnsiTheme="minorHAnsi" w:eastAsiaTheme="minorEastAsia" w:cstheme="minorBidi"/>
          <w:sz w:val="22"/>
          <w:szCs w:val="22"/>
        </w:rPr>
      </w:pPr>
      <w:r>
        <w:fldChar w:fldCharType="begin"/>
      </w:r>
      <w:r>
        <w:instrText xml:space="preserve"> HYPERLINK \l "_Toc29906901" </w:instrText>
      </w:r>
      <w:r>
        <w:fldChar w:fldCharType="separate"/>
      </w:r>
      <w:r>
        <w:rPr>
          <w:rStyle w:val="31"/>
        </w:rPr>
        <w:t>20.</w:t>
      </w:r>
      <w:r>
        <w:rPr>
          <w:rFonts w:asciiTheme="minorHAnsi" w:hAnsiTheme="minorHAnsi" w:eastAsiaTheme="minorEastAsia" w:cstheme="minorBidi"/>
          <w:sz w:val="22"/>
          <w:szCs w:val="22"/>
        </w:rPr>
        <w:tab/>
      </w:r>
      <w:r>
        <w:rPr>
          <w:rStyle w:val="31"/>
        </w:rPr>
        <w:t>Possession of the Site</w:t>
      </w:r>
      <w:r>
        <w:tab/>
      </w:r>
      <w:r>
        <w:fldChar w:fldCharType="begin"/>
      </w:r>
      <w:r>
        <w:instrText xml:space="preserve"> PAGEREF _Toc29906901 \h </w:instrText>
      </w:r>
      <w:r>
        <w:fldChar w:fldCharType="separate"/>
      </w:r>
      <w:r>
        <w:t>137</w:t>
      </w:r>
      <w:r>
        <w:fldChar w:fldCharType="end"/>
      </w:r>
      <w:r>
        <w:fldChar w:fldCharType="end"/>
      </w:r>
    </w:p>
    <w:p w14:paraId="246F823E">
      <w:pPr>
        <w:pStyle w:val="59"/>
        <w:rPr>
          <w:rFonts w:asciiTheme="minorHAnsi" w:hAnsiTheme="minorHAnsi" w:eastAsiaTheme="minorEastAsia" w:cstheme="minorBidi"/>
          <w:sz w:val="22"/>
          <w:szCs w:val="22"/>
        </w:rPr>
      </w:pPr>
      <w:r>
        <w:fldChar w:fldCharType="begin"/>
      </w:r>
      <w:r>
        <w:instrText xml:space="preserve"> HYPERLINK \l "_Toc29906902" </w:instrText>
      </w:r>
      <w:r>
        <w:fldChar w:fldCharType="separate"/>
      </w:r>
      <w:r>
        <w:rPr>
          <w:rStyle w:val="31"/>
        </w:rPr>
        <w:t>21.</w:t>
      </w:r>
      <w:r>
        <w:rPr>
          <w:rFonts w:asciiTheme="minorHAnsi" w:hAnsiTheme="minorHAnsi" w:eastAsiaTheme="minorEastAsia" w:cstheme="minorBidi"/>
          <w:sz w:val="22"/>
          <w:szCs w:val="22"/>
        </w:rPr>
        <w:tab/>
      </w:r>
      <w:r>
        <w:rPr>
          <w:rStyle w:val="31"/>
        </w:rPr>
        <w:t>Access to the Site</w:t>
      </w:r>
      <w:r>
        <w:tab/>
      </w:r>
      <w:r>
        <w:fldChar w:fldCharType="begin"/>
      </w:r>
      <w:r>
        <w:instrText xml:space="preserve"> PAGEREF _Toc29906902 \h </w:instrText>
      </w:r>
      <w:r>
        <w:fldChar w:fldCharType="separate"/>
      </w:r>
      <w:r>
        <w:t>137</w:t>
      </w:r>
      <w:r>
        <w:fldChar w:fldCharType="end"/>
      </w:r>
      <w:r>
        <w:fldChar w:fldCharType="end"/>
      </w:r>
    </w:p>
    <w:p w14:paraId="64E43B38">
      <w:pPr>
        <w:pStyle w:val="59"/>
        <w:rPr>
          <w:rFonts w:asciiTheme="minorHAnsi" w:hAnsiTheme="minorHAnsi" w:eastAsiaTheme="minorEastAsia" w:cstheme="minorBidi"/>
          <w:sz w:val="22"/>
          <w:szCs w:val="22"/>
        </w:rPr>
      </w:pPr>
      <w:r>
        <w:fldChar w:fldCharType="begin"/>
      </w:r>
      <w:r>
        <w:instrText xml:space="preserve"> HYPERLINK \l "_Toc29906903" </w:instrText>
      </w:r>
      <w:r>
        <w:fldChar w:fldCharType="separate"/>
      </w:r>
      <w:r>
        <w:rPr>
          <w:rStyle w:val="31"/>
        </w:rPr>
        <w:t>22.</w:t>
      </w:r>
      <w:r>
        <w:rPr>
          <w:rFonts w:asciiTheme="minorHAnsi" w:hAnsiTheme="minorHAnsi" w:eastAsiaTheme="minorEastAsia" w:cstheme="minorBidi"/>
          <w:sz w:val="22"/>
          <w:szCs w:val="22"/>
        </w:rPr>
        <w:tab/>
      </w:r>
      <w:r>
        <w:rPr>
          <w:rStyle w:val="31"/>
        </w:rPr>
        <w:t>Instructions, Inspections and Audits</w:t>
      </w:r>
      <w:r>
        <w:tab/>
      </w:r>
      <w:r>
        <w:fldChar w:fldCharType="begin"/>
      </w:r>
      <w:r>
        <w:instrText xml:space="preserve"> PAGEREF _Toc29906903 \h </w:instrText>
      </w:r>
      <w:r>
        <w:fldChar w:fldCharType="separate"/>
      </w:r>
      <w:r>
        <w:t>138</w:t>
      </w:r>
      <w:r>
        <w:fldChar w:fldCharType="end"/>
      </w:r>
      <w:r>
        <w:fldChar w:fldCharType="end"/>
      </w:r>
    </w:p>
    <w:p w14:paraId="22C0C41D">
      <w:pPr>
        <w:pStyle w:val="59"/>
        <w:rPr>
          <w:rFonts w:asciiTheme="minorHAnsi" w:hAnsiTheme="minorHAnsi" w:eastAsiaTheme="minorEastAsia" w:cstheme="minorBidi"/>
          <w:sz w:val="22"/>
          <w:szCs w:val="22"/>
        </w:rPr>
      </w:pPr>
      <w:r>
        <w:fldChar w:fldCharType="begin"/>
      </w:r>
      <w:r>
        <w:instrText xml:space="preserve"> HYPERLINK \l "_Toc29906904" </w:instrText>
      </w:r>
      <w:r>
        <w:fldChar w:fldCharType="separate"/>
      </w:r>
      <w:r>
        <w:rPr>
          <w:rStyle w:val="31"/>
        </w:rPr>
        <w:t>23.</w:t>
      </w:r>
      <w:r>
        <w:rPr>
          <w:rFonts w:asciiTheme="minorHAnsi" w:hAnsiTheme="minorHAnsi" w:eastAsiaTheme="minorEastAsia" w:cstheme="minorBidi"/>
          <w:sz w:val="22"/>
          <w:szCs w:val="22"/>
        </w:rPr>
        <w:tab/>
      </w:r>
      <w:r>
        <w:rPr>
          <w:rStyle w:val="31"/>
        </w:rPr>
        <w:t>Appointment of the Adjudicator</w:t>
      </w:r>
      <w:r>
        <w:tab/>
      </w:r>
      <w:r>
        <w:fldChar w:fldCharType="begin"/>
      </w:r>
      <w:r>
        <w:instrText xml:space="preserve"> PAGEREF _Toc29906904 \h </w:instrText>
      </w:r>
      <w:r>
        <w:fldChar w:fldCharType="separate"/>
      </w:r>
      <w:r>
        <w:t>138</w:t>
      </w:r>
      <w:r>
        <w:fldChar w:fldCharType="end"/>
      </w:r>
      <w:r>
        <w:fldChar w:fldCharType="end"/>
      </w:r>
    </w:p>
    <w:p w14:paraId="58304E2C">
      <w:pPr>
        <w:pStyle w:val="59"/>
        <w:rPr>
          <w:rFonts w:asciiTheme="minorHAnsi" w:hAnsiTheme="minorHAnsi" w:eastAsiaTheme="minorEastAsia" w:cstheme="minorBidi"/>
          <w:sz w:val="22"/>
          <w:szCs w:val="22"/>
        </w:rPr>
      </w:pPr>
      <w:r>
        <w:fldChar w:fldCharType="begin"/>
      </w:r>
      <w:r>
        <w:instrText xml:space="preserve"> HYPERLINK \l "_Toc29906905" </w:instrText>
      </w:r>
      <w:r>
        <w:fldChar w:fldCharType="separate"/>
      </w:r>
      <w:r>
        <w:rPr>
          <w:rStyle w:val="31"/>
        </w:rPr>
        <w:t>24.</w:t>
      </w:r>
      <w:r>
        <w:rPr>
          <w:rFonts w:asciiTheme="minorHAnsi" w:hAnsiTheme="minorHAnsi" w:eastAsiaTheme="minorEastAsia" w:cstheme="minorBidi"/>
          <w:sz w:val="22"/>
          <w:szCs w:val="22"/>
        </w:rPr>
        <w:tab/>
      </w:r>
      <w:r>
        <w:rPr>
          <w:rStyle w:val="31"/>
        </w:rPr>
        <w:t>Procedure for Disputes</w:t>
      </w:r>
      <w:r>
        <w:tab/>
      </w:r>
      <w:r>
        <w:fldChar w:fldCharType="begin"/>
      </w:r>
      <w:r>
        <w:instrText xml:space="preserve"> PAGEREF _Toc29906905 \h </w:instrText>
      </w:r>
      <w:r>
        <w:fldChar w:fldCharType="separate"/>
      </w:r>
      <w:r>
        <w:t>139</w:t>
      </w:r>
      <w:r>
        <w:fldChar w:fldCharType="end"/>
      </w:r>
      <w:r>
        <w:fldChar w:fldCharType="end"/>
      </w:r>
    </w:p>
    <w:p w14:paraId="5033CC52">
      <w:pPr>
        <w:pStyle w:val="59"/>
        <w:rPr>
          <w:rFonts w:asciiTheme="minorHAnsi" w:hAnsiTheme="minorHAnsi" w:eastAsiaTheme="minorEastAsia" w:cstheme="minorBidi"/>
          <w:sz w:val="22"/>
          <w:szCs w:val="22"/>
        </w:rPr>
      </w:pPr>
      <w:r>
        <w:fldChar w:fldCharType="begin"/>
      </w:r>
      <w:r>
        <w:instrText xml:space="preserve"> HYPERLINK \l "_Toc29906906" </w:instrText>
      </w:r>
      <w:r>
        <w:fldChar w:fldCharType="separate"/>
      </w:r>
      <w:r>
        <w:rPr>
          <w:rStyle w:val="31"/>
        </w:rPr>
        <w:t>25.</w:t>
      </w:r>
      <w:r>
        <w:rPr>
          <w:rFonts w:asciiTheme="minorHAnsi" w:hAnsiTheme="minorHAnsi" w:eastAsiaTheme="minorEastAsia" w:cstheme="minorBidi"/>
          <w:sz w:val="22"/>
          <w:szCs w:val="22"/>
        </w:rPr>
        <w:tab/>
      </w:r>
      <w:r>
        <w:rPr>
          <w:rStyle w:val="31"/>
        </w:rPr>
        <w:t>Fraud and Corruption</w:t>
      </w:r>
      <w:r>
        <w:tab/>
      </w:r>
      <w:r>
        <w:fldChar w:fldCharType="begin"/>
      </w:r>
      <w:r>
        <w:instrText xml:space="preserve"> PAGEREF _Toc29906906 \h </w:instrText>
      </w:r>
      <w:r>
        <w:fldChar w:fldCharType="separate"/>
      </w:r>
      <w:r>
        <w:t>139</w:t>
      </w:r>
      <w:r>
        <w:fldChar w:fldCharType="end"/>
      </w:r>
      <w:r>
        <w:fldChar w:fldCharType="end"/>
      </w:r>
    </w:p>
    <w:p w14:paraId="6E323390">
      <w:pPr>
        <w:pStyle w:val="59"/>
        <w:rPr>
          <w:rFonts w:asciiTheme="minorHAnsi" w:hAnsiTheme="minorHAnsi" w:eastAsiaTheme="minorEastAsia" w:cstheme="minorBidi"/>
          <w:sz w:val="22"/>
          <w:szCs w:val="22"/>
        </w:rPr>
      </w:pPr>
      <w:r>
        <w:fldChar w:fldCharType="begin"/>
      </w:r>
      <w:r>
        <w:instrText xml:space="preserve"> HYPERLINK \l "_Toc29906907" </w:instrText>
      </w:r>
      <w:r>
        <w:fldChar w:fldCharType="separate"/>
      </w:r>
      <w:r>
        <w:rPr>
          <w:rStyle w:val="31"/>
        </w:rPr>
        <w:t>26.</w:t>
      </w:r>
      <w:r>
        <w:rPr>
          <w:rFonts w:asciiTheme="minorHAnsi" w:hAnsiTheme="minorHAnsi" w:eastAsiaTheme="minorEastAsia" w:cstheme="minorBidi"/>
          <w:sz w:val="22"/>
          <w:szCs w:val="22"/>
        </w:rPr>
        <w:tab/>
      </w:r>
      <w:r>
        <w:rPr>
          <w:rStyle w:val="31"/>
        </w:rPr>
        <w:t>Code of Conduct</w:t>
      </w:r>
      <w:r>
        <w:tab/>
      </w:r>
      <w:r>
        <w:fldChar w:fldCharType="begin"/>
      </w:r>
      <w:r>
        <w:instrText xml:space="preserve"> PAGEREF _Toc29906907 \h </w:instrText>
      </w:r>
      <w:r>
        <w:fldChar w:fldCharType="separate"/>
      </w:r>
      <w:r>
        <w:t>139</w:t>
      </w:r>
      <w:r>
        <w:fldChar w:fldCharType="end"/>
      </w:r>
      <w:r>
        <w:fldChar w:fldCharType="end"/>
      </w:r>
    </w:p>
    <w:p w14:paraId="16F109FC">
      <w:pPr>
        <w:pStyle w:val="59"/>
        <w:rPr>
          <w:rFonts w:asciiTheme="minorHAnsi" w:hAnsiTheme="minorHAnsi" w:eastAsiaTheme="minorEastAsia" w:cstheme="minorBidi"/>
          <w:sz w:val="22"/>
          <w:szCs w:val="22"/>
        </w:rPr>
      </w:pPr>
      <w:r>
        <w:fldChar w:fldCharType="begin"/>
      </w:r>
      <w:r>
        <w:instrText xml:space="preserve"> HYPERLINK \l "_Toc29906908" </w:instrText>
      </w:r>
      <w:r>
        <w:fldChar w:fldCharType="separate"/>
      </w:r>
      <w:r>
        <w:rPr>
          <w:rStyle w:val="31"/>
        </w:rPr>
        <w:t>27.</w:t>
      </w:r>
      <w:r>
        <w:rPr>
          <w:rFonts w:asciiTheme="minorHAnsi" w:hAnsiTheme="minorHAnsi" w:eastAsiaTheme="minorEastAsia" w:cstheme="minorBidi"/>
          <w:sz w:val="22"/>
          <w:szCs w:val="22"/>
        </w:rPr>
        <w:tab/>
      </w:r>
      <w:r>
        <w:rPr>
          <w:rStyle w:val="31"/>
        </w:rPr>
        <w:t>Security of the Site</w:t>
      </w:r>
      <w:r>
        <w:tab/>
      </w:r>
      <w:r>
        <w:fldChar w:fldCharType="begin"/>
      </w:r>
      <w:r>
        <w:instrText xml:space="preserve"> PAGEREF _Toc29906908 \h </w:instrText>
      </w:r>
      <w:r>
        <w:fldChar w:fldCharType="separate"/>
      </w:r>
      <w:r>
        <w:t>140</w:t>
      </w:r>
      <w:r>
        <w:fldChar w:fldCharType="end"/>
      </w:r>
      <w:r>
        <w:fldChar w:fldCharType="end"/>
      </w:r>
    </w:p>
    <w:p w14:paraId="3818C6F7">
      <w:pPr>
        <w:pStyle w:val="58"/>
        <w:tabs>
          <w:tab w:val="right" w:leader="dot" w:pos="8990"/>
        </w:tabs>
        <w:rPr>
          <w:rFonts w:asciiTheme="minorHAnsi" w:hAnsiTheme="minorHAnsi" w:eastAsiaTheme="minorEastAsia" w:cstheme="minorBidi"/>
          <w:b w:val="0"/>
          <w:sz w:val="22"/>
          <w:szCs w:val="22"/>
        </w:rPr>
      </w:pPr>
      <w:r>
        <w:fldChar w:fldCharType="begin"/>
      </w:r>
      <w:r>
        <w:instrText xml:space="preserve"> HYPERLINK \l "_Toc29906909" </w:instrText>
      </w:r>
      <w:r>
        <w:fldChar w:fldCharType="separate"/>
      </w:r>
      <w:r>
        <w:rPr>
          <w:rStyle w:val="31"/>
        </w:rPr>
        <w:t>B.  Time Control</w:t>
      </w:r>
      <w:r>
        <w:tab/>
      </w:r>
      <w:r>
        <w:fldChar w:fldCharType="begin"/>
      </w:r>
      <w:r>
        <w:instrText xml:space="preserve"> PAGEREF _Toc29906909 \h </w:instrText>
      </w:r>
      <w:r>
        <w:fldChar w:fldCharType="separate"/>
      </w:r>
      <w:r>
        <w:t>140</w:t>
      </w:r>
      <w:r>
        <w:fldChar w:fldCharType="end"/>
      </w:r>
      <w:r>
        <w:fldChar w:fldCharType="end"/>
      </w:r>
    </w:p>
    <w:p w14:paraId="2995B0F9">
      <w:pPr>
        <w:pStyle w:val="59"/>
        <w:rPr>
          <w:rFonts w:asciiTheme="minorHAnsi" w:hAnsiTheme="minorHAnsi" w:eastAsiaTheme="minorEastAsia" w:cstheme="minorBidi"/>
          <w:sz w:val="22"/>
          <w:szCs w:val="22"/>
        </w:rPr>
      </w:pPr>
      <w:r>
        <w:fldChar w:fldCharType="begin"/>
      </w:r>
      <w:r>
        <w:instrText xml:space="preserve"> HYPERLINK \l "_Toc29906910" </w:instrText>
      </w:r>
      <w:r>
        <w:fldChar w:fldCharType="separate"/>
      </w:r>
      <w:r>
        <w:rPr>
          <w:rStyle w:val="31"/>
        </w:rPr>
        <w:t>28.</w:t>
      </w:r>
      <w:r>
        <w:rPr>
          <w:rFonts w:asciiTheme="minorHAnsi" w:hAnsiTheme="minorHAnsi" w:eastAsiaTheme="minorEastAsia" w:cstheme="minorBidi"/>
          <w:sz w:val="22"/>
          <w:szCs w:val="22"/>
        </w:rPr>
        <w:tab/>
      </w:r>
      <w:r>
        <w:rPr>
          <w:rStyle w:val="31"/>
        </w:rPr>
        <w:t>Program</w:t>
      </w:r>
      <w:r>
        <w:tab/>
      </w:r>
      <w:r>
        <w:fldChar w:fldCharType="begin"/>
      </w:r>
      <w:r>
        <w:instrText xml:space="preserve"> PAGEREF _Toc29906910 \h </w:instrText>
      </w:r>
      <w:r>
        <w:fldChar w:fldCharType="separate"/>
      </w:r>
      <w:r>
        <w:t>140</w:t>
      </w:r>
      <w:r>
        <w:fldChar w:fldCharType="end"/>
      </w:r>
      <w:r>
        <w:fldChar w:fldCharType="end"/>
      </w:r>
    </w:p>
    <w:p w14:paraId="6EB2FF9E">
      <w:pPr>
        <w:pStyle w:val="59"/>
        <w:rPr>
          <w:rFonts w:asciiTheme="minorHAnsi" w:hAnsiTheme="minorHAnsi" w:eastAsiaTheme="minorEastAsia" w:cstheme="minorBidi"/>
          <w:sz w:val="22"/>
          <w:szCs w:val="22"/>
        </w:rPr>
      </w:pPr>
      <w:r>
        <w:fldChar w:fldCharType="begin"/>
      </w:r>
      <w:r>
        <w:instrText xml:space="preserve"> HYPERLINK \l "_Toc29906911" </w:instrText>
      </w:r>
      <w:r>
        <w:fldChar w:fldCharType="separate"/>
      </w:r>
      <w:r>
        <w:rPr>
          <w:rStyle w:val="31"/>
        </w:rPr>
        <w:t>29.</w:t>
      </w:r>
      <w:r>
        <w:rPr>
          <w:rFonts w:asciiTheme="minorHAnsi" w:hAnsiTheme="minorHAnsi" w:eastAsiaTheme="minorEastAsia" w:cstheme="minorBidi"/>
          <w:sz w:val="22"/>
          <w:szCs w:val="22"/>
        </w:rPr>
        <w:tab/>
      </w:r>
      <w:r>
        <w:rPr>
          <w:rStyle w:val="31"/>
        </w:rPr>
        <w:t>Extension of the Intended Completion Date</w:t>
      </w:r>
      <w:r>
        <w:tab/>
      </w:r>
      <w:r>
        <w:fldChar w:fldCharType="begin"/>
      </w:r>
      <w:r>
        <w:instrText xml:space="preserve"> PAGEREF _Toc29906911 \h </w:instrText>
      </w:r>
      <w:r>
        <w:fldChar w:fldCharType="separate"/>
      </w:r>
      <w:r>
        <w:t>142</w:t>
      </w:r>
      <w:r>
        <w:fldChar w:fldCharType="end"/>
      </w:r>
      <w:r>
        <w:fldChar w:fldCharType="end"/>
      </w:r>
    </w:p>
    <w:p w14:paraId="64055552">
      <w:pPr>
        <w:pStyle w:val="59"/>
        <w:rPr>
          <w:rFonts w:asciiTheme="minorHAnsi" w:hAnsiTheme="minorHAnsi" w:eastAsiaTheme="minorEastAsia" w:cstheme="minorBidi"/>
          <w:sz w:val="22"/>
          <w:szCs w:val="22"/>
        </w:rPr>
      </w:pPr>
      <w:r>
        <w:fldChar w:fldCharType="begin"/>
      </w:r>
      <w:r>
        <w:instrText xml:space="preserve"> HYPERLINK \l "_Toc29906912" </w:instrText>
      </w:r>
      <w:r>
        <w:fldChar w:fldCharType="separate"/>
      </w:r>
      <w:r>
        <w:rPr>
          <w:rStyle w:val="31"/>
        </w:rPr>
        <w:t>30.</w:t>
      </w:r>
      <w:r>
        <w:rPr>
          <w:rFonts w:asciiTheme="minorHAnsi" w:hAnsiTheme="minorHAnsi" w:eastAsiaTheme="minorEastAsia" w:cstheme="minorBidi"/>
          <w:sz w:val="22"/>
          <w:szCs w:val="22"/>
        </w:rPr>
        <w:tab/>
      </w:r>
      <w:r>
        <w:rPr>
          <w:rStyle w:val="31"/>
        </w:rPr>
        <w:t>Acceleration</w:t>
      </w:r>
      <w:r>
        <w:tab/>
      </w:r>
      <w:r>
        <w:fldChar w:fldCharType="begin"/>
      </w:r>
      <w:r>
        <w:instrText xml:space="preserve"> PAGEREF _Toc29906912 \h </w:instrText>
      </w:r>
      <w:r>
        <w:fldChar w:fldCharType="separate"/>
      </w:r>
      <w:r>
        <w:t>142</w:t>
      </w:r>
      <w:r>
        <w:fldChar w:fldCharType="end"/>
      </w:r>
      <w:r>
        <w:fldChar w:fldCharType="end"/>
      </w:r>
    </w:p>
    <w:p w14:paraId="3BA70D9F">
      <w:pPr>
        <w:pStyle w:val="59"/>
        <w:rPr>
          <w:rFonts w:asciiTheme="minorHAnsi" w:hAnsiTheme="minorHAnsi" w:eastAsiaTheme="minorEastAsia" w:cstheme="minorBidi"/>
          <w:sz w:val="22"/>
          <w:szCs w:val="22"/>
        </w:rPr>
      </w:pPr>
      <w:r>
        <w:fldChar w:fldCharType="begin"/>
      </w:r>
      <w:r>
        <w:instrText xml:space="preserve"> HYPERLINK \l "_Toc29906913" </w:instrText>
      </w:r>
      <w:r>
        <w:fldChar w:fldCharType="separate"/>
      </w:r>
      <w:r>
        <w:rPr>
          <w:rStyle w:val="31"/>
        </w:rPr>
        <w:t>31.</w:t>
      </w:r>
      <w:r>
        <w:rPr>
          <w:rFonts w:asciiTheme="minorHAnsi" w:hAnsiTheme="minorHAnsi" w:eastAsiaTheme="minorEastAsia" w:cstheme="minorBidi"/>
          <w:sz w:val="22"/>
          <w:szCs w:val="22"/>
        </w:rPr>
        <w:tab/>
      </w:r>
      <w:r>
        <w:rPr>
          <w:rStyle w:val="31"/>
        </w:rPr>
        <w:t>Delays Ordered by the Project Manager</w:t>
      </w:r>
      <w:r>
        <w:tab/>
      </w:r>
      <w:r>
        <w:fldChar w:fldCharType="begin"/>
      </w:r>
      <w:r>
        <w:instrText xml:space="preserve"> PAGEREF _Toc29906913 \h </w:instrText>
      </w:r>
      <w:r>
        <w:fldChar w:fldCharType="separate"/>
      </w:r>
      <w:r>
        <w:t>142</w:t>
      </w:r>
      <w:r>
        <w:fldChar w:fldCharType="end"/>
      </w:r>
      <w:r>
        <w:fldChar w:fldCharType="end"/>
      </w:r>
    </w:p>
    <w:p w14:paraId="12C256A5">
      <w:pPr>
        <w:pStyle w:val="59"/>
        <w:rPr>
          <w:rFonts w:asciiTheme="minorHAnsi" w:hAnsiTheme="minorHAnsi" w:eastAsiaTheme="minorEastAsia" w:cstheme="minorBidi"/>
          <w:sz w:val="22"/>
          <w:szCs w:val="22"/>
        </w:rPr>
      </w:pPr>
      <w:r>
        <w:fldChar w:fldCharType="begin"/>
      </w:r>
      <w:r>
        <w:instrText xml:space="preserve"> HYPERLINK \l "_Toc29906914" </w:instrText>
      </w:r>
      <w:r>
        <w:fldChar w:fldCharType="separate"/>
      </w:r>
      <w:r>
        <w:rPr>
          <w:rStyle w:val="31"/>
        </w:rPr>
        <w:t>32.</w:t>
      </w:r>
      <w:r>
        <w:rPr>
          <w:rFonts w:asciiTheme="minorHAnsi" w:hAnsiTheme="minorHAnsi" w:eastAsiaTheme="minorEastAsia" w:cstheme="minorBidi"/>
          <w:sz w:val="22"/>
          <w:szCs w:val="22"/>
        </w:rPr>
        <w:tab/>
      </w:r>
      <w:r>
        <w:rPr>
          <w:rStyle w:val="31"/>
        </w:rPr>
        <w:t>Management Meetings</w:t>
      </w:r>
      <w:r>
        <w:tab/>
      </w:r>
      <w:r>
        <w:fldChar w:fldCharType="begin"/>
      </w:r>
      <w:r>
        <w:instrText xml:space="preserve"> PAGEREF _Toc29906914 \h </w:instrText>
      </w:r>
      <w:r>
        <w:fldChar w:fldCharType="separate"/>
      </w:r>
      <w:r>
        <w:t>142</w:t>
      </w:r>
      <w:r>
        <w:fldChar w:fldCharType="end"/>
      </w:r>
      <w:r>
        <w:fldChar w:fldCharType="end"/>
      </w:r>
    </w:p>
    <w:p w14:paraId="4482AF2A">
      <w:pPr>
        <w:pStyle w:val="59"/>
        <w:rPr>
          <w:rFonts w:asciiTheme="minorHAnsi" w:hAnsiTheme="minorHAnsi" w:eastAsiaTheme="minorEastAsia" w:cstheme="minorBidi"/>
          <w:sz w:val="22"/>
          <w:szCs w:val="22"/>
        </w:rPr>
      </w:pPr>
      <w:r>
        <w:fldChar w:fldCharType="begin"/>
      </w:r>
      <w:r>
        <w:instrText xml:space="preserve"> HYPERLINK \l "_Toc29906915" </w:instrText>
      </w:r>
      <w:r>
        <w:fldChar w:fldCharType="separate"/>
      </w:r>
      <w:r>
        <w:rPr>
          <w:rStyle w:val="31"/>
        </w:rPr>
        <w:t>33.</w:t>
      </w:r>
      <w:r>
        <w:rPr>
          <w:rFonts w:asciiTheme="minorHAnsi" w:hAnsiTheme="minorHAnsi" w:eastAsiaTheme="minorEastAsia" w:cstheme="minorBidi"/>
          <w:sz w:val="22"/>
          <w:szCs w:val="22"/>
        </w:rPr>
        <w:tab/>
      </w:r>
      <w:r>
        <w:rPr>
          <w:rStyle w:val="31"/>
        </w:rPr>
        <w:t>Early Warning</w:t>
      </w:r>
      <w:r>
        <w:tab/>
      </w:r>
      <w:r>
        <w:fldChar w:fldCharType="begin"/>
      </w:r>
      <w:r>
        <w:instrText xml:space="preserve"> PAGEREF _Toc29906915 \h </w:instrText>
      </w:r>
      <w:r>
        <w:fldChar w:fldCharType="separate"/>
      </w:r>
      <w:r>
        <w:t>143</w:t>
      </w:r>
      <w:r>
        <w:fldChar w:fldCharType="end"/>
      </w:r>
      <w:r>
        <w:fldChar w:fldCharType="end"/>
      </w:r>
    </w:p>
    <w:p w14:paraId="6486B313">
      <w:pPr>
        <w:pStyle w:val="58"/>
        <w:tabs>
          <w:tab w:val="right" w:leader="dot" w:pos="8990"/>
        </w:tabs>
        <w:rPr>
          <w:rFonts w:asciiTheme="minorHAnsi" w:hAnsiTheme="minorHAnsi" w:eastAsiaTheme="minorEastAsia" w:cstheme="minorBidi"/>
          <w:b w:val="0"/>
          <w:sz w:val="22"/>
          <w:szCs w:val="22"/>
        </w:rPr>
      </w:pPr>
      <w:r>
        <w:fldChar w:fldCharType="begin"/>
      </w:r>
      <w:r>
        <w:instrText xml:space="preserve"> HYPERLINK \l "_Toc29906916" </w:instrText>
      </w:r>
      <w:r>
        <w:fldChar w:fldCharType="separate"/>
      </w:r>
      <w:r>
        <w:rPr>
          <w:rStyle w:val="31"/>
        </w:rPr>
        <w:t>C.  Quality Control</w:t>
      </w:r>
      <w:r>
        <w:tab/>
      </w:r>
      <w:r>
        <w:fldChar w:fldCharType="begin"/>
      </w:r>
      <w:r>
        <w:instrText xml:space="preserve"> PAGEREF _Toc29906916 \h </w:instrText>
      </w:r>
      <w:r>
        <w:fldChar w:fldCharType="separate"/>
      </w:r>
      <w:r>
        <w:t>143</w:t>
      </w:r>
      <w:r>
        <w:fldChar w:fldCharType="end"/>
      </w:r>
      <w:r>
        <w:fldChar w:fldCharType="end"/>
      </w:r>
    </w:p>
    <w:p w14:paraId="1E90D16C">
      <w:pPr>
        <w:pStyle w:val="59"/>
        <w:rPr>
          <w:rFonts w:asciiTheme="minorHAnsi" w:hAnsiTheme="minorHAnsi" w:eastAsiaTheme="minorEastAsia" w:cstheme="minorBidi"/>
          <w:sz w:val="22"/>
          <w:szCs w:val="22"/>
        </w:rPr>
      </w:pPr>
      <w:r>
        <w:fldChar w:fldCharType="begin"/>
      </w:r>
      <w:r>
        <w:instrText xml:space="preserve"> HYPERLINK \l "_Toc29906917" </w:instrText>
      </w:r>
      <w:r>
        <w:fldChar w:fldCharType="separate"/>
      </w:r>
      <w:r>
        <w:rPr>
          <w:rStyle w:val="31"/>
        </w:rPr>
        <w:t>34.</w:t>
      </w:r>
      <w:r>
        <w:rPr>
          <w:rFonts w:asciiTheme="minorHAnsi" w:hAnsiTheme="minorHAnsi" w:eastAsiaTheme="minorEastAsia" w:cstheme="minorBidi"/>
          <w:sz w:val="22"/>
          <w:szCs w:val="22"/>
        </w:rPr>
        <w:tab/>
      </w:r>
      <w:r>
        <w:rPr>
          <w:rStyle w:val="31"/>
        </w:rPr>
        <w:t>Identifying Defects</w:t>
      </w:r>
      <w:r>
        <w:tab/>
      </w:r>
      <w:r>
        <w:fldChar w:fldCharType="begin"/>
      </w:r>
      <w:r>
        <w:instrText xml:space="preserve"> PAGEREF _Toc29906917 \h </w:instrText>
      </w:r>
      <w:r>
        <w:fldChar w:fldCharType="separate"/>
      </w:r>
      <w:r>
        <w:t>143</w:t>
      </w:r>
      <w:r>
        <w:fldChar w:fldCharType="end"/>
      </w:r>
      <w:r>
        <w:fldChar w:fldCharType="end"/>
      </w:r>
    </w:p>
    <w:p w14:paraId="34BED6D4">
      <w:pPr>
        <w:pStyle w:val="59"/>
        <w:rPr>
          <w:rFonts w:asciiTheme="minorHAnsi" w:hAnsiTheme="minorHAnsi" w:eastAsiaTheme="minorEastAsia" w:cstheme="minorBidi"/>
          <w:sz w:val="22"/>
          <w:szCs w:val="22"/>
        </w:rPr>
      </w:pPr>
      <w:r>
        <w:fldChar w:fldCharType="begin"/>
      </w:r>
      <w:r>
        <w:instrText xml:space="preserve"> HYPERLINK \l "_Toc29906918" </w:instrText>
      </w:r>
      <w:r>
        <w:fldChar w:fldCharType="separate"/>
      </w:r>
      <w:r>
        <w:rPr>
          <w:rStyle w:val="31"/>
        </w:rPr>
        <w:t>35.</w:t>
      </w:r>
      <w:r>
        <w:rPr>
          <w:rFonts w:asciiTheme="minorHAnsi" w:hAnsiTheme="minorHAnsi" w:eastAsiaTheme="minorEastAsia" w:cstheme="minorBidi"/>
          <w:sz w:val="22"/>
          <w:szCs w:val="22"/>
        </w:rPr>
        <w:tab/>
      </w:r>
      <w:r>
        <w:rPr>
          <w:rStyle w:val="31"/>
        </w:rPr>
        <w:t>Tests</w:t>
      </w:r>
      <w:r>
        <w:tab/>
      </w:r>
      <w:r>
        <w:fldChar w:fldCharType="begin"/>
      </w:r>
      <w:r>
        <w:instrText xml:space="preserve"> PAGEREF _Toc29906918 \h </w:instrText>
      </w:r>
      <w:r>
        <w:fldChar w:fldCharType="separate"/>
      </w:r>
      <w:r>
        <w:t>143</w:t>
      </w:r>
      <w:r>
        <w:fldChar w:fldCharType="end"/>
      </w:r>
      <w:r>
        <w:fldChar w:fldCharType="end"/>
      </w:r>
    </w:p>
    <w:p w14:paraId="18445E81">
      <w:pPr>
        <w:pStyle w:val="59"/>
        <w:rPr>
          <w:rFonts w:asciiTheme="minorHAnsi" w:hAnsiTheme="minorHAnsi" w:eastAsiaTheme="minorEastAsia" w:cstheme="minorBidi"/>
          <w:sz w:val="22"/>
          <w:szCs w:val="22"/>
        </w:rPr>
      </w:pPr>
      <w:r>
        <w:fldChar w:fldCharType="begin"/>
      </w:r>
      <w:r>
        <w:instrText xml:space="preserve"> HYPERLINK \l "_Toc29906919" </w:instrText>
      </w:r>
      <w:r>
        <w:fldChar w:fldCharType="separate"/>
      </w:r>
      <w:r>
        <w:rPr>
          <w:rStyle w:val="31"/>
        </w:rPr>
        <w:t>36.</w:t>
      </w:r>
      <w:r>
        <w:rPr>
          <w:rFonts w:asciiTheme="minorHAnsi" w:hAnsiTheme="minorHAnsi" w:eastAsiaTheme="minorEastAsia" w:cstheme="minorBidi"/>
          <w:sz w:val="22"/>
          <w:szCs w:val="22"/>
        </w:rPr>
        <w:tab/>
      </w:r>
      <w:r>
        <w:rPr>
          <w:rStyle w:val="31"/>
        </w:rPr>
        <w:t>Correction of Defects</w:t>
      </w:r>
      <w:r>
        <w:tab/>
      </w:r>
      <w:r>
        <w:fldChar w:fldCharType="begin"/>
      </w:r>
      <w:r>
        <w:instrText xml:space="preserve"> PAGEREF _Toc29906919 \h </w:instrText>
      </w:r>
      <w:r>
        <w:fldChar w:fldCharType="separate"/>
      </w:r>
      <w:r>
        <w:t>143</w:t>
      </w:r>
      <w:r>
        <w:fldChar w:fldCharType="end"/>
      </w:r>
      <w:r>
        <w:fldChar w:fldCharType="end"/>
      </w:r>
    </w:p>
    <w:p w14:paraId="11EA4C63">
      <w:pPr>
        <w:pStyle w:val="59"/>
        <w:rPr>
          <w:rFonts w:asciiTheme="minorHAnsi" w:hAnsiTheme="minorHAnsi" w:eastAsiaTheme="minorEastAsia" w:cstheme="minorBidi"/>
          <w:sz w:val="22"/>
          <w:szCs w:val="22"/>
        </w:rPr>
      </w:pPr>
      <w:r>
        <w:fldChar w:fldCharType="begin"/>
      </w:r>
      <w:r>
        <w:instrText xml:space="preserve"> HYPERLINK \l "_Toc29906920" </w:instrText>
      </w:r>
      <w:r>
        <w:fldChar w:fldCharType="separate"/>
      </w:r>
      <w:r>
        <w:rPr>
          <w:rStyle w:val="31"/>
        </w:rPr>
        <w:t>37.</w:t>
      </w:r>
      <w:r>
        <w:rPr>
          <w:rFonts w:asciiTheme="minorHAnsi" w:hAnsiTheme="minorHAnsi" w:eastAsiaTheme="minorEastAsia" w:cstheme="minorBidi"/>
          <w:sz w:val="22"/>
          <w:szCs w:val="22"/>
        </w:rPr>
        <w:tab/>
      </w:r>
      <w:r>
        <w:rPr>
          <w:rStyle w:val="31"/>
        </w:rPr>
        <w:t>Uncorrected Defects</w:t>
      </w:r>
      <w:r>
        <w:tab/>
      </w:r>
      <w:r>
        <w:fldChar w:fldCharType="begin"/>
      </w:r>
      <w:r>
        <w:instrText xml:space="preserve"> PAGEREF _Toc29906920 \h </w:instrText>
      </w:r>
      <w:r>
        <w:fldChar w:fldCharType="separate"/>
      </w:r>
      <w:r>
        <w:t>144</w:t>
      </w:r>
      <w:r>
        <w:fldChar w:fldCharType="end"/>
      </w:r>
      <w:r>
        <w:fldChar w:fldCharType="end"/>
      </w:r>
    </w:p>
    <w:p w14:paraId="64813D6A">
      <w:pPr>
        <w:pStyle w:val="58"/>
        <w:tabs>
          <w:tab w:val="right" w:leader="dot" w:pos="8990"/>
        </w:tabs>
        <w:rPr>
          <w:rFonts w:asciiTheme="minorHAnsi" w:hAnsiTheme="minorHAnsi" w:eastAsiaTheme="minorEastAsia" w:cstheme="minorBidi"/>
          <w:b w:val="0"/>
          <w:sz w:val="22"/>
          <w:szCs w:val="22"/>
        </w:rPr>
      </w:pPr>
      <w:r>
        <w:fldChar w:fldCharType="begin"/>
      </w:r>
      <w:r>
        <w:instrText xml:space="preserve"> HYPERLINK \l "_Toc29906921" </w:instrText>
      </w:r>
      <w:r>
        <w:fldChar w:fldCharType="separate"/>
      </w:r>
      <w:r>
        <w:rPr>
          <w:rStyle w:val="31"/>
        </w:rPr>
        <w:t>D.  Cost Control</w:t>
      </w:r>
      <w:r>
        <w:tab/>
      </w:r>
      <w:r>
        <w:fldChar w:fldCharType="begin"/>
      </w:r>
      <w:r>
        <w:instrText xml:space="preserve"> PAGEREF _Toc29906921 \h </w:instrText>
      </w:r>
      <w:r>
        <w:fldChar w:fldCharType="separate"/>
      </w:r>
      <w:r>
        <w:t>144</w:t>
      </w:r>
      <w:r>
        <w:fldChar w:fldCharType="end"/>
      </w:r>
      <w:r>
        <w:fldChar w:fldCharType="end"/>
      </w:r>
    </w:p>
    <w:p w14:paraId="4D1E0856">
      <w:pPr>
        <w:pStyle w:val="59"/>
        <w:rPr>
          <w:rFonts w:asciiTheme="minorHAnsi" w:hAnsiTheme="minorHAnsi" w:eastAsiaTheme="minorEastAsia" w:cstheme="minorBidi"/>
          <w:sz w:val="22"/>
          <w:szCs w:val="22"/>
        </w:rPr>
      </w:pPr>
      <w:r>
        <w:fldChar w:fldCharType="begin"/>
      </w:r>
      <w:r>
        <w:instrText xml:space="preserve"> HYPERLINK \l "_Toc29906922" </w:instrText>
      </w:r>
      <w:r>
        <w:fldChar w:fldCharType="separate"/>
      </w:r>
      <w:r>
        <w:rPr>
          <w:rStyle w:val="31"/>
        </w:rPr>
        <w:t>38.</w:t>
      </w:r>
      <w:r>
        <w:rPr>
          <w:rFonts w:asciiTheme="minorHAnsi" w:hAnsiTheme="minorHAnsi" w:eastAsiaTheme="minorEastAsia" w:cstheme="minorBidi"/>
          <w:sz w:val="22"/>
          <w:szCs w:val="22"/>
        </w:rPr>
        <w:tab/>
      </w:r>
      <w:r>
        <w:rPr>
          <w:rStyle w:val="31"/>
        </w:rPr>
        <w:t>Contract Price</w:t>
      </w:r>
      <w:r>
        <w:tab/>
      </w:r>
      <w:r>
        <w:fldChar w:fldCharType="begin"/>
      </w:r>
      <w:r>
        <w:instrText xml:space="preserve"> PAGEREF _Toc29906922 \h </w:instrText>
      </w:r>
      <w:r>
        <w:fldChar w:fldCharType="separate"/>
      </w:r>
      <w:r>
        <w:t>144</w:t>
      </w:r>
      <w:r>
        <w:fldChar w:fldCharType="end"/>
      </w:r>
      <w:r>
        <w:fldChar w:fldCharType="end"/>
      </w:r>
    </w:p>
    <w:p w14:paraId="1432BC9D">
      <w:pPr>
        <w:pStyle w:val="59"/>
        <w:rPr>
          <w:rFonts w:asciiTheme="minorHAnsi" w:hAnsiTheme="minorHAnsi" w:eastAsiaTheme="minorEastAsia" w:cstheme="minorBidi"/>
          <w:sz w:val="22"/>
          <w:szCs w:val="22"/>
        </w:rPr>
      </w:pPr>
      <w:r>
        <w:fldChar w:fldCharType="begin"/>
      </w:r>
      <w:r>
        <w:instrText xml:space="preserve"> HYPERLINK \l "_Toc29906923" </w:instrText>
      </w:r>
      <w:r>
        <w:fldChar w:fldCharType="separate"/>
      </w:r>
      <w:r>
        <w:rPr>
          <w:rStyle w:val="31"/>
        </w:rPr>
        <w:t>39.</w:t>
      </w:r>
      <w:r>
        <w:rPr>
          <w:rFonts w:asciiTheme="minorHAnsi" w:hAnsiTheme="minorHAnsi" w:eastAsiaTheme="minorEastAsia" w:cstheme="minorBidi"/>
          <w:sz w:val="22"/>
          <w:szCs w:val="22"/>
        </w:rPr>
        <w:tab/>
      </w:r>
      <w:r>
        <w:rPr>
          <w:rStyle w:val="31"/>
        </w:rPr>
        <w:t>Changes in the Contract Price</w:t>
      </w:r>
      <w:r>
        <w:tab/>
      </w:r>
      <w:r>
        <w:fldChar w:fldCharType="begin"/>
      </w:r>
      <w:r>
        <w:instrText xml:space="preserve"> PAGEREF _Toc29906923 \h </w:instrText>
      </w:r>
      <w:r>
        <w:fldChar w:fldCharType="separate"/>
      </w:r>
      <w:r>
        <w:t>144</w:t>
      </w:r>
      <w:r>
        <w:fldChar w:fldCharType="end"/>
      </w:r>
      <w:r>
        <w:fldChar w:fldCharType="end"/>
      </w:r>
    </w:p>
    <w:p w14:paraId="797A7FB0">
      <w:pPr>
        <w:pStyle w:val="59"/>
        <w:rPr>
          <w:rFonts w:asciiTheme="minorHAnsi" w:hAnsiTheme="minorHAnsi" w:eastAsiaTheme="minorEastAsia" w:cstheme="minorBidi"/>
          <w:sz w:val="22"/>
          <w:szCs w:val="22"/>
        </w:rPr>
      </w:pPr>
      <w:r>
        <w:fldChar w:fldCharType="begin"/>
      </w:r>
      <w:r>
        <w:instrText xml:space="preserve"> HYPERLINK \l "_Toc29906924" </w:instrText>
      </w:r>
      <w:r>
        <w:fldChar w:fldCharType="separate"/>
      </w:r>
      <w:r>
        <w:rPr>
          <w:rStyle w:val="31"/>
        </w:rPr>
        <w:t>40.</w:t>
      </w:r>
      <w:r>
        <w:rPr>
          <w:rFonts w:asciiTheme="minorHAnsi" w:hAnsiTheme="minorHAnsi" w:eastAsiaTheme="minorEastAsia" w:cstheme="minorBidi"/>
          <w:sz w:val="22"/>
          <w:szCs w:val="22"/>
        </w:rPr>
        <w:tab/>
      </w:r>
      <w:r>
        <w:rPr>
          <w:rStyle w:val="31"/>
        </w:rPr>
        <w:t>Variations</w:t>
      </w:r>
      <w:r>
        <w:tab/>
      </w:r>
      <w:r>
        <w:fldChar w:fldCharType="begin"/>
      </w:r>
      <w:r>
        <w:instrText xml:space="preserve"> PAGEREF _Toc29906924 \h </w:instrText>
      </w:r>
      <w:r>
        <w:fldChar w:fldCharType="separate"/>
      </w:r>
      <w:r>
        <w:t>144</w:t>
      </w:r>
      <w:r>
        <w:fldChar w:fldCharType="end"/>
      </w:r>
      <w:r>
        <w:fldChar w:fldCharType="end"/>
      </w:r>
    </w:p>
    <w:p w14:paraId="6B818D07">
      <w:pPr>
        <w:pStyle w:val="59"/>
        <w:rPr>
          <w:rFonts w:asciiTheme="minorHAnsi" w:hAnsiTheme="minorHAnsi" w:eastAsiaTheme="minorEastAsia" w:cstheme="minorBidi"/>
          <w:sz w:val="22"/>
          <w:szCs w:val="22"/>
        </w:rPr>
      </w:pPr>
      <w:r>
        <w:fldChar w:fldCharType="begin"/>
      </w:r>
      <w:r>
        <w:instrText xml:space="preserve"> HYPERLINK \l "_Toc29906925" </w:instrText>
      </w:r>
      <w:r>
        <w:fldChar w:fldCharType="separate"/>
      </w:r>
      <w:r>
        <w:rPr>
          <w:rStyle w:val="31"/>
        </w:rPr>
        <w:t>41.</w:t>
      </w:r>
      <w:r>
        <w:rPr>
          <w:rFonts w:asciiTheme="minorHAnsi" w:hAnsiTheme="minorHAnsi" w:eastAsiaTheme="minorEastAsia" w:cstheme="minorBidi"/>
          <w:sz w:val="22"/>
          <w:szCs w:val="22"/>
        </w:rPr>
        <w:tab/>
      </w:r>
      <w:r>
        <w:rPr>
          <w:rStyle w:val="31"/>
        </w:rPr>
        <w:t>Cash Flow Forecasts</w:t>
      </w:r>
      <w:r>
        <w:tab/>
      </w:r>
      <w:r>
        <w:fldChar w:fldCharType="begin"/>
      </w:r>
      <w:r>
        <w:instrText xml:space="preserve"> PAGEREF _Toc29906925 \h </w:instrText>
      </w:r>
      <w:r>
        <w:fldChar w:fldCharType="separate"/>
      </w:r>
      <w:r>
        <w:t>145</w:t>
      </w:r>
      <w:r>
        <w:fldChar w:fldCharType="end"/>
      </w:r>
      <w:r>
        <w:fldChar w:fldCharType="end"/>
      </w:r>
    </w:p>
    <w:p w14:paraId="640C3CC1">
      <w:pPr>
        <w:pStyle w:val="59"/>
        <w:rPr>
          <w:rFonts w:asciiTheme="minorHAnsi" w:hAnsiTheme="minorHAnsi" w:eastAsiaTheme="minorEastAsia" w:cstheme="minorBidi"/>
          <w:sz w:val="22"/>
          <w:szCs w:val="22"/>
        </w:rPr>
      </w:pPr>
      <w:r>
        <w:fldChar w:fldCharType="begin"/>
      </w:r>
      <w:r>
        <w:instrText xml:space="preserve"> HYPERLINK \l "_Toc29906926" </w:instrText>
      </w:r>
      <w:r>
        <w:fldChar w:fldCharType="separate"/>
      </w:r>
      <w:r>
        <w:rPr>
          <w:rStyle w:val="31"/>
        </w:rPr>
        <w:t>42.</w:t>
      </w:r>
      <w:r>
        <w:rPr>
          <w:rFonts w:asciiTheme="minorHAnsi" w:hAnsiTheme="minorHAnsi" w:eastAsiaTheme="minorEastAsia" w:cstheme="minorBidi"/>
          <w:sz w:val="22"/>
          <w:szCs w:val="22"/>
        </w:rPr>
        <w:tab/>
      </w:r>
      <w:r>
        <w:rPr>
          <w:rStyle w:val="31"/>
        </w:rPr>
        <w:t>Payment Certificates</w:t>
      </w:r>
      <w:r>
        <w:tab/>
      </w:r>
      <w:r>
        <w:fldChar w:fldCharType="begin"/>
      </w:r>
      <w:r>
        <w:instrText xml:space="preserve"> PAGEREF _Toc29906926 \h </w:instrText>
      </w:r>
      <w:r>
        <w:fldChar w:fldCharType="separate"/>
      </w:r>
      <w:r>
        <w:t>145</w:t>
      </w:r>
      <w:r>
        <w:fldChar w:fldCharType="end"/>
      </w:r>
      <w:r>
        <w:fldChar w:fldCharType="end"/>
      </w:r>
    </w:p>
    <w:p w14:paraId="448391A7">
      <w:pPr>
        <w:pStyle w:val="59"/>
        <w:rPr>
          <w:rFonts w:asciiTheme="minorHAnsi" w:hAnsiTheme="minorHAnsi" w:eastAsiaTheme="minorEastAsia" w:cstheme="minorBidi"/>
          <w:sz w:val="22"/>
          <w:szCs w:val="22"/>
        </w:rPr>
      </w:pPr>
      <w:r>
        <w:fldChar w:fldCharType="begin"/>
      </w:r>
      <w:r>
        <w:instrText xml:space="preserve"> HYPERLINK \l "_Toc29906927" </w:instrText>
      </w:r>
      <w:r>
        <w:fldChar w:fldCharType="separate"/>
      </w:r>
      <w:r>
        <w:rPr>
          <w:rStyle w:val="31"/>
        </w:rPr>
        <w:t>43.</w:t>
      </w:r>
      <w:r>
        <w:rPr>
          <w:rFonts w:asciiTheme="minorHAnsi" w:hAnsiTheme="minorHAnsi" w:eastAsiaTheme="minorEastAsia" w:cstheme="minorBidi"/>
          <w:sz w:val="22"/>
          <w:szCs w:val="22"/>
        </w:rPr>
        <w:tab/>
      </w:r>
      <w:r>
        <w:rPr>
          <w:rStyle w:val="31"/>
        </w:rPr>
        <w:t>Payments</w:t>
      </w:r>
      <w:r>
        <w:tab/>
      </w:r>
      <w:r>
        <w:fldChar w:fldCharType="begin"/>
      </w:r>
      <w:r>
        <w:instrText xml:space="preserve"> PAGEREF _Toc29906927 \h </w:instrText>
      </w:r>
      <w:r>
        <w:fldChar w:fldCharType="separate"/>
      </w:r>
      <w:r>
        <w:t>146</w:t>
      </w:r>
      <w:r>
        <w:fldChar w:fldCharType="end"/>
      </w:r>
      <w:r>
        <w:fldChar w:fldCharType="end"/>
      </w:r>
    </w:p>
    <w:p w14:paraId="06778FD5">
      <w:pPr>
        <w:pStyle w:val="59"/>
        <w:rPr>
          <w:rFonts w:asciiTheme="minorHAnsi" w:hAnsiTheme="minorHAnsi" w:eastAsiaTheme="minorEastAsia" w:cstheme="minorBidi"/>
          <w:sz w:val="22"/>
          <w:szCs w:val="22"/>
        </w:rPr>
      </w:pPr>
      <w:r>
        <w:fldChar w:fldCharType="begin"/>
      </w:r>
      <w:r>
        <w:instrText xml:space="preserve"> HYPERLINK \l "_Toc29906928" </w:instrText>
      </w:r>
      <w:r>
        <w:fldChar w:fldCharType="separate"/>
      </w:r>
      <w:r>
        <w:rPr>
          <w:rStyle w:val="31"/>
        </w:rPr>
        <w:t>44.</w:t>
      </w:r>
      <w:r>
        <w:rPr>
          <w:rFonts w:asciiTheme="minorHAnsi" w:hAnsiTheme="minorHAnsi" w:eastAsiaTheme="minorEastAsia" w:cstheme="minorBidi"/>
          <w:sz w:val="22"/>
          <w:szCs w:val="22"/>
        </w:rPr>
        <w:tab/>
      </w:r>
      <w:r>
        <w:rPr>
          <w:rStyle w:val="31"/>
        </w:rPr>
        <w:t>Compensation Events</w:t>
      </w:r>
      <w:r>
        <w:tab/>
      </w:r>
      <w:r>
        <w:fldChar w:fldCharType="begin"/>
      </w:r>
      <w:r>
        <w:instrText xml:space="preserve"> PAGEREF _Toc29906928 \h </w:instrText>
      </w:r>
      <w:r>
        <w:fldChar w:fldCharType="separate"/>
      </w:r>
      <w:r>
        <w:t>147</w:t>
      </w:r>
      <w:r>
        <w:fldChar w:fldCharType="end"/>
      </w:r>
      <w:r>
        <w:fldChar w:fldCharType="end"/>
      </w:r>
    </w:p>
    <w:p w14:paraId="33D5A1E4">
      <w:pPr>
        <w:pStyle w:val="59"/>
        <w:rPr>
          <w:rFonts w:asciiTheme="minorHAnsi" w:hAnsiTheme="minorHAnsi" w:eastAsiaTheme="minorEastAsia" w:cstheme="minorBidi"/>
          <w:sz w:val="22"/>
          <w:szCs w:val="22"/>
        </w:rPr>
      </w:pPr>
      <w:r>
        <w:fldChar w:fldCharType="begin"/>
      </w:r>
      <w:r>
        <w:instrText xml:space="preserve"> HYPERLINK \l "_Toc29906929" </w:instrText>
      </w:r>
      <w:r>
        <w:fldChar w:fldCharType="separate"/>
      </w:r>
      <w:r>
        <w:rPr>
          <w:rStyle w:val="31"/>
        </w:rPr>
        <w:t>45.</w:t>
      </w:r>
      <w:r>
        <w:rPr>
          <w:rFonts w:asciiTheme="minorHAnsi" w:hAnsiTheme="minorHAnsi" w:eastAsiaTheme="minorEastAsia" w:cstheme="minorBidi"/>
          <w:sz w:val="22"/>
          <w:szCs w:val="22"/>
        </w:rPr>
        <w:tab/>
      </w:r>
      <w:r>
        <w:rPr>
          <w:rStyle w:val="31"/>
        </w:rPr>
        <w:t>Tax</w:t>
      </w:r>
      <w:r>
        <w:tab/>
      </w:r>
      <w:r>
        <w:fldChar w:fldCharType="begin"/>
      </w:r>
      <w:r>
        <w:instrText xml:space="preserve"> PAGEREF _Toc29906929 \h </w:instrText>
      </w:r>
      <w:r>
        <w:fldChar w:fldCharType="separate"/>
      </w:r>
      <w:r>
        <w:t>148</w:t>
      </w:r>
      <w:r>
        <w:fldChar w:fldCharType="end"/>
      </w:r>
      <w:r>
        <w:fldChar w:fldCharType="end"/>
      </w:r>
    </w:p>
    <w:p w14:paraId="25B0748E">
      <w:pPr>
        <w:pStyle w:val="59"/>
        <w:rPr>
          <w:rFonts w:asciiTheme="minorHAnsi" w:hAnsiTheme="minorHAnsi" w:eastAsiaTheme="minorEastAsia" w:cstheme="minorBidi"/>
          <w:sz w:val="22"/>
          <w:szCs w:val="22"/>
        </w:rPr>
      </w:pPr>
      <w:r>
        <w:fldChar w:fldCharType="begin"/>
      </w:r>
      <w:r>
        <w:instrText xml:space="preserve"> HYPERLINK \l "_Toc29906930" </w:instrText>
      </w:r>
      <w:r>
        <w:fldChar w:fldCharType="separate"/>
      </w:r>
      <w:r>
        <w:rPr>
          <w:rStyle w:val="31"/>
        </w:rPr>
        <w:t>46.</w:t>
      </w:r>
      <w:r>
        <w:rPr>
          <w:rFonts w:asciiTheme="minorHAnsi" w:hAnsiTheme="minorHAnsi" w:eastAsiaTheme="minorEastAsia" w:cstheme="minorBidi"/>
          <w:sz w:val="22"/>
          <w:szCs w:val="22"/>
        </w:rPr>
        <w:tab/>
      </w:r>
      <w:r>
        <w:rPr>
          <w:rStyle w:val="31"/>
        </w:rPr>
        <w:t>Currencies</w:t>
      </w:r>
      <w:r>
        <w:tab/>
      </w:r>
      <w:r>
        <w:fldChar w:fldCharType="begin"/>
      </w:r>
      <w:r>
        <w:instrText xml:space="preserve"> PAGEREF _Toc29906930 \h </w:instrText>
      </w:r>
      <w:r>
        <w:fldChar w:fldCharType="separate"/>
      </w:r>
      <w:r>
        <w:t>148</w:t>
      </w:r>
      <w:r>
        <w:fldChar w:fldCharType="end"/>
      </w:r>
      <w:r>
        <w:fldChar w:fldCharType="end"/>
      </w:r>
    </w:p>
    <w:p w14:paraId="7D74456C">
      <w:pPr>
        <w:pStyle w:val="59"/>
        <w:rPr>
          <w:rFonts w:asciiTheme="minorHAnsi" w:hAnsiTheme="minorHAnsi" w:eastAsiaTheme="minorEastAsia" w:cstheme="minorBidi"/>
          <w:sz w:val="22"/>
          <w:szCs w:val="22"/>
        </w:rPr>
      </w:pPr>
      <w:r>
        <w:fldChar w:fldCharType="begin"/>
      </w:r>
      <w:r>
        <w:instrText xml:space="preserve"> HYPERLINK \l "_Toc29906931" </w:instrText>
      </w:r>
      <w:r>
        <w:fldChar w:fldCharType="separate"/>
      </w:r>
      <w:r>
        <w:rPr>
          <w:rStyle w:val="31"/>
        </w:rPr>
        <w:t>47.</w:t>
      </w:r>
      <w:r>
        <w:rPr>
          <w:rFonts w:asciiTheme="minorHAnsi" w:hAnsiTheme="minorHAnsi" w:eastAsiaTheme="minorEastAsia" w:cstheme="minorBidi"/>
          <w:sz w:val="22"/>
          <w:szCs w:val="22"/>
        </w:rPr>
        <w:tab/>
      </w:r>
      <w:r>
        <w:rPr>
          <w:rStyle w:val="31"/>
        </w:rPr>
        <w:t>Price Adjustment</w:t>
      </w:r>
      <w:r>
        <w:tab/>
      </w:r>
      <w:r>
        <w:fldChar w:fldCharType="begin"/>
      </w:r>
      <w:r>
        <w:instrText xml:space="preserve"> PAGEREF _Toc29906931 \h </w:instrText>
      </w:r>
      <w:r>
        <w:fldChar w:fldCharType="separate"/>
      </w:r>
      <w:r>
        <w:t>148</w:t>
      </w:r>
      <w:r>
        <w:fldChar w:fldCharType="end"/>
      </w:r>
      <w:r>
        <w:fldChar w:fldCharType="end"/>
      </w:r>
    </w:p>
    <w:p w14:paraId="70983844">
      <w:pPr>
        <w:pStyle w:val="59"/>
        <w:rPr>
          <w:rFonts w:asciiTheme="minorHAnsi" w:hAnsiTheme="minorHAnsi" w:eastAsiaTheme="minorEastAsia" w:cstheme="minorBidi"/>
          <w:sz w:val="22"/>
          <w:szCs w:val="22"/>
        </w:rPr>
      </w:pPr>
      <w:r>
        <w:fldChar w:fldCharType="begin"/>
      </w:r>
      <w:r>
        <w:instrText xml:space="preserve"> HYPERLINK \l "_Toc29906932" </w:instrText>
      </w:r>
      <w:r>
        <w:fldChar w:fldCharType="separate"/>
      </w:r>
      <w:r>
        <w:rPr>
          <w:rStyle w:val="31"/>
        </w:rPr>
        <w:t>48.</w:t>
      </w:r>
      <w:r>
        <w:rPr>
          <w:rFonts w:asciiTheme="minorHAnsi" w:hAnsiTheme="minorHAnsi" w:eastAsiaTheme="minorEastAsia" w:cstheme="minorBidi"/>
          <w:sz w:val="22"/>
          <w:szCs w:val="22"/>
        </w:rPr>
        <w:tab/>
      </w:r>
      <w:r>
        <w:rPr>
          <w:rStyle w:val="31"/>
        </w:rPr>
        <w:t>Retention</w:t>
      </w:r>
      <w:r>
        <w:tab/>
      </w:r>
      <w:r>
        <w:fldChar w:fldCharType="begin"/>
      </w:r>
      <w:r>
        <w:instrText xml:space="preserve"> PAGEREF _Toc29906932 \h </w:instrText>
      </w:r>
      <w:r>
        <w:fldChar w:fldCharType="separate"/>
      </w:r>
      <w:r>
        <w:t>149</w:t>
      </w:r>
      <w:r>
        <w:fldChar w:fldCharType="end"/>
      </w:r>
      <w:r>
        <w:fldChar w:fldCharType="end"/>
      </w:r>
    </w:p>
    <w:p w14:paraId="1AB3889C">
      <w:pPr>
        <w:pStyle w:val="59"/>
        <w:rPr>
          <w:rFonts w:asciiTheme="minorHAnsi" w:hAnsiTheme="minorHAnsi" w:eastAsiaTheme="minorEastAsia" w:cstheme="minorBidi"/>
          <w:sz w:val="22"/>
          <w:szCs w:val="22"/>
        </w:rPr>
      </w:pPr>
      <w:r>
        <w:fldChar w:fldCharType="begin"/>
      </w:r>
      <w:r>
        <w:instrText xml:space="preserve"> HYPERLINK \l "_Toc29906933" </w:instrText>
      </w:r>
      <w:r>
        <w:fldChar w:fldCharType="separate"/>
      </w:r>
      <w:r>
        <w:rPr>
          <w:rStyle w:val="31"/>
        </w:rPr>
        <w:t>49.</w:t>
      </w:r>
      <w:r>
        <w:rPr>
          <w:rFonts w:asciiTheme="minorHAnsi" w:hAnsiTheme="minorHAnsi" w:eastAsiaTheme="minorEastAsia" w:cstheme="minorBidi"/>
          <w:sz w:val="22"/>
          <w:szCs w:val="22"/>
        </w:rPr>
        <w:tab/>
      </w:r>
      <w:r>
        <w:rPr>
          <w:rStyle w:val="31"/>
        </w:rPr>
        <w:t>Liquidated Damages</w:t>
      </w:r>
      <w:r>
        <w:tab/>
      </w:r>
      <w:r>
        <w:fldChar w:fldCharType="begin"/>
      </w:r>
      <w:r>
        <w:instrText xml:space="preserve"> PAGEREF _Toc29906933 \h </w:instrText>
      </w:r>
      <w:r>
        <w:fldChar w:fldCharType="separate"/>
      </w:r>
      <w:r>
        <w:t>149</w:t>
      </w:r>
      <w:r>
        <w:fldChar w:fldCharType="end"/>
      </w:r>
      <w:r>
        <w:fldChar w:fldCharType="end"/>
      </w:r>
    </w:p>
    <w:p w14:paraId="748C7E8B">
      <w:pPr>
        <w:pStyle w:val="59"/>
        <w:rPr>
          <w:rFonts w:asciiTheme="minorHAnsi" w:hAnsiTheme="minorHAnsi" w:eastAsiaTheme="minorEastAsia" w:cstheme="minorBidi"/>
          <w:sz w:val="22"/>
          <w:szCs w:val="22"/>
        </w:rPr>
      </w:pPr>
      <w:r>
        <w:fldChar w:fldCharType="begin"/>
      </w:r>
      <w:r>
        <w:instrText xml:space="preserve"> HYPERLINK \l "_Toc29906934" </w:instrText>
      </w:r>
      <w:r>
        <w:fldChar w:fldCharType="separate"/>
      </w:r>
      <w:r>
        <w:rPr>
          <w:rStyle w:val="31"/>
        </w:rPr>
        <w:t>50.</w:t>
      </w:r>
      <w:r>
        <w:rPr>
          <w:rFonts w:asciiTheme="minorHAnsi" w:hAnsiTheme="minorHAnsi" w:eastAsiaTheme="minorEastAsia" w:cstheme="minorBidi"/>
          <w:sz w:val="22"/>
          <w:szCs w:val="22"/>
        </w:rPr>
        <w:tab/>
      </w:r>
      <w:r>
        <w:rPr>
          <w:rStyle w:val="31"/>
        </w:rPr>
        <w:t>Bonus</w:t>
      </w:r>
      <w:r>
        <w:tab/>
      </w:r>
      <w:r>
        <w:fldChar w:fldCharType="begin"/>
      </w:r>
      <w:r>
        <w:instrText xml:space="preserve"> PAGEREF _Toc29906934 \h </w:instrText>
      </w:r>
      <w:r>
        <w:fldChar w:fldCharType="separate"/>
      </w:r>
      <w:r>
        <w:t>150</w:t>
      </w:r>
      <w:r>
        <w:fldChar w:fldCharType="end"/>
      </w:r>
      <w:r>
        <w:fldChar w:fldCharType="end"/>
      </w:r>
    </w:p>
    <w:p w14:paraId="4CDF8B56">
      <w:pPr>
        <w:pStyle w:val="59"/>
        <w:rPr>
          <w:rFonts w:asciiTheme="minorHAnsi" w:hAnsiTheme="minorHAnsi" w:eastAsiaTheme="minorEastAsia" w:cstheme="minorBidi"/>
          <w:sz w:val="22"/>
          <w:szCs w:val="22"/>
        </w:rPr>
      </w:pPr>
      <w:r>
        <w:fldChar w:fldCharType="begin"/>
      </w:r>
      <w:r>
        <w:instrText xml:space="preserve"> HYPERLINK \l "_Toc29906935" </w:instrText>
      </w:r>
      <w:r>
        <w:fldChar w:fldCharType="separate"/>
      </w:r>
      <w:r>
        <w:rPr>
          <w:rStyle w:val="31"/>
        </w:rPr>
        <w:t>51.</w:t>
      </w:r>
      <w:r>
        <w:rPr>
          <w:rFonts w:asciiTheme="minorHAnsi" w:hAnsiTheme="minorHAnsi" w:eastAsiaTheme="minorEastAsia" w:cstheme="minorBidi"/>
          <w:sz w:val="22"/>
          <w:szCs w:val="22"/>
        </w:rPr>
        <w:tab/>
      </w:r>
      <w:r>
        <w:rPr>
          <w:rStyle w:val="31"/>
        </w:rPr>
        <w:t>Advance Payment</w:t>
      </w:r>
      <w:r>
        <w:tab/>
      </w:r>
      <w:r>
        <w:fldChar w:fldCharType="begin"/>
      </w:r>
      <w:r>
        <w:instrText xml:space="preserve"> PAGEREF _Toc29906935 \h </w:instrText>
      </w:r>
      <w:r>
        <w:fldChar w:fldCharType="separate"/>
      </w:r>
      <w:r>
        <w:t>150</w:t>
      </w:r>
      <w:r>
        <w:fldChar w:fldCharType="end"/>
      </w:r>
      <w:r>
        <w:fldChar w:fldCharType="end"/>
      </w:r>
    </w:p>
    <w:p w14:paraId="36F1515D">
      <w:pPr>
        <w:pStyle w:val="59"/>
        <w:rPr>
          <w:rFonts w:asciiTheme="minorHAnsi" w:hAnsiTheme="minorHAnsi" w:eastAsiaTheme="minorEastAsia" w:cstheme="minorBidi"/>
          <w:sz w:val="22"/>
          <w:szCs w:val="22"/>
        </w:rPr>
      </w:pPr>
      <w:r>
        <w:fldChar w:fldCharType="begin"/>
      </w:r>
      <w:r>
        <w:instrText xml:space="preserve"> HYPERLINK \l "_Toc29906936" </w:instrText>
      </w:r>
      <w:r>
        <w:fldChar w:fldCharType="separate"/>
      </w:r>
      <w:r>
        <w:rPr>
          <w:rStyle w:val="31"/>
        </w:rPr>
        <w:t>52.</w:t>
      </w:r>
      <w:r>
        <w:rPr>
          <w:rFonts w:asciiTheme="minorHAnsi" w:hAnsiTheme="minorHAnsi" w:eastAsiaTheme="minorEastAsia" w:cstheme="minorBidi"/>
          <w:sz w:val="22"/>
          <w:szCs w:val="22"/>
        </w:rPr>
        <w:tab/>
      </w:r>
      <w:r>
        <w:rPr>
          <w:rStyle w:val="31"/>
        </w:rPr>
        <w:t>Securities</w:t>
      </w:r>
      <w:r>
        <w:tab/>
      </w:r>
      <w:r>
        <w:fldChar w:fldCharType="begin"/>
      </w:r>
      <w:r>
        <w:instrText xml:space="preserve"> PAGEREF _Toc29906936 \h </w:instrText>
      </w:r>
      <w:r>
        <w:fldChar w:fldCharType="separate"/>
      </w:r>
      <w:r>
        <w:t>150</w:t>
      </w:r>
      <w:r>
        <w:fldChar w:fldCharType="end"/>
      </w:r>
      <w:r>
        <w:fldChar w:fldCharType="end"/>
      </w:r>
    </w:p>
    <w:p w14:paraId="62CB1E92">
      <w:pPr>
        <w:pStyle w:val="59"/>
        <w:rPr>
          <w:rFonts w:asciiTheme="minorHAnsi" w:hAnsiTheme="minorHAnsi" w:eastAsiaTheme="minorEastAsia" w:cstheme="minorBidi"/>
          <w:sz w:val="22"/>
          <w:szCs w:val="22"/>
        </w:rPr>
      </w:pPr>
      <w:r>
        <w:fldChar w:fldCharType="begin"/>
      </w:r>
      <w:r>
        <w:instrText xml:space="preserve"> HYPERLINK \l "_Toc29906937" </w:instrText>
      </w:r>
      <w:r>
        <w:fldChar w:fldCharType="separate"/>
      </w:r>
      <w:r>
        <w:rPr>
          <w:rStyle w:val="31"/>
        </w:rPr>
        <w:t>53.</w:t>
      </w:r>
      <w:r>
        <w:rPr>
          <w:rFonts w:asciiTheme="minorHAnsi" w:hAnsiTheme="minorHAnsi" w:eastAsiaTheme="minorEastAsia" w:cstheme="minorBidi"/>
          <w:sz w:val="22"/>
          <w:szCs w:val="22"/>
        </w:rPr>
        <w:tab/>
      </w:r>
      <w:r>
        <w:rPr>
          <w:rStyle w:val="31"/>
        </w:rPr>
        <w:t>Dayworks</w:t>
      </w:r>
      <w:r>
        <w:tab/>
      </w:r>
      <w:r>
        <w:fldChar w:fldCharType="begin"/>
      </w:r>
      <w:r>
        <w:instrText xml:space="preserve"> PAGEREF _Toc29906937 \h </w:instrText>
      </w:r>
      <w:r>
        <w:fldChar w:fldCharType="separate"/>
      </w:r>
      <w:r>
        <w:t>151</w:t>
      </w:r>
      <w:r>
        <w:fldChar w:fldCharType="end"/>
      </w:r>
      <w:r>
        <w:fldChar w:fldCharType="end"/>
      </w:r>
    </w:p>
    <w:p w14:paraId="2560B350">
      <w:pPr>
        <w:pStyle w:val="59"/>
        <w:rPr>
          <w:rFonts w:asciiTheme="minorHAnsi" w:hAnsiTheme="minorHAnsi" w:eastAsiaTheme="minorEastAsia" w:cstheme="minorBidi"/>
          <w:sz w:val="22"/>
          <w:szCs w:val="22"/>
        </w:rPr>
      </w:pPr>
      <w:r>
        <w:fldChar w:fldCharType="begin"/>
      </w:r>
      <w:r>
        <w:instrText xml:space="preserve"> HYPERLINK \l "_Toc29906938" </w:instrText>
      </w:r>
      <w:r>
        <w:fldChar w:fldCharType="separate"/>
      </w:r>
      <w:r>
        <w:rPr>
          <w:rStyle w:val="31"/>
        </w:rPr>
        <w:t>54.</w:t>
      </w:r>
      <w:r>
        <w:rPr>
          <w:rFonts w:asciiTheme="minorHAnsi" w:hAnsiTheme="minorHAnsi" w:eastAsiaTheme="minorEastAsia" w:cstheme="minorBidi"/>
          <w:sz w:val="22"/>
          <w:szCs w:val="22"/>
        </w:rPr>
        <w:tab/>
      </w:r>
      <w:r>
        <w:rPr>
          <w:rStyle w:val="31"/>
        </w:rPr>
        <w:t>Cost of Repairs</w:t>
      </w:r>
      <w:r>
        <w:tab/>
      </w:r>
      <w:r>
        <w:fldChar w:fldCharType="begin"/>
      </w:r>
      <w:r>
        <w:instrText xml:space="preserve"> PAGEREF _Toc29906938 \h </w:instrText>
      </w:r>
      <w:r>
        <w:fldChar w:fldCharType="separate"/>
      </w:r>
      <w:r>
        <w:t>151</w:t>
      </w:r>
      <w:r>
        <w:fldChar w:fldCharType="end"/>
      </w:r>
      <w:r>
        <w:fldChar w:fldCharType="end"/>
      </w:r>
    </w:p>
    <w:p w14:paraId="09CBC999">
      <w:pPr>
        <w:pStyle w:val="58"/>
        <w:tabs>
          <w:tab w:val="right" w:leader="dot" w:pos="8990"/>
        </w:tabs>
        <w:rPr>
          <w:rFonts w:asciiTheme="minorHAnsi" w:hAnsiTheme="minorHAnsi" w:eastAsiaTheme="minorEastAsia" w:cstheme="minorBidi"/>
          <w:b w:val="0"/>
          <w:sz w:val="22"/>
          <w:szCs w:val="22"/>
        </w:rPr>
      </w:pPr>
      <w:r>
        <w:fldChar w:fldCharType="begin"/>
      </w:r>
      <w:r>
        <w:instrText xml:space="preserve"> HYPERLINK \l "_Toc29906939" </w:instrText>
      </w:r>
      <w:r>
        <w:fldChar w:fldCharType="separate"/>
      </w:r>
      <w:r>
        <w:rPr>
          <w:rStyle w:val="31"/>
        </w:rPr>
        <w:t>E.  Finishing the Contract</w:t>
      </w:r>
      <w:r>
        <w:tab/>
      </w:r>
      <w:r>
        <w:fldChar w:fldCharType="begin"/>
      </w:r>
      <w:r>
        <w:instrText xml:space="preserve"> PAGEREF _Toc29906939 \h </w:instrText>
      </w:r>
      <w:r>
        <w:fldChar w:fldCharType="separate"/>
      </w:r>
      <w:r>
        <w:t>151</w:t>
      </w:r>
      <w:r>
        <w:fldChar w:fldCharType="end"/>
      </w:r>
      <w:r>
        <w:fldChar w:fldCharType="end"/>
      </w:r>
    </w:p>
    <w:p w14:paraId="6A01BBA3">
      <w:pPr>
        <w:pStyle w:val="59"/>
        <w:rPr>
          <w:rFonts w:asciiTheme="minorHAnsi" w:hAnsiTheme="minorHAnsi" w:eastAsiaTheme="minorEastAsia" w:cstheme="minorBidi"/>
          <w:sz w:val="22"/>
          <w:szCs w:val="22"/>
        </w:rPr>
      </w:pPr>
      <w:r>
        <w:fldChar w:fldCharType="begin"/>
      </w:r>
      <w:r>
        <w:instrText xml:space="preserve"> HYPERLINK \l "_Toc29906940" </w:instrText>
      </w:r>
      <w:r>
        <w:fldChar w:fldCharType="separate"/>
      </w:r>
      <w:r>
        <w:rPr>
          <w:rStyle w:val="31"/>
        </w:rPr>
        <w:t>55.</w:t>
      </w:r>
      <w:r>
        <w:rPr>
          <w:rFonts w:asciiTheme="minorHAnsi" w:hAnsiTheme="minorHAnsi" w:eastAsiaTheme="minorEastAsia" w:cstheme="minorBidi"/>
          <w:sz w:val="22"/>
          <w:szCs w:val="22"/>
        </w:rPr>
        <w:tab/>
      </w:r>
      <w:r>
        <w:rPr>
          <w:rStyle w:val="31"/>
        </w:rPr>
        <w:t>Completion</w:t>
      </w:r>
      <w:r>
        <w:tab/>
      </w:r>
      <w:r>
        <w:fldChar w:fldCharType="begin"/>
      </w:r>
      <w:r>
        <w:instrText xml:space="preserve"> PAGEREF _Toc29906940 \h </w:instrText>
      </w:r>
      <w:r>
        <w:fldChar w:fldCharType="separate"/>
      </w:r>
      <w:r>
        <w:t>151</w:t>
      </w:r>
      <w:r>
        <w:fldChar w:fldCharType="end"/>
      </w:r>
      <w:r>
        <w:fldChar w:fldCharType="end"/>
      </w:r>
    </w:p>
    <w:p w14:paraId="5F8839E0">
      <w:pPr>
        <w:pStyle w:val="59"/>
        <w:rPr>
          <w:rFonts w:asciiTheme="minorHAnsi" w:hAnsiTheme="minorHAnsi" w:eastAsiaTheme="minorEastAsia" w:cstheme="minorBidi"/>
          <w:sz w:val="22"/>
          <w:szCs w:val="22"/>
        </w:rPr>
      </w:pPr>
      <w:r>
        <w:fldChar w:fldCharType="begin"/>
      </w:r>
      <w:r>
        <w:instrText xml:space="preserve"> HYPERLINK \l "_Toc29906941" </w:instrText>
      </w:r>
      <w:r>
        <w:fldChar w:fldCharType="separate"/>
      </w:r>
      <w:r>
        <w:rPr>
          <w:rStyle w:val="31"/>
        </w:rPr>
        <w:t>56.</w:t>
      </w:r>
      <w:r>
        <w:rPr>
          <w:rFonts w:asciiTheme="minorHAnsi" w:hAnsiTheme="minorHAnsi" w:eastAsiaTheme="minorEastAsia" w:cstheme="minorBidi"/>
          <w:sz w:val="22"/>
          <w:szCs w:val="22"/>
        </w:rPr>
        <w:tab/>
      </w:r>
      <w:r>
        <w:rPr>
          <w:rStyle w:val="31"/>
        </w:rPr>
        <w:t>Taking Over</w:t>
      </w:r>
      <w:r>
        <w:tab/>
      </w:r>
      <w:r>
        <w:fldChar w:fldCharType="begin"/>
      </w:r>
      <w:r>
        <w:instrText xml:space="preserve"> PAGEREF _Toc29906941 \h </w:instrText>
      </w:r>
      <w:r>
        <w:fldChar w:fldCharType="separate"/>
      </w:r>
      <w:r>
        <w:t>151</w:t>
      </w:r>
      <w:r>
        <w:fldChar w:fldCharType="end"/>
      </w:r>
      <w:r>
        <w:fldChar w:fldCharType="end"/>
      </w:r>
    </w:p>
    <w:p w14:paraId="0821222A">
      <w:pPr>
        <w:pStyle w:val="59"/>
        <w:rPr>
          <w:rFonts w:asciiTheme="minorHAnsi" w:hAnsiTheme="minorHAnsi" w:eastAsiaTheme="minorEastAsia" w:cstheme="minorBidi"/>
          <w:sz w:val="22"/>
          <w:szCs w:val="22"/>
        </w:rPr>
      </w:pPr>
      <w:r>
        <w:fldChar w:fldCharType="begin"/>
      </w:r>
      <w:r>
        <w:instrText xml:space="preserve"> HYPERLINK \l "_Toc29906942" </w:instrText>
      </w:r>
      <w:r>
        <w:fldChar w:fldCharType="separate"/>
      </w:r>
      <w:r>
        <w:rPr>
          <w:rStyle w:val="31"/>
        </w:rPr>
        <w:t>57.</w:t>
      </w:r>
      <w:r>
        <w:rPr>
          <w:rFonts w:asciiTheme="minorHAnsi" w:hAnsiTheme="minorHAnsi" w:eastAsiaTheme="minorEastAsia" w:cstheme="minorBidi"/>
          <w:sz w:val="22"/>
          <w:szCs w:val="22"/>
        </w:rPr>
        <w:tab/>
      </w:r>
      <w:r>
        <w:rPr>
          <w:rStyle w:val="31"/>
        </w:rPr>
        <w:t>Final Account</w:t>
      </w:r>
      <w:r>
        <w:tab/>
      </w:r>
      <w:r>
        <w:fldChar w:fldCharType="begin"/>
      </w:r>
      <w:r>
        <w:instrText xml:space="preserve"> PAGEREF _Toc29906942 \h </w:instrText>
      </w:r>
      <w:r>
        <w:fldChar w:fldCharType="separate"/>
      </w:r>
      <w:r>
        <w:t>151</w:t>
      </w:r>
      <w:r>
        <w:fldChar w:fldCharType="end"/>
      </w:r>
      <w:r>
        <w:fldChar w:fldCharType="end"/>
      </w:r>
    </w:p>
    <w:p w14:paraId="7A286C49">
      <w:pPr>
        <w:pStyle w:val="59"/>
        <w:rPr>
          <w:rFonts w:asciiTheme="minorHAnsi" w:hAnsiTheme="minorHAnsi" w:eastAsiaTheme="minorEastAsia" w:cstheme="minorBidi"/>
          <w:sz w:val="22"/>
          <w:szCs w:val="22"/>
        </w:rPr>
      </w:pPr>
      <w:r>
        <w:fldChar w:fldCharType="begin"/>
      </w:r>
      <w:r>
        <w:instrText xml:space="preserve"> HYPERLINK \l "_Toc29906943" </w:instrText>
      </w:r>
      <w:r>
        <w:fldChar w:fldCharType="separate"/>
      </w:r>
      <w:r>
        <w:rPr>
          <w:rStyle w:val="31"/>
        </w:rPr>
        <w:t>58.</w:t>
      </w:r>
      <w:r>
        <w:rPr>
          <w:rFonts w:asciiTheme="minorHAnsi" w:hAnsiTheme="minorHAnsi" w:eastAsiaTheme="minorEastAsia" w:cstheme="minorBidi"/>
          <w:sz w:val="22"/>
          <w:szCs w:val="22"/>
        </w:rPr>
        <w:tab/>
      </w:r>
      <w:r>
        <w:rPr>
          <w:rStyle w:val="31"/>
        </w:rPr>
        <w:t>Operating and Maintenance Manuals</w:t>
      </w:r>
      <w:r>
        <w:tab/>
      </w:r>
      <w:r>
        <w:fldChar w:fldCharType="begin"/>
      </w:r>
      <w:r>
        <w:instrText xml:space="preserve"> PAGEREF _Toc29906943 \h </w:instrText>
      </w:r>
      <w:r>
        <w:fldChar w:fldCharType="separate"/>
      </w:r>
      <w:r>
        <w:t>152</w:t>
      </w:r>
      <w:r>
        <w:fldChar w:fldCharType="end"/>
      </w:r>
      <w:r>
        <w:fldChar w:fldCharType="end"/>
      </w:r>
    </w:p>
    <w:p w14:paraId="7BCF3436">
      <w:pPr>
        <w:pStyle w:val="59"/>
        <w:rPr>
          <w:rFonts w:asciiTheme="minorHAnsi" w:hAnsiTheme="minorHAnsi" w:eastAsiaTheme="minorEastAsia" w:cstheme="minorBidi"/>
          <w:sz w:val="22"/>
          <w:szCs w:val="22"/>
        </w:rPr>
      </w:pPr>
      <w:r>
        <w:fldChar w:fldCharType="begin"/>
      </w:r>
      <w:r>
        <w:instrText xml:space="preserve"> HYPERLINK \l "_Toc29906944" </w:instrText>
      </w:r>
      <w:r>
        <w:fldChar w:fldCharType="separate"/>
      </w:r>
      <w:r>
        <w:rPr>
          <w:rStyle w:val="31"/>
        </w:rPr>
        <w:t>59.</w:t>
      </w:r>
      <w:r>
        <w:rPr>
          <w:rFonts w:asciiTheme="minorHAnsi" w:hAnsiTheme="minorHAnsi" w:eastAsiaTheme="minorEastAsia" w:cstheme="minorBidi"/>
          <w:sz w:val="22"/>
          <w:szCs w:val="22"/>
        </w:rPr>
        <w:tab/>
      </w:r>
      <w:r>
        <w:rPr>
          <w:rStyle w:val="31"/>
        </w:rPr>
        <w:t>Termination</w:t>
      </w:r>
      <w:r>
        <w:tab/>
      </w:r>
      <w:r>
        <w:fldChar w:fldCharType="begin"/>
      </w:r>
      <w:r>
        <w:instrText xml:space="preserve"> PAGEREF _Toc29906944 \h </w:instrText>
      </w:r>
      <w:r>
        <w:fldChar w:fldCharType="separate"/>
      </w:r>
      <w:r>
        <w:t>152</w:t>
      </w:r>
      <w:r>
        <w:fldChar w:fldCharType="end"/>
      </w:r>
      <w:r>
        <w:fldChar w:fldCharType="end"/>
      </w:r>
    </w:p>
    <w:p w14:paraId="5712FA05">
      <w:pPr>
        <w:pStyle w:val="59"/>
        <w:rPr>
          <w:rFonts w:asciiTheme="minorHAnsi" w:hAnsiTheme="minorHAnsi" w:eastAsiaTheme="minorEastAsia" w:cstheme="minorBidi"/>
          <w:sz w:val="22"/>
          <w:szCs w:val="22"/>
        </w:rPr>
      </w:pPr>
      <w:r>
        <w:fldChar w:fldCharType="begin"/>
      </w:r>
      <w:r>
        <w:instrText xml:space="preserve"> HYPERLINK \l "_Toc29906945" </w:instrText>
      </w:r>
      <w:r>
        <w:fldChar w:fldCharType="separate"/>
      </w:r>
      <w:r>
        <w:rPr>
          <w:rStyle w:val="31"/>
        </w:rPr>
        <w:t>60.</w:t>
      </w:r>
      <w:r>
        <w:rPr>
          <w:rFonts w:asciiTheme="minorHAnsi" w:hAnsiTheme="minorHAnsi" w:eastAsiaTheme="minorEastAsia" w:cstheme="minorBidi"/>
          <w:sz w:val="22"/>
          <w:szCs w:val="22"/>
        </w:rPr>
        <w:tab/>
      </w:r>
      <w:r>
        <w:rPr>
          <w:rStyle w:val="31"/>
        </w:rPr>
        <w:t>Payment upon Termination</w:t>
      </w:r>
      <w:r>
        <w:tab/>
      </w:r>
      <w:r>
        <w:fldChar w:fldCharType="begin"/>
      </w:r>
      <w:r>
        <w:instrText xml:space="preserve"> PAGEREF _Toc29906945 \h </w:instrText>
      </w:r>
      <w:r>
        <w:fldChar w:fldCharType="separate"/>
      </w:r>
      <w:r>
        <w:t>153</w:t>
      </w:r>
      <w:r>
        <w:fldChar w:fldCharType="end"/>
      </w:r>
      <w:r>
        <w:fldChar w:fldCharType="end"/>
      </w:r>
    </w:p>
    <w:p w14:paraId="0E0E7C25">
      <w:pPr>
        <w:pStyle w:val="59"/>
        <w:rPr>
          <w:rFonts w:asciiTheme="minorHAnsi" w:hAnsiTheme="minorHAnsi" w:eastAsiaTheme="minorEastAsia" w:cstheme="minorBidi"/>
          <w:sz w:val="22"/>
          <w:szCs w:val="22"/>
        </w:rPr>
      </w:pPr>
      <w:r>
        <w:fldChar w:fldCharType="begin"/>
      </w:r>
      <w:r>
        <w:instrText xml:space="preserve"> HYPERLINK \l "_Toc29906946" </w:instrText>
      </w:r>
      <w:r>
        <w:fldChar w:fldCharType="separate"/>
      </w:r>
      <w:r>
        <w:rPr>
          <w:rStyle w:val="31"/>
        </w:rPr>
        <w:t>61.</w:t>
      </w:r>
      <w:r>
        <w:rPr>
          <w:rFonts w:asciiTheme="minorHAnsi" w:hAnsiTheme="minorHAnsi" w:eastAsiaTheme="minorEastAsia" w:cstheme="minorBidi"/>
          <w:sz w:val="22"/>
          <w:szCs w:val="22"/>
        </w:rPr>
        <w:tab/>
      </w:r>
      <w:r>
        <w:rPr>
          <w:rStyle w:val="31"/>
        </w:rPr>
        <w:t>Property</w:t>
      </w:r>
      <w:r>
        <w:tab/>
      </w:r>
      <w:r>
        <w:fldChar w:fldCharType="begin"/>
      </w:r>
      <w:r>
        <w:instrText xml:space="preserve"> PAGEREF _Toc29906946 \h </w:instrText>
      </w:r>
      <w:r>
        <w:fldChar w:fldCharType="separate"/>
      </w:r>
      <w:r>
        <w:t>153</w:t>
      </w:r>
      <w:r>
        <w:fldChar w:fldCharType="end"/>
      </w:r>
      <w:r>
        <w:fldChar w:fldCharType="end"/>
      </w:r>
    </w:p>
    <w:p w14:paraId="5CBD4140">
      <w:pPr>
        <w:pStyle w:val="59"/>
        <w:rPr>
          <w:rFonts w:asciiTheme="minorHAnsi" w:hAnsiTheme="minorHAnsi" w:eastAsiaTheme="minorEastAsia" w:cstheme="minorBidi"/>
          <w:sz w:val="22"/>
          <w:szCs w:val="22"/>
        </w:rPr>
      </w:pPr>
      <w:r>
        <w:fldChar w:fldCharType="begin"/>
      </w:r>
      <w:r>
        <w:instrText xml:space="preserve"> HYPERLINK \l "_Toc29906947" </w:instrText>
      </w:r>
      <w:r>
        <w:fldChar w:fldCharType="separate"/>
      </w:r>
      <w:r>
        <w:rPr>
          <w:rStyle w:val="31"/>
        </w:rPr>
        <w:t>62.</w:t>
      </w:r>
      <w:r>
        <w:rPr>
          <w:rFonts w:asciiTheme="minorHAnsi" w:hAnsiTheme="minorHAnsi" w:eastAsiaTheme="minorEastAsia" w:cstheme="minorBidi"/>
          <w:sz w:val="22"/>
          <w:szCs w:val="22"/>
        </w:rPr>
        <w:tab/>
      </w:r>
      <w:r>
        <w:rPr>
          <w:rStyle w:val="31"/>
        </w:rPr>
        <w:t>Release from Performance</w:t>
      </w:r>
      <w:r>
        <w:tab/>
      </w:r>
      <w:r>
        <w:fldChar w:fldCharType="begin"/>
      </w:r>
      <w:r>
        <w:instrText xml:space="preserve"> PAGEREF _Toc29906947 \h </w:instrText>
      </w:r>
      <w:r>
        <w:fldChar w:fldCharType="separate"/>
      </w:r>
      <w:r>
        <w:t>153</w:t>
      </w:r>
      <w:r>
        <w:fldChar w:fldCharType="end"/>
      </w:r>
      <w:r>
        <w:fldChar w:fldCharType="end"/>
      </w:r>
    </w:p>
    <w:p w14:paraId="637D1BB9">
      <w:pPr>
        <w:pStyle w:val="59"/>
        <w:rPr>
          <w:rFonts w:asciiTheme="minorHAnsi" w:hAnsiTheme="minorHAnsi" w:eastAsiaTheme="minorEastAsia" w:cstheme="minorBidi"/>
          <w:sz w:val="22"/>
          <w:szCs w:val="22"/>
        </w:rPr>
      </w:pPr>
      <w:r>
        <w:fldChar w:fldCharType="begin"/>
      </w:r>
      <w:r>
        <w:instrText xml:space="preserve"> HYPERLINK \l "_Toc29906948" </w:instrText>
      </w:r>
      <w:r>
        <w:fldChar w:fldCharType="separate"/>
      </w:r>
      <w:r>
        <w:rPr>
          <w:rStyle w:val="31"/>
        </w:rPr>
        <w:t>63.</w:t>
      </w:r>
      <w:r>
        <w:rPr>
          <w:rFonts w:asciiTheme="minorHAnsi" w:hAnsiTheme="minorHAnsi" w:eastAsiaTheme="minorEastAsia" w:cstheme="minorBidi"/>
          <w:sz w:val="22"/>
          <w:szCs w:val="22"/>
        </w:rPr>
        <w:tab/>
      </w:r>
      <w:r>
        <w:rPr>
          <w:rStyle w:val="31"/>
        </w:rPr>
        <w:t>Suspension of Bank Loan or Credit</w:t>
      </w:r>
      <w:r>
        <w:tab/>
      </w:r>
      <w:r>
        <w:fldChar w:fldCharType="begin"/>
      </w:r>
      <w:r>
        <w:instrText xml:space="preserve"> PAGEREF _Toc29906948 \h </w:instrText>
      </w:r>
      <w:r>
        <w:fldChar w:fldCharType="separate"/>
      </w:r>
      <w:r>
        <w:t>154</w:t>
      </w:r>
      <w:r>
        <w:fldChar w:fldCharType="end"/>
      </w:r>
      <w:r>
        <w:fldChar w:fldCharType="end"/>
      </w:r>
    </w:p>
    <w:p w14:paraId="5AE08CEA">
      <w:r>
        <w:fldChar w:fldCharType="end"/>
      </w:r>
    </w:p>
    <w:p w14:paraId="738AC81E">
      <w:pPr>
        <w:jc w:val="center"/>
      </w:pPr>
      <w:r>
        <w:br w:type="page"/>
      </w:r>
    </w:p>
    <w:p w14:paraId="2E2C224F">
      <w:pPr>
        <w:jc w:val="center"/>
        <w:rPr>
          <w:b/>
          <w:sz w:val="28"/>
        </w:rPr>
      </w:pPr>
      <w:r>
        <w:rPr>
          <w:b/>
          <w:sz w:val="28"/>
        </w:rPr>
        <w:t>General Conditions of Contract</w:t>
      </w:r>
    </w:p>
    <w:p w14:paraId="6E2CEA77">
      <w:pPr>
        <w:jc w:val="center"/>
        <w:rPr>
          <w:b/>
          <w:sz w:val="28"/>
        </w:rPr>
      </w:pPr>
      <w:bookmarkStart w:id="550" w:name="_Toc497228207"/>
      <w:bookmarkStart w:id="551" w:name="_Toc333923223"/>
      <w:r>
        <w:rPr>
          <w:b/>
          <w:sz w:val="28"/>
        </w:rPr>
        <w:t>A.  General</w:t>
      </w:r>
      <w:bookmarkEnd w:id="550"/>
      <w:bookmarkEnd w:id="551"/>
    </w:p>
    <w:p w14:paraId="4C2BD928">
      <w:pPr>
        <w:jc w:val="center"/>
      </w:pPr>
    </w:p>
    <w:tbl>
      <w:tblPr>
        <w:tblStyle w:val="12"/>
        <w:tblW w:w="9149" w:type="dxa"/>
        <w:tblInd w:w="-5" w:type="dxa"/>
        <w:tblLayout w:type="fixed"/>
        <w:tblCellMar>
          <w:top w:w="0" w:type="dxa"/>
          <w:left w:w="108" w:type="dxa"/>
          <w:bottom w:w="0" w:type="dxa"/>
          <w:right w:w="108" w:type="dxa"/>
        </w:tblCellMar>
      </w:tblPr>
      <w:tblGrid>
        <w:gridCol w:w="2160"/>
        <w:gridCol w:w="101"/>
        <w:gridCol w:w="6748"/>
        <w:gridCol w:w="140"/>
      </w:tblGrid>
      <w:tr w14:paraId="25C0E4F9">
        <w:tblPrEx>
          <w:tblCellMar>
            <w:top w:w="0" w:type="dxa"/>
            <w:left w:w="108" w:type="dxa"/>
            <w:bottom w:w="0" w:type="dxa"/>
            <w:right w:w="108" w:type="dxa"/>
          </w:tblCellMar>
        </w:tblPrEx>
        <w:tc>
          <w:tcPr>
            <w:tcW w:w="2160" w:type="dxa"/>
            <w:tcBorders>
              <w:top w:val="nil"/>
              <w:left w:val="nil"/>
              <w:bottom w:val="nil"/>
              <w:right w:val="nil"/>
            </w:tcBorders>
          </w:tcPr>
          <w:p w14:paraId="4936AC2C">
            <w:pPr>
              <w:pStyle w:val="205"/>
              <w:numPr>
                <w:ilvl w:val="0"/>
                <w:numId w:val="65"/>
              </w:numPr>
              <w:tabs>
                <w:tab w:val="clear" w:pos="540"/>
                <w:tab w:val="clear" w:pos="360"/>
              </w:tabs>
              <w:spacing w:before="120" w:after="120"/>
              <w:ind w:left="360" w:hanging="360"/>
            </w:pPr>
            <w:bookmarkStart w:id="552" w:name="_Toc497228208"/>
            <w:bookmarkStart w:id="553" w:name="_Toc333923224"/>
            <w:bookmarkStart w:id="554" w:name="_Toc29906882"/>
            <w:r>
              <w:t>Definitions</w:t>
            </w:r>
            <w:bookmarkEnd w:id="552"/>
            <w:bookmarkEnd w:id="553"/>
            <w:bookmarkEnd w:id="554"/>
          </w:p>
        </w:tc>
        <w:tc>
          <w:tcPr>
            <w:tcW w:w="6989" w:type="dxa"/>
            <w:gridSpan w:val="3"/>
            <w:tcBorders>
              <w:top w:val="nil"/>
              <w:left w:val="nil"/>
              <w:bottom w:val="nil"/>
              <w:right w:val="nil"/>
            </w:tcBorders>
          </w:tcPr>
          <w:p w14:paraId="5177E941">
            <w:pPr>
              <w:suppressAutoHyphens/>
              <w:overflowPunct w:val="0"/>
              <w:autoSpaceDE w:val="0"/>
              <w:autoSpaceDN w:val="0"/>
              <w:adjustRightInd w:val="0"/>
              <w:spacing w:before="120" w:after="120"/>
              <w:ind w:right="36"/>
              <w:jc w:val="both"/>
              <w:textAlignment w:val="baseline"/>
            </w:pPr>
            <w:r>
              <w:t>Boldface type is used to identify defined terms.</w:t>
            </w:r>
          </w:p>
          <w:p w14:paraId="003C3138">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Accepted Contract Amount”</w:t>
            </w:r>
            <w:r>
              <w:t xml:space="preserve"> means the amount accepted in the Letter of Acceptance for the execution and completion of the Works and the remedying of any defects.</w:t>
            </w:r>
          </w:p>
          <w:p w14:paraId="2038D337">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Activity Schedule”</w:t>
            </w:r>
            <w:r>
              <w:t xml:space="preserve"> is a schedule of the activities comprising the construction, installation, testing, and commissioning of the Works in a lump-sum contract. It includes a lump-sum price for each activity, which is used for valuations and for assessing the effects of Variations and Compensation Events.</w:t>
            </w:r>
          </w:p>
          <w:p w14:paraId="3F0B9C5B">
            <w:pPr>
              <w:numPr>
                <w:ilvl w:val="0"/>
                <w:numId w:val="66"/>
              </w:numPr>
              <w:tabs>
                <w:tab w:val="left" w:pos="1080"/>
              </w:tabs>
              <w:suppressAutoHyphens/>
              <w:overflowPunct w:val="0"/>
              <w:autoSpaceDE w:val="0"/>
              <w:autoSpaceDN w:val="0"/>
              <w:adjustRightInd w:val="0"/>
              <w:spacing w:before="120" w:after="120"/>
              <w:ind w:right="36"/>
              <w:jc w:val="both"/>
              <w:textAlignment w:val="baseline"/>
            </w:pPr>
            <w:r>
              <w:t xml:space="preserve">The </w:t>
            </w:r>
            <w:r>
              <w:rPr>
                <w:b/>
              </w:rPr>
              <w:t>“Adjudicator”</w:t>
            </w:r>
            <w:r>
              <w:t xml:space="preserve"> is the person appointed jointly by the Employer and the Contractor to resolve disputes in the first instance, as provided for in GCC Clause 23.</w:t>
            </w:r>
          </w:p>
          <w:p w14:paraId="3B7A19D6">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“Bank”</w:t>
            </w:r>
            <w:r>
              <w:t xml:space="preserve"> means the financing institution </w:t>
            </w:r>
            <w:r>
              <w:rPr>
                <w:b/>
              </w:rPr>
              <w:t>named in the PCC</w:t>
            </w:r>
            <w:r>
              <w:t>.</w:t>
            </w:r>
          </w:p>
          <w:p w14:paraId="563E0B38">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“Bill of Quantities”</w:t>
            </w:r>
            <w:r>
              <w:t xml:space="preserve"> means the priced and completed Bill of Quantities forming part of the Bid.</w:t>
            </w:r>
          </w:p>
          <w:p w14:paraId="25415370">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“Compensation Events”</w:t>
            </w:r>
            <w:r>
              <w:t xml:space="preserve"> are those defined in GCC Clause 44 hereunder.</w:t>
            </w:r>
          </w:p>
          <w:p w14:paraId="562ABF56">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Completion Date”</w:t>
            </w:r>
            <w:r>
              <w:t xml:space="preserve"> is the date of completion of the Works as certified by the Project Manager, in accordance with GCC Sub-Clause 55.1.</w:t>
            </w:r>
          </w:p>
          <w:p w14:paraId="40FB234E">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 xml:space="preserve">Contract” </w:t>
            </w:r>
            <w:r>
              <w:t>is the Contract between the Employer and the Contractor to execute, complete, and maintain the Works. It consists of the documents listed in GCC Sub-Clause 2.3 below.</w:t>
            </w:r>
          </w:p>
          <w:p w14:paraId="7D8631BC">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Contractor”</w:t>
            </w:r>
            <w:r>
              <w:t xml:space="preserve"> is the party whose Bid to carry out the Works has been accepted by the Employer.</w:t>
            </w:r>
          </w:p>
          <w:p w14:paraId="202F07AA">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Contractor’s Bid”</w:t>
            </w:r>
            <w:r>
              <w:t xml:space="preserve"> is the completed bidding document submitted by the Contractor to the Employer.</w:t>
            </w:r>
          </w:p>
          <w:p w14:paraId="4745BCBB">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Contract Price”</w:t>
            </w:r>
            <w:r>
              <w:t xml:space="preserve"> is the Accepted Contract Amount stated in the Letter of Acceptance and thereafter as adjusted in accordance with the Contract.</w:t>
            </w:r>
          </w:p>
          <w:p w14:paraId="59661FB5">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“Days”</w:t>
            </w:r>
            <w:r>
              <w:t xml:space="preserve"> are calendar days; months are calendar months.</w:t>
            </w:r>
          </w:p>
          <w:p w14:paraId="3DDB516C">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“Dayworks”</w:t>
            </w:r>
            <w:r>
              <w:t xml:space="preserve"> are varied work inputs subject to payment on a time basis for the Contractor’s employees and Equipment, in addition to payments for associated Materials and Plant.</w:t>
            </w:r>
          </w:p>
          <w:p w14:paraId="21CF80F1">
            <w:pPr>
              <w:numPr>
                <w:ilvl w:val="0"/>
                <w:numId w:val="66"/>
              </w:numPr>
              <w:tabs>
                <w:tab w:val="left" w:pos="1080"/>
              </w:tabs>
              <w:suppressAutoHyphens/>
              <w:overflowPunct w:val="0"/>
              <w:autoSpaceDE w:val="0"/>
              <w:autoSpaceDN w:val="0"/>
              <w:adjustRightInd w:val="0"/>
              <w:spacing w:before="120" w:after="120"/>
              <w:ind w:right="36"/>
              <w:jc w:val="both"/>
              <w:textAlignment w:val="baseline"/>
            </w:pPr>
            <w:r>
              <w:t>A “</w:t>
            </w:r>
            <w:r>
              <w:rPr>
                <w:b/>
              </w:rPr>
              <w:t>Defect”</w:t>
            </w:r>
            <w:r>
              <w:t xml:space="preserve"> is any part of the Works not completed in accordance with the Contract.</w:t>
            </w:r>
          </w:p>
          <w:p w14:paraId="309255D3">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Defects Liability Certificate”</w:t>
            </w:r>
            <w:r>
              <w:t xml:space="preserve"> is the certificate issued by Project Manager upon correction of defects by the Contractor.</w:t>
            </w:r>
          </w:p>
          <w:p w14:paraId="78F342EF">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Defects Liability Period”</w:t>
            </w:r>
            <w:r>
              <w:t xml:space="preserve"> is the period </w:t>
            </w:r>
            <w:r>
              <w:rPr>
                <w:b/>
              </w:rPr>
              <w:t xml:space="preserve">named in the PCC </w:t>
            </w:r>
            <w:r>
              <w:t>pursuant to GCC Sub-Clause 36.1 and calculated from the Completion Date.</w:t>
            </w:r>
          </w:p>
          <w:p w14:paraId="275BCF60">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 xml:space="preserve">“Drawings” </w:t>
            </w:r>
            <w:r>
              <w:t xml:space="preserve">means the drawings of the Works, as included in the Contract, and any additional and modified drawings issued by (or on behalf of) the </w:t>
            </w:r>
            <w:r>
              <w:rPr>
                <w:iCs/>
              </w:rPr>
              <w:t>Employer</w:t>
            </w:r>
            <w:r>
              <w:t xml:space="preserve"> in accordance with the Contract, include calculations and other information provided or approved by the Project Manager for the execution of the Contract.</w:t>
            </w:r>
          </w:p>
          <w:p w14:paraId="082F55CB">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 xml:space="preserve">Employer” </w:t>
            </w:r>
            <w:r>
              <w:t xml:space="preserve">is the party who employs the Contractor to carry out the Works, </w:t>
            </w:r>
            <w:r>
              <w:rPr>
                <w:b/>
              </w:rPr>
              <w:t>as specified in the PCC</w:t>
            </w:r>
            <w:r>
              <w:t>.</w:t>
            </w:r>
          </w:p>
          <w:p w14:paraId="1AFAFDE7">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“Equipment”</w:t>
            </w:r>
            <w:r>
              <w:t xml:space="preserve"> is the Contractor’s machinery and vehicles brought temporarily to the Site to construct the Works.</w:t>
            </w:r>
          </w:p>
          <w:p w14:paraId="29EB4064">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 xml:space="preserve">“In writing” </w:t>
            </w:r>
            <w:r>
              <w:t xml:space="preserve">or </w:t>
            </w:r>
            <w:r>
              <w:rPr>
                <w:b/>
              </w:rPr>
              <w:t>“written”</w:t>
            </w:r>
            <w:r>
              <w:t xml:space="preserve"> means hand-written, type-written, printed or electronically made, and resulting in a permanent record;</w:t>
            </w:r>
          </w:p>
          <w:p w14:paraId="4111FC04">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Initial Contract Price”</w:t>
            </w:r>
            <w:r>
              <w:t xml:space="preserve"> is the Contract Price listed in the Employer’s Letter of Acceptance.</w:t>
            </w:r>
          </w:p>
          <w:p w14:paraId="69FE0E6D">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Intended Completion Date”</w:t>
            </w:r>
            <w:r>
              <w:t xml:space="preserve"> is the date on which it is intended that the Contractor shall complete the Works.  The Intended Completion Date is </w:t>
            </w:r>
            <w:r>
              <w:rPr>
                <w:b/>
              </w:rPr>
              <w:t>specified in the PCC</w:t>
            </w:r>
            <w:r>
              <w:t>.  The Intended Completion Date may be revised only by the Project Manager by issuing an extension of time or an acceleration order.</w:t>
            </w:r>
          </w:p>
          <w:p w14:paraId="527C57CB">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“Materials”</w:t>
            </w:r>
            <w:r>
              <w:t xml:space="preserve"> are all supplies, including consumables, used by the Contractor for incorporation in the Works.</w:t>
            </w:r>
          </w:p>
          <w:p w14:paraId="0740EBAE">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 xml:space="preserve">“Plant” </w:t>
            </w:r>
            <w:r>
              <w:t>is any integral part of the Works that shall have a mechanical, electrical, chemical, or biological function.</w:t>
            </w:r>
          </w:p>
          <w:p w14:paraId="609E1906">
            <w:pPr>
              <w:numPr>
                <w:ilvl w:val="0"/>
                <w:numId w:val="66"/>
              </w:numPr>
              <w:suppressAutoHyphens/>
              <w:overflowPunct w:val="0"/>
              <w:autoSpaceDE w:val="0"/>
              <w:autoSpaceDN w:val="0"/>
              <w:adjustRightInd w:val="0"/>
              <w:spacing w:before="120" w:after="120"/>
              <w:ind w:right="36"/>
              <w:jc w:val="both"/>
              <w:textAlignment w:val="baseline"/>
            </w:pPr>
            <w:r>
              <w:t>The “</w:t>
            </w:r>
            <w:r>
              <w:rPr>
                <w:b/>
              </w:rPr>
              <w:t>Project Manager”</w:t>
            </w:r>
            <w:r>
              <w:t xml:space="preserve"> is the person </w:t>
            </w:r>
            <w:r>
              <w:rPr>
                <w:b/>
              </w:rPr>
              <w:t>named in the PCC</w:t>
            </w:r>
            <w:r>
              <w:t xml:space="preserve"> (or any other competent person appointed by the Employer and notified to the Contractor, to act in replacement of the Project Manager) who is responsible for supervising the execution of the Works and administering the Contract.</w:t>
            </w:r>
          </w:p>
          <w:p w14:paraId="2C32D878">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 xml:space="preserve">“PCC” </w:t>
            </w:r>
            <w:r>
              <w:t xml:space="preserve">means Particular Conditions of Contract. </w:t>
            </w:r>
          </w:p>
          <w:p w14:paraId="35A72C8A">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 xml:space="preserve">Site” </w:t>
            </w:r>
            <w:r>
              <w:t xml:space="preserve">is the area </w:t>
            </w:r>
            <w:r>
              <w:rPr>
                <w:b/>
              </w:rPr>
              <w:t>defined as such in the PCC</w:t>
            </w:r>
            <w:r>
              <w:t>.</w:t>
            </w:r>
          </w:p>
          <w:p w14:paraId="696485C5">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“Site Investigation Reports”</w:t>
            </w:r>
            <w:r>
              <w:t xml:space="preserve"> are those that were included in the bidding document and are factual and interpretative reports about the surface and subsurface conditions at the Site.</w:t>
            </w:r>
          </w:p>
          <w:p w14:paraId="506CB606">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“Specifications”</w:t>
            </w:r>
            <w:r>
              <w:t xml:space="preserve"> means the Specifications of the Works included in the Contract and any modification or addition made or approved by the Project Manager.</w:t>
            </w:r>
          </w:p>
          <w:p w14:paraId="758FEDC0">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Start Date”</w:t>
            </w:r>
            <w:r>
              <w:t xml:space="preserve"> is </w:t>
            </w:r>
            <w:r>
              <w:rPr>
                <w:b/>
              </w:rPr>
              <w:t>given in the PCC</w:t>
            </w:r>
            <w:r>
              <w:t>. It is the latest date when the Contractor shall commence execution of the Works.  It does not necessarily coincide with any of the Site Possession Dates.</w:t>
            </w:r>
          </w:p>
          <w:p w14:paraId="2DA0DC55">
            <w:pPr>
              <w:numPr>
                <w:ilvl w:val="0"/>
                <w:numId w:val="66"/>
              </w:numPr>
              <w:tabs>
                <w:tab w:val="left" w:pos="1080"/>
              </w:tabs>
              <w:suppressAutoHyphens/>
              <w:overflowPunct w:val="0"/>
              <w:autoSpaceDE w:val="0"/>
              <w:autoSpaceDN w:val="0"/>
              <w:adjustRightInd w:val="0"/>
              <w:spacing w:before="120" w:after="120"/>
              <w:ind w:right="36"/>
              <w:jc w:val="both"/>
              <w:textAlignment w:val="baseline"/>
            </w:pPr>
            <w:r>
              <w:t>A “</w:t>
            </w:r>
            <w:r>
              <w:rPr>
                <w:b/>
              </w:rPr>
              <w:t xml:space="preserve">Subcontractor” </w:t>
            </w:r>
            <w:r>
              <w:t>is a person or corporate body who has a Contract with the Contractor to carry out a part of the work in the Contract, which includes work on the Site.</w:t>
            </w:r>
          </w:p>
          <w:p w14:paraId="0F316CD8">
            <w:pPr>
              <w:numPr>
                <w:ilvl w:val="0"/>
                <w:numId w:val="66"/>
              </w:numPr>
              <w:tabs>
                <w:tab w:val="left" w:pos="1080"/>
              </w:tabs>
              <w:suppressAutoHyphens/>
              <w:overflowPunct w:val="0"/>
              <w:autoSpaceDE w:val="0"/>
              <w:autoSpaceDN w:val="0"/>
              <w:adjustRightInd w:val="0"/>
              <w:spacing w:before="120" w:after="120"/>
              <w:ind w:right="36"/>
              <w:jc w:val="both"/>
              <w:textAlignment w:val="baseline"/>
            </w:pPr>
            <w:r>
              <w:rPr>
                <w:b/>
              </w:rPr>
              <w:t>“Temporary Works”</w:t>
            </w:r>
            <w:r>
              <w:t xml:space="preserve"> are works designed, constructed, installed, and removed by the Contractor that are needed for construction or installation of the Works.</w:t>
            </w:r>
          </w:p>
          <w:p w14:paraId="76294447">
            <w:pPr>
              <w:numPr>
                <w:ilvl w:val="0"/>
                <w:numId w:val="66"/>
              </w:numPr>
              <w:tabs>
                <w:tab w:val="left" w:pos="1080"/>
              </w:tabs>
              <w:suppressAutoHyphens/>
              <w:overflowPunct w:val="0"/>
              <w:autoSpaceDE w:val="0"/>
              <w:autoSpaceDN w:val="0"/>
              <w:adjustRightInd w:val="0"/>
              <w:spacing w:before="120" w:after="120"/>
              <w:ind w:right="36"/>
              <w:jc w:val="both"/>
              <w:textAlignment w:val="baseline"/>
            </w:pPr>
            <w:r>
              <w:t>A “</w:t>
            </w:r>
            <w:r>
              <w:rPr>
                <w:b/>
              </w:rPr>
              <w:t>Variation”</w:t>
            </w:r>
            <w:r>
              <w:t xml:space="preserve"> is an instruction given by the Project Manager which varies the Works.</w:t>
            </w:r>
          </w:p>
          <w:p w14:paraId="282D3F45">
            <w:pPr>
              <w:numPr>
                <w:ilvl w:val="0"/>
                <w:numId w:val="66"/>
              </w:numPr>
              <w:tabs>
                <w:tab w:val="left" w:pos="1080"/>
              </w:tabs>
              <w:suppressAutoHyphens/>
              <w:overflowPunct w:val="0"/>
              <w:autoSpaceDE w:val="0"/>
              <w:autoSpaceDN w:val="0"/>
              <w:adjustRightInd w:val="0"/>
              <w:spacing w:before="120" w:after="120"/>
              <w:ind w:right="36"/>
              <w:jc w:val="both"/>
              <w:textAlignment w:val="baseline"/>
            </w:pPr>
            <w:r>
              <w:t>The “</w:t>
            </w:r>
            <w:r>
              <w:rPr>
                <w:b/>
              </w:rPr>
              <w:t xml:space="preserve">Works” </w:t>
            </w:r>
            <w:r>
              <w:t xml:space="preserve">are what the Contract requires the Contractor to construct, install, and turn over to the Employer, </w:t>
            </w:r>
            <w:r>
              <w:rPr>
                <w:b/>
              </w:rPr>
              <w:t>as defined in the PCC</w:t>
            </w:r>
            <w:r>
              <w:t>.</w:t>
            </w:r>
          </w:p>
          <w:p w14:paraId="6AE10E0F">
            <w:pPr>
              <w:numPr>
                <w:ilvl w:val="0"/>
                <w:numId w:val="66"/>
              </w:numPr>
              <w:suppressAutoHyphens/>
              <w:overflowPunct w:val="0"/>
              <w:autoSpaceDE w:val="0"/>
              <w:autoSpaceDN w:val="0"/>
              <w:adjustRightInd w:val="0"/>
              <w:spacing w:before="120" w:after="120"/>
              <w:ind w:right="36"/>
              <w:jc w:val="both"/>
              <w:textAlignment w:val="baseline"/>
            </w:pPr>
            <w:r>
              <w:t>“</w:t>
            </w:r>
            <w:r>
              <w:rPr>
                <w:b/>
              </w:rPr>
              <w:t>Contractor’s Personnel</w:t>
            </w:r>
            <w:r>
              <w:t>” refers to all personnel whom the Contractor utilizes on the Site or other places where the Works are carried out, including the staff, labor and other employees of each Subcontractor.</w:t>
            </w:r>
          </w:p>
          <w:p w14:paraId="56E5470A">
            <w:pPr>
              <w:numPr>
                <w:ilvl w:val="0"/>
                <w:numId w:val="66"/>
              </w:numPr>
              <w:suppressAutoHyphens/>
              <w:overflowPunct w:val="0"/>
              <w:autoSpaceDE w:val="0"/>
              <w:autoSpaceDN w:val="0"/>
              <w:adjustRightInd w:val="0"/>
              <w:spacing w:before="120" w:after="120"/>
              <w:ind w:right="36"/>
              <w:jc w:val="both"/>
              <w:textAlignment w:val="baseline"/>
            </w:pPr>
            <w:r>
              <w:rPr>
                <w:b/>
              </w:rPr>
              <w:t>“Key Personnel”</w:t>
            </w:r>
            <w:r>
              <w:t xml:space="preserve"> means the positions (if any) of the Contractor’s personnel that are stated in the Specifications. </w:t>
            </w:r>
          </w:p>
          <w:p w14:paraId="34E3328F">
            <w:pPr>
              <w:numPr>
                <w:ilvl w:val="0"/>
                <w:numId w:val="66"/>
              </w:numPr>
              <w:suppressAutoHyphens/>
              <w:overflowPunct w:val="0"/>
              <w:autoSpaceDE w:val="0"/>
              <w:autoSpaceDN w:val="0"/>
              <w:adjustRightInd w:val="0"/>
              <w:spacing w:before="120" w:after="120"/>
              <w:ind w:right="36"/>
              <w:jc w:val="both"/>
              <w:textAlignment w:val="baseline"/>
              <w:rPr>
                <w:szCs w:val="20"/>
              </w:rPr>
            </w:pPr>
            <w:r>
              <w:rPr>
                <w:b/>
                <w:szCs w:val="20"/>
              </w:rPr>
              <w:t>“ES”</w:t>
            </w:r>
            <w:r>
              <w:rPr>
                <w:szCs w:val="20"/>
              </w:rPr>
              <w:t xml:space="preserve"> means Environmental and Social (including Sexual Exploitation and </w:t>
            </w:r>
            <w:r>
              <w:rPr>
                <w:color w:val="000000" w:themeColor="text1"/>
                <w14:textFill>
                  <w14:solidFill>
                    <w14:schemeClr w14:val="tx1"/>
                  </w14:solidFill>
                </w14:textFill>
              </w:rPr>
              <w:t>Abuse (SEA) and Sexual Harassment (SH)</w:t>
            </w:r>
            <w:r>
              <w:rPr>
                <w:szCs w:val="20"/>
              </w:rPr>
              <w:t>;</w:t>
            </w:r>
          </w:p>
          <w:p w14:paraId="0B176F52">
            <w:pPr>
              <w:numPr>
                <w:ilvl w:val="0"/>
                <w:numId w:val="66"/>
              </w:numPr>
              <w:suppressAutoHyphens/>
              <w:overflowPunct w:val="0"/>
              <w:autoSpaceDE w:val="0"/>
              <w:autoSpaceDN w:val="0"/>
              <w:adjustRightInd w:val="0"/>
              <w:spacing w:before="120" w:after="120"/>
              <w:ind w:right="36"/>
              <w:jc w:val="both"/>
              <w:textAlignment w:val="baseline"/>
              <w:rPr>
                <w:color w:val="000000" w:themeColor="text1"/>
                <w14:textFill>
                  <w14:solidFill>
                    <w14:schemeClr w14:val="tx1"/>
                  </w14:solidFill>
                </w14:textFill>
              </w:rPr>
            </w:pPr>
            <w:r>
              <w:rPr>
                <w:b/>
                <w:color w:val="000000" w:themeColor="text1"/>
                <w14:textFill>
                  <w14:solidFill>
                    <w14:schemeClr w14:val="tx1"/>
                  </w14:solidFill>
                </w14:textFill>
              </w:rPr>
              <w:t>“Sexual Exploitation and Abuse” “(SEA)”</w:t>
            </w:r>
            <w:r>
              <w:rPr>
                <w:color w:val="000000" w:themeColor="text1"/>
                <w14:textFill>
                  <w14:solidFill>
                    <w14:schemeClr w14:val="tx1"/>
                  </w14:solidFill>
                </w14:textFill>
              </w:rPr>
              <w:t xml:space="preserve"> means the following:</w:t>
            </w:r>
          </w:p>
          <w:p w14:paraId="1D164853">
            <w:pPr>
              <w:autoSpaceDE w:val="0"/>
              <w:autoSpaceDN w:val="0"/>
              <w:spacing w:before="120" w:after="120"/>
              <w:ind w:left="1152" w:firstLine="18"/>
              <w:jc w:val="both"/>
            </w:pPr>
            <w:r>
              <w:rPr>
                <w:b/>
                <w:color w:val="000000" w:themeColor="text1"/>
                <w14:textFill>
                  <w14:solidFill>
                    <w14:schemeClr w14:val="tx1"/>
                  </w14:solidFill>
                </w14:textFill>
              </w:rPr>
              <w:t>“Sexual Exploitation”</w:t>
            </w:r>
            <w:r>
              <w:rPr>
                <w:color w:val="000000" w:themeColor="text1"/>
                <w14:textFill>
                  <w14:solidFill>
                    <w14:schemeClr w14:val="tx1"/>
                  </w14:solidFill>
                </w14:textFill>
              </w:rPr>
              <w:t xml:space="preserve"> is defined as any actual or attempted abuse of position of vulnerability, differential power or trust, for sexual purposes, including, but not limited to, profiting monetarily, socially or politically from the sexual exploitation of another</w:t>
            </w:r>
            <w:r>
              <w:t xml:space="preserve">; </w:t>
            </w:r>
          </w:p>
          <w:p w14:paraId="7AE16015">
            <w:pPr>
              <w:autoSpaceDE w:val="0"/>
              <w:autoSpaceDN w:val="0"/>
              <w:spacing w:before="120" w:after="120"/>
              <w:ind w:left="1152" w:firstLine="18"/>
              <w:jc w:val="both"/>
              <w:rPr>
                <w:color w:val="000000" w:themeColor="text1"/>
                <w14:textFill>
                  <w14:solidFill>
                    <w14:schemeClr w14:val="tx1"/>
                  </w14:solidFill>
                </w14:textFill>
              </w:rPr>
            </w:pPr>
            <w:r>
              <w:rPr>
                <w:b/>
              </w:rPr>
              <w:t>“Sexual Abuse”</w:t>
            </w:r>
            <w:r>
              <w:t xml:space="preserve"> is defined as </w:t>
            </w:r>
            <w:r>
              <w:rPr>
                <w:color w:val="000000" w:themeColor="text1"/>
                <w14:textFill>
                  <w14:solidFill>
                    <w14:schemeClr w14:val="tx1"/>
                  </w14:solidFill>
                </w14:textFill>
              </w:rPr>
              <w:t xml:space="preserve">the actual or threatened physical intrusion of a sexual nature, whether by force or under unequal or coercive conditions;  </w:t>
            </w:r>
          </w:p>
          <w:p w14:paraId="332FEDDB">
            <w:pPr>
              <w:numPr>
                <w:ilvl w:val="0"/>
                <w:numId w:val="66"/>
              </w:numPr>
              <w:suppressAutoHyphens/>
              <w:overflowPunct w:val="0"/>
              <w:autoSpaceDE w:val="0"/>
              <w:autoSpaceDN w:val="0"/>
              <w:adjustRightInd w:val="0"/>
              <w:spacing w:before="120" w:after="120"/>
              <w:ind w:right="36"/>
              <w:jc w:val="both"/>
              <w:textAlignment w:val="baseline"/>
            </w:pPr>
            <w:r>
              <w:rPr>
                <w:b/>
                <w:color w:val="000000" w:themeColor="text1"/>
                <w14:textFill>
                  <w14:solidFill>
                    <w14:schemeClr w14:val="tx1"/>
                  </w14:solidFill>
                </w14:textFill>
              </w:rPr>
              <w:t>“Sexual Harassment” “(SH)”</w:t>
            </w:r>
            <w:r>
              <w:rPr>
                <w:color w:val="000000" w:themeColor="text1"/>
                <w14:textFill>
                  <w14:solidFill>
                    <w14:schemeClr w14:val="tx1"/>
                  </w14:solidFill>
                </w14:textFill>
              </w:rPr>
              <w:t xml:space="preserve"> is defined as </w:t>
            </w:r>
            <w:r>
              <w:t xml:space="preserve">unwelcome sexual advances, requests for sexual favors, and other verbal or physical conduct of a sexual nature by the Contractor’s Personnel with other Contractor’s or Employer’s Personnel; and </w:t>
            </w:r>
          </w:p>
          <w:p w14:paraId="50C4B782">
            <w:pPr>
              <w:numPr>
                <w:ilvl w:val="0"/>
                <w:numId w:val="66"/>
              </w:numPr>
              <w:suppressAutoHyphens/>
              <w:overflowPunct w:val="0"/>
              <w:autoSpaceDE w:val="0"/>
              <w:autoSpaceDN w:val="0"/>
              <w:adjustRightInd w:val="0"/>
              <w:spacing w:before="120" w:after="120"/>
              <w:ind w:right="36"/>
              <w:jc w:val="both"/>
              <w:textAlignment w:val="baseline"/>
              <w:rPr>
                <w:szCs w:val="20"/>
              </w:rPr>
            </w:pPr>
            <w:r>
              <w:rPr>
                <w:b/>
                <w:color w:val="000000" w:themeColor="text1"/>
                <w14:textFill>
                  <w14:solidFill>
                    <w14:schemeClr w14:val="tx1"/>
                  </w14:solidFill>
                </w14:textFill>
              </w:rPr>
              <w:t>“Employer’s Personnel”</w:t>
            </w:r>
            <w:r>
              <w:rPr>
                <w:color w:val="000000" w:themeColor="text1"/>
                <w14:textFill>
                  <w14:solidFill>
                    <w14:schemeClr w14:val="tx1"/>
                  </w14:solidFill>
                </w14:textFill>
              </w:rPr>
              <w:t xml:space="preserve"> refers to the Project Manager and all other staff, labor and other employees (if any) of the Project Manager and of the Employer engaged in fulfilling the Employer’s obligations under the Contract; and any other personnel identified as Employer’s  Personnel, by a notice from the Employer or the Project Manager to the Contractor</w:t>
            </w:r>
            <w:r>
              <w:t>.</w:t>
            </w:r>
          </w:p>
        </w:tc>
      </w:tr>
      <w:tr w14:paraId="40632438">
        <w:tblPrEx>
          <w:tblCellMar>
            <w:top w:w="0" w:type="dxa"/>
            <w:left w:w="108" w:type="dxa"/>
            <w:bottom w:w="0" w:type="dxa"/>
            <w:right w:w="108" w:type="dxa"/>
          </w:tblCellMar>
        </w:tblPrEx>
        <w:tc>
          <w:tcPr>
            <w:tcW w:w="2160" w:type="dxa"/>
            <w:tcBorders>
              <w:top w:val="nil"/>
              <w:left w:val="nil"/>
              <w:bottom w:val="nil"/>
              <w:right w:val="nil"/>
            </w:tcBorders>
          </w:tcPr>
          <w:p w14:paraId="741CE9C3">
            <w:pPr>
              <w:pStyle w:val="205"/>
              <w:numPr>
                <w:ilvl w:val="0"/>
                <w:numId w:val="65"/>
              </w:numPr>
              <w:tabs>
                <w:tab w:val="clear" w:pos="540"/>
                <w:tab w:val="clear" w:pos="360"/>
              </w:tabs>
              <w:spacing w:before="120" w:after="120"/>
              <w:ind w:left="360" w:hanging="360"/>
            </w:pPr>
            <w:bookmarkStart w:id="555" w:name="_Toc29906883"/>
            <w:bookmarkStart w:id="556" w:name="_Toc333923225"/>
            <w:bookmarkStart w:id="557" w:name="_Toc497228209"/>
            <w:r>
              <w:t>Interpretation</w:t>
            </w:r>
            <w:bookmarkEnd w:id="555"/>
            <w:bookmarkEnd w:id="556"/>
            <w:bookmarkEnd w:id="557"/>
          </w:p>
        </w:tc>
        <w:tc>
          <w:tcPr>
            <w:tcW w:w="6989" w:type="dxa"/>
            <w:gridSpan w:val="3"/>
            <w:tcBorders>
              <w:top w:val="nil"/>
              <w:left w:val="nil"/>
              <w:bottom w:val="nil"/>
              <w:right w:val="nil"/>
            </w:tcBorders>
          </w:tcPr>
          <w:p w14:paraId="1440DEB8">
            <w:pPr>
              <w:numPr>
                <w:ilvl w:val="1"/>
                <w:numId w:val="67"/>
              </w:numPr>
              <w:tabs>
                <w:tab w:val="left" w:pos="540"/>
                <w:tab w:val="clear" w:pos="353"/>
              </w:tabs>
              <w:suppressAutoHyphens/>
              <w:overflowPunct w:val="0"/>
              <w:autoSpaceDE w:val="0"/>
              <w:autoSpaceDN w:val="0"/>
              <w:adjustRightInd w:val="0"/>
              <w:spacing w:before="120" w:after="120"/>
              <w:ind w:left="540" w:right="36" w:hanging="547"/>
              <w:jc w:val="both"/>
              <w:textAlignment w:val="baseline"/>
            </w:pPr>
            <w:r>
              <w:t>In interpreting these GCC, words indicating one gender include all genders. Words indicating the singular also include the plural and words indicating the plural also include the singular.  Headings have no significance. Words have their normal meaning under the language of the Contract unless specifically defined. The Project Manager shall provide instructions clarifying queries about these GCC.</w:t>
            </w:r>
          </w:p>
          <w:p w14:paraId="17ACFC82">
            <w:pPr>
              <w:numPr>
                <w:ilvl w:val="1"/>
                <w:numId w:val="67"/>
              </w:numPr>
              <w:tabs>
                <w:tab w:val="left" w:pos="540"/>
                <w:tab w:val="clear" w:pos="353"/>
              </w:tabs>
              <w:suppressAutoHyphens/>
              <w:overflowPunct w:val="0"/>
              <w:autoSpaceDE w:val="0"/>
              <w:autoSpaceDN w:val="0"/>
              <w:adjustRightInd w:val="0"/>
              <w:spacing w:before="120" w:after="120"/>
              <w:ind w:left="540" w:right="36" w:hanging="547"/>
              <w:jc w:val="both"/>
              <w:textAlignment w:val="baseline"/>
            </w:pPr>
            <w:r>
              <w:t xml:space="preserve">If sectional completion is </w:t>
            </w:r>
            <w:r>
              <w:rPr>
                <w:b/>
              </w:rPr>
              <w:t>specified in the PCC</w:t>
            </w:r>
            <w:r>
              <w:t>, references in the GCC to the Works, the Completion Date, and the Intended Completion Date apply to any Section of the Works (other than references to the Completion Date and Intended Completion Date for the whole of the Works).</w:t>
            </w:r>
          </w:p>
          <w:p w14:paraId="625FBB86">
            <w:pPr>
              <w:numPr>
                <w:ilvl w:val="1"/>
                <w:numId w:val="67"/>
              </w:numPr>
              <w:tabs>
                <w:tab w:val="left" w:pos="540"/>
                <w:tab w:val="clear" w:pos="353"/>
              </w:tabs>
              <w:suppressAutoHyphens/>
              <w:overflowPunct w:val="0"/>
              <w:autoSpaceDE w:val="0"/>
              <w:autoSpaceDN w:val="0"/>
              <w:adjustRightInd w:val="0"/>
              <w:spacing w:before="120" w:after="120"/>
              <w:ind w:left="540" w:right="36" w:hanging="547"/>
              <w:jc w:val="both"/>
              <w:textAlignment w:val="baseline"/>
            </w:pPr>
            <w:r>
              <w:t>The documents forming the Contract shall be interpreted in the following order of priority:</w:t>
            </w:r>
          </w:p>
          <w:p w14:paraId="0DA9FBA5">
            <w:pPr>
              <w:numPr>
                <w:ilvl w:val="0"/>
                <w:numId w:val="68"/>
              </w:numPr>
              <w:tabs>
                <w:tab w:val="left" w:pos="1080"/>
              </w:tabs>
              <w:suppressAutoHyphens/>
              <w:overflowPunct w:val="0"/>
              <w:autoSpaceDE w:val="0"/>
              <w:autoSpaceDN w:val="0"/>
              <w:adjustRightInd w:val="0"/>
              <w:spacing w:before="120" w:after="120"/>
              <w:ind w:right="36"/>
              <w:jc w:val="both"/>
              <w:textAlignment w:val="baseline"/>
            </w:pPr>
            <w:r>
              <w:t>Agreement,</w:t>
            </w:r>
          </w:p>
          <w:p w14:paraId="4D279500">
            <w:pPr>
              <w:numPr>
                <w:ilvl w:val="0"/>
                <w:numId w:val="68"/>
              </w:numPr>
              <w:tabs>
                <w:tab w:val="left" w:pos="1080"/>
              </w:tabs>
              <w:suppressAutoHyphens/>
              <w:overflowPunct w:val="0"/>
              <w:autoSpaceDE w:val="0"/>
              <w:autoSpaceDN w:val="0"/>
              <w:adjustRightInd w:val="0"/>
              <w:spacing w:before="120" w:after="120"/>
              <w:ind w:right="36"/>
              <w:jc w:val="both"/>
              <w:textAlignment w:val="baseline"/>
            </w:pPr>
            <w:r>
              <w:t>Letter of Acceptance,</w:t>
            </w:r>
          </w:p>
          <w:p w14:paraId="028BF35A">
            <w:pPr>
              <w:numPr>
                <w:ilvl w:val="0"/>
                <w:numId w:val="68"/>
              </w:numPr>
              <w:tabs>
                <w:tab w:val="left" w:pos="1080"/>
              </w:tabs>
              <w:suppressAutoHyphens/>
              <w:overflowPunct w:val="0"/>
              <w:autoSpaceDE w:val="0"/>
              <w:autoSpaceDN w:val="0"/>
              <w:adjustRightInd w:val="0"/>
              <w:spacing w:before="120" w:after="120"/>
              <w:ind w:right="36"/>
              <w:jc w:val="both"/>
              <w:textAlignment w:val="baseline"/>
            </w:pPr>
            <w:r>
              <w:t>Contractor’s Bid,</w:t>
            </w:r>
          </w:p>
          <w:p w14:paraId="4E0368B6">
            <w:pPr>
              <w:numPr>
                <w:ilvl w:val="0"/>
                <w:numId w:val="68"/>
              </w:numPr>
              <w:tabs>
                <w:tab w:val="left" w:pos="1080"/>
              </w:tabs>
              <w:suppressAutoHyphens/>
              <w:overflowPunct w:val="0"/>
              <w:autoSpaceDE w:val="0"/>
              <w:autoSpaceDN w:val="0"/>
              <w:adjustRightInd w:val="0"/>
              <w:spacing w:before="120" w:after="120"/>
              <w:ind w:right="36"/>
              <w:jc w:val="both"/>
              <w:textAlignment w:val="baseline"/>
            </w:pPr>
            <w:r>
              <w:t>Particular Conditions of Contract,</w:t>
            </w:r>
          </w:p>
          <w:p w14:paraId="73D4DD9E">
            <w:pPr>
              <w:numPr>
                <w:ilvl w:val="0"/>
                <w:numId w:val="68"/>
              </w:numPr>
              <w:suppressAutoHyphens/>
              <w:overflowPunct w:val="0"/>
              <w:autoSpaceDE w:val="0"/>
              <w:autoSpaceDN w:val="0"/>
              <w:adjustRightInd w:val="0"/>
              <w:spacing w:before="120" w:after="120"/>
              <w:ind w:right="36"/>
              <w:jc w:val="both"/>
              <w:textAlignment w:val="baseline"/>
            </w:pPr>
            <w:r>
              <w:t>General Conditions of Contract, including Appendices,</w:t>
            </w:r>
          </w:p>
          <w:p w14:paraId="4846DC87">
            <w:pPr>
              <w:numPr>
                <w:ilvl w:val="0"/>
                <w:numId w:val="68"/>
              </w:numPr>
              <w:tabs>
                <w:tab w:val="left" w:pos="1080"/>
              </w:tabs>
              <w:suppressAutoHyphens/>
              <w:overflowPunct w:val="0"/>
              <w:autoSpaceDE w:val="0"/>
              <w:autoSpaceDN w:val="0"/>
              <w:adjustRightInd w:val="0"/>
              <w:spacing w:before="120" w:after="120"/>
              <w:ind w:right="36"/>
              <w:jc w:val="both"/>
              <w:textAlignment w:val="baseline"/>
            </w:pPr>
            <w:r>
              <w:t>Specifications,</w:t>
            </w:r>
          </w:p>
          <w:p w14:paraId="6186F0B2">
            <w:pPr>
              <w:numPr>
                <w:ilvl w:val="0"/>
                <w:numId w:val="68"/>
              </w:numPr>
              <w:tabs>
                <w:tab w:val="left" w:pos="1080"/>
              </w:tabs>
              <w:suppressAutoHyphens/>
              <w:overflowPunct w:val="0"/>
              <w:autoSpaceDE w:val="0"/>
              <w:autoSpaceDN w:val="0"/>
              <w:adjustRightInd w:val="0"/>
              <w:spacing w:before="120" w:after="120"/>
              <w:ind w:right="36"/>
              <w:jc w:val="both"/>
              <w:textAlignment w:val="baseline"/>
            </w:pPr>
            <w:r>
              <w:t>Drawings,</w:t>
            </w:r>
          </w:p>
          <w:p w14:paraId="10CCCBB6">
            <w:pPr>
              <w:numPr>
                <w:ilvl w:val="0"/>
                <w:numId w:val="68"/>
              </w:numPr>
              <w:tabs>
                <w:tab w:val="left" w:pos="1080"/>
              </w:tabs>
              <w:suppressAutoHyphens/>
              <w:overflowPunct w:val="0"/>
              <w:autoSpaceDE w:val="0"/>
              <w:autoSpaceDN w:val="0"/>
              <w:adjustRightInd w:val="0"/>
              <w:spacing w:before="120" w:after="120"/>
              <w:ind w:right="36"/>
              <w:jc w:val="both"/>
              <w:textAlignment w:val="baseline"/>
            </w:pPr>
            <w:r>
              <w:t>Bill of Quantities,</w:t>
            </w:r>
            <w:r>
              <w:rPr>
                <w:vertAlign w:val="superscript"/>
              </w:rPr>
              <w:footnoteReference w:id="26"/>
            </w:r>
            <w:r>
              <w:t xml:space="preserve"> and</w:t>
            </w:r>
          </w:p>
          <w:p w14:paraId="1BAFBFF0">
            <w:pPr>
              <w:numPr>
                <w:ilvl w:val="0"/>
                <w:numId w:val="68"/>
              </w:numPr>
              <w:suppressAutoHyphens/>
              <w:overflowPunct w:val="0"/>
              <w:autoSpaceDE w:val="0"/>
              <w:autoSpaceDN w:val="0"/>
              <w:adjustRightInd w:val="0"/>
              <w:spacing w:before="120" w:after="120"/>
              <w:ind w:right="36"/>
              <w:jc w:val="both"/>
              <w:textAlignment w:val="baseline"/>
            </w:pPr>
            <w:r>
              <w:t xml:space="preserve">any other document </w:t>
            </w:r>
            <w:r>
              <w:rPr>
                <w:b/>
              </w:rPr>
              <w:t>listed in the PCC</w:t>
            </w:r>
            <w:r>
              <w:t xml:space="preserve"> as forming part of the Contract.</w:t>
            </w:r>
          </w:p>
        </w:tc>
      </w:tr>
      <w:tr w14:paraId="39516C57">
        <w:tblPrEx>
          <w:tblCellMar>
            <w:top w:w="0" w:type="dxa"/>
            <w:left w:w="108" w:type="dxa"/>
            <w:bottom w:w="0" w:type="dxa"/>
            <w:right w:w="108" w:type="dxa"/>
          </w:tblCellMar>
        </w:tblPrEx>
        <w:tc>
          <w:tcPr>
            <w:tcW w:w="2160" w:type="dxa"/>
            <w:tcBorders>
              <w:top w:val="nil"/>
              <w:left w:val="nil"/>
              <w:bottom w:val="nil"/>
              <w:right w:val="nil"/>
            </w:tcBorders>
          </w:tcPr>
          <w:p w14:paraId="36713D81">
            <w:pPr>
              <w:pStyle w:val="205"/>
              <w:numPr>
                <w:ilvl w:val="0"/>
                <w:numId w:val="65"/>
              </w:numPr>
              <w:tabs>
                <w:tab w:val="clear" w:pos="540"/>
                <w:tab w:val="clear" w:pos="360"/>
              </w:tabs>
              <w:spacing w:before="120" w:after="120"/>
              <w:ind w:left="360" w:hanging="360"/>
            </w:pPr>
            <w:bookmarkStart w:id="558" w:name="_Toc333923226"/>
            <w:bookmarkStart w:id="559" w:name="_Toc497228210"/>
            <w:bookmarkStart w:id="560" w:name="_Toc29906884"/>
            <w:r>
              <w:t>Language and Law</w:t>
            </w:r>
            <w:bookmarkEnd w:id="558"/>
            <w:bookmarkEnd w:id="559"/>
            <w:bookmarkEnd w:id="560"/>
          </w:p>
        </w:tc>
        <w:tc>
          <w:tcPr>
            <w:tcW w:w="6989" w:type="dxa"/>
            <w:gridSpan w:val="3"/>
            <w:tcBorders>
              <w:top w:val="nil"/>
              <w:left w:val="nil"/>
              <w:bottom w:val="nil"/>
              <w:right w:val="nil"/>
            </w:tcBorders>
          </w:tcPr>
          <w:p w14:paraId="31514A71">
            <w:pPr>
              <w:numPr>
                <w:ilvl w:val="1"/>
                <w:numId w:val="65"/>
              </w:numPr>
              <w:suppressAutoHyphens/>
              <w:overflowPunct w:val="0"/>
              <w:autoSpaceDE w:val="0"/>
              <w:autoSpaceDN w:val="0"/>
              <w:adjustRightInd w:val="0"/>
              <w:spacing w:before="120" w:after="120"/>
              <w:ind w:right="36"/>
              <w:jc w:val="both"/>
              <w:textAlignment w:val="baseline"/>
            </w:pPr>
            <w:r>
              <w:t xml:space="preserve">The language of the Contract and the law governing the Contract are </w:t>
            </w:r>
            <w:r>
              <w:rPr>
                <w:b/>
              </w:rPr>
              <w:t>stated in the PCC</w:t>
            </w:r>
            <w:r>
              <w:t>.</w:t>
            </w:r>
          </w:p>
          <w:p w14:paraId="16A19CF5">
            <w:pPr>
              <w:numPr>
                <w:ilvl w:val="1"/>
                <w:numId w:val="65"/>
              </w:numPr>
              <w:suppressAutoHyphens/>
              <w:overflowPunct w:val="0"/>
              <w:autoSpaceDE w:val="0"/>
              <w:autoSpaceDN w:val="0"/>
              <w:adjustRightInd w:val="0"/>
              <w:spacing w:before="120" w:after="120"/>
              <w:ind w:right="36"/>
              <w:jc w:val="both"/>
              <w:textAlignment w:val="baseline"/>
            </w:pPr>
            <w:r>
              <w:t>Throughout the execution of the Contract, the Contractor shall comply with the import of goods and services prohibitions in the Employer’s country when</w:t>
            </w:r>
          </w:p>
          <w:p w14:paraId="510F168E">
            <w:pPr>
              <w:pStyle w:val="70"/>
              <w:numPr>
                <w:ilvl w:val="0"/>
                <w:numId w:val="69"/>
              </w:numPr>
            </w:pPr>
            <w:r>
              <w:t xml:space="preserve">as a matter of law or official regulations, the Borrower’s country prohibits commercial relations with that country; or </w:t>
            </w:r>
          </w:p>
          <w:p w14:paraId="4AE11E3A">
            <w:pPr>
              <w:pStyle w:val="70"/>
              <w:numPr>
                <w:ilvl w:val="0"/>
                <w:numId w:val="69"/>
              </w:numPr>
            </w:pPr>
            <w:r>
              <w:t xml:space="preserve">by an act of compliance with a decision of the United Nations Security Council taken under Chapter VII of the Charter of the United Nations, the Borrower’s Country prohibits any import of goods from that country or any payments to any country, person, or entity in that country. </w:t>
            </w:r>
          </w:p>
        </w:tc>
      </w:tr>
      <w:tr w14:paraId="47D65BC8">
        <w:tblPrEx>
          <w:tblCellMar>
            <w:top w:w="0" w:type="dxa"/>
            <w:left w:w="108" w:type="dxa"/>
            <w:bottom w:w="0" w:type="dxa"/>
            <w:right w:w="108" w:type="dxa"/>
          </w:tblCellMar>
        </w:tblPrEx>
        <w:tc>
          <w:tcPr>
            <w:tcW w:w="2160" w:type="dxa"/>
            <w:tcBorders>
              <w:top w:val="nil"/>
              <w:left w:val="nil"/>
              <w:bottom w:val="nil"/>
              <w:right w:val="nil"/>
            </w:tcBorders>
          </w:tcPr>
          <w:p w14:paraId="03B61436">
            <w:pPr>
              <w:pStyle w:val="205"/>
              <w:numPr>
                <w:ilvl w:val="0"/>
                <w:numId w:val="65"/>
              </w:numPr>
              <w:tabs>
                <w:tab w:val="clear" w:pos="540"/>
                <w:tab w:val="clear" w:pos="360"/>
              </w:tabs>
              <w:spacing w:before="120" w:after="120"/>
              <w:ind w:left="360" w:hanging="360"/>
            </w:pPr>
            <w:bookmarkStart w:id="561" w:name="_Toc333923227"/>
            <w:bookmarkStart w:id="562" w:name="_Toc29906885"/>
            <w:bookmarkStart w:id="563" w:name="_Toc497228211"/>
            <w:r>
              <w:t>Project Manager’s Decisions</w:t>
            </w:r>
            <w:bookmarkEnd w:id="561"/>
            <w:bookmarkEnd w:id="562"/>
            <w:bookmarkEnd w:id="563"/>
          </w:p>
        </w:tc>
        <w:tc>
          <w:tcPr>
            <w:tcW w:w="6989" w:type="dxa"/>
            <w:gridSpan w:val="3"/>
            <w:tcBorders>
              <w:top w:val="nil"/>
              <w:left w:val="nil"/>
              <w:bottom w:val="nil"/>
              <w:right w:val="nil"/>
            </w:tcBorders>
          </w:tcPr>
          <w:p w14:paraId="7B31FD7B">
            <w:pPr>
              <w:numPr>
                <w:ilvl w:val="1"/>
                <w:numId w:val="65"/>
              </w:numPr>
              <w:suppressAutoHyphens/>
              <w:overflowPunct w:val="0"/>
              <w:autoSpaceDE w:val="0"/>
              <w:autoSpaceDN w:val="0"/>
              <w:adjustRightInd w:val="0"/>
              <w:spacing w:before="120" w:after="120"/>
              <w:ind w:right="36"/>
              <w:jc w:val="both"/>
              <w:textAlignment w:val="baseline"/>
            </w:pPr>
            <w:r>
              <w:t>Except where otherwise specifically stated, the Project Manager shall decide contractual matters between the Employer and the Contractor in the role representing the Employer.</w:t>
            </w:r>
          </w:p>
        </w:tc>
      </w:tr>
      <w:tr w14:paraId="5FE5FF77">
        <w:tblPrEx>
          <w:tblCellMar>
            <w:top w:w="0" w:type="dxa"/>
            <w:left w:w="108" w:type="dxa"/>
            <w:bottom w:w="0" w:type="dxa"/>
            <w:right w:w="108" w:type="dxa"/>
          </w:tblCellMar>
        </w:tblPrEx>
        <w:tc>
          <w:tcPr>
            <w:tcW w:w="2160" w:type="dxa"/>
            <w:tcBorders>
              <w:top w:val="nil"/>
              <w:left w:val="nil"/>
              <w:bottom w:val="nil"/>
              <w:right w:val="nil"/>
            </w:tcBorders>
          </w:tcPr>
          <w:p w14:paraId="058BEA7E">
            <w:pPr>
              <w:pStyle w:val="205"/>
              <w:numPr>
                <w:ilvl w:val="0"/>
                <w:numId w:val="65"/>
              </w:numPr>
              <w:tabs>
                <w:tab w:val="clear" w:pos="540"/>
                <w:tab w:val="clear" w:pos="360"/>
              </w:tabs>
              <w:spacing w:before="120" w:after="120"/>
              <w:ind w:left="360" w:hanging="360"/>
            </w:pPr>
            <w:bookmarkStart w:id="564" w:name="_Toc29906886"/>
            <w:bookmarkStart w:id="565" w:name="_Toc497228212"/>
            <w:bookmarkStart w:id="566" w:name="_Toc333923228"/>
            <w:r>
              <w:t>Delegation</w:t>
            </w:r>
            <w:bookmarkEnd w:id="564"/>
            <w:bookmarkEnd w:id="565"/>
            <w:bookmarkEnd w:id="566"/>
          </w:p>
        </w:tc>
        <w:tc>
          <w:tcPr>
            <w:tcW w:w="6989" w:type="dxa"/>
            <w:gridSpan w:val="3"/>
            <w:tcBorders>
              <w:top w:val="nil"/>
              <w:left w:val="nil"/>
              <w:bottom w:val="nil"/>
              <w:right w:val="nil"/>
            </w:tcBorders>
          </w:tcPr>
          <w:p w14:paraId="63AF874A">
            <w:pPr>
              <w:numPr>
                <w:ilvl w:val="1"/>
                <w:numId w:val="65"/>
              </w:numPr>
              <w:suppressAutoHyphens/>
              <w:overflowPunct w:val="0"/>
              <w:autoSpaceDE w:val="0"/>
              <w:autoSpaceDN w:val="0"/>
              <w:adjustRightInd w:val="0"/>
              <w:spacing w:before="120" w:after="120"/>
              <w:ind w:right="36"/>
              <w:jc w:val="both"/>
              <w:textAlignment w:val="baseline"/>
            </w:pPr>
            <w:r>
              <w:t xml:space="preserve">Otherwise </w:t>
            </w:r>
            <w:r>
              <w:rPr>
                <w:b/>
              </w:rPr>
              <w:t>specified in the PCC,</w:t>
            </w:r>
            <w:r>
              <w:t xml:space="preserve"> the Project Manager may delegate any of his duties and responsibilities to other people, except to the Adjudicator, after notifying the Contractor, and may revoke any delegation after notifying the Contractor.</w:t>
            </w:r>
          </w:p>
        </w:tc>
      </w:tr>
      <w:tr w14:paraId="2CB6585A">
        <w:tblPrEx>
          <w:tblCellMar>
            <w:top w:w="0" w:type="dxa"/>
            <w:left w:w="108" w:type="dxa"/>
            <w:bottom w:w="0" w:type="dxa"/>
            <w:right w:w="108" w:type="dxa"/>
          </w:tblCellMar>
        </w:tblPrEx>
        <w:tc>
          <w:tcPr>
            <w:tcW w:w="2160" w:type="dxa"/>
            <w:tcBorders>
              <w:top w:val="nil"/>
              <w:left w:val="nil"/>
              <w:bottom w:val="nil"/>
              <w:right w:val="nil"/>
            </w:tcBorders>
          </w:tcPr>
          <w:p w14:paraId="1586736A">
            <w:pPr>
              <w:pStyle w:val="205"/>
              <w:numPr>
                <w:ilvl w:val="0"/>
                <w:numId w:val="65"/>
              </w:numPr>
              <w:tabs>
                <w:tab w:val="clear" w:pos="540"/>
                <w:tab w:val="clear" w:pos="360"/>
              </w:tabs>
              <w:spacing w:before="120" w:after="120"/>
              <w:ind w:left="360" w:hanging="360"/>
            </w:pPr>
            <w:bookmarkStart w:id="567" w:name="_Toc497228213"/>
            <w:bookmarkStart w:id="568" w:name="_Toc333923229"/>
            <w:bookmarkStart w:id="569" w:name="_Toc29906887"/>
            <w:r>
              <w:t>Communica</w:t>
            </w:r>
            <w:r>
              <w:softHyphen/>
            </w:r>
            <w:r>
              <w:t>tions</w:t>
            </w:r>
            <w:bookmarkEnd w:id="567"/>
            <w:bookmarkEnd w:id="568"/>
            <w:bookmarkEnd w:id="569"/>
          </w:p>
        </w:tc>
        <w:tc>
          <w:tcPr>
            <w:tcW w:w="6989" w:type="dxa"/>
            <w:gridSpan w:val="3"/>
            <w:tcBorders>
              <w:top w:val="nil"/>
              <w:left w:val="nil"/>
              <w:bottom w:val="nil"/>
              <w:right w:val="nil"/>
            </w:tcBorders>
          </w:tcPr>
          <w:p w14:paraId="620674A9">
            <w:pPr>
              <w:numPr>
                <w:ilvl w:val="1"/>
                <w:numId w:val="65"/>
              </w:numPr>
              <w:suppressAutoHyphens/>
              <w:overflowPunct w:val="0"/>
              <w:autoSpaceDE w:val="0"/>
              <w:autoSpaceDN w:val="0"/>
              <w:adjustRightInd w:val="0"/>
              <w:spacing w:before="120" w:after="120"/>
              <w:ind w:right="36"/>
              <w:jc w:val="both"/>
              <w:textAlignment w:val="baseline"/>
            </w:pPr>
            <w:r>
              <w:t>Communications between parties that are referred to in the Conditions shall be effective only when in writing. A notice shall be effective only when it is delivered.</w:t>
            </w:r>
          </w:p>
        </w:tc>
      </w:tr>
      <w:tr w14:paraId="22F97509">
        <w:tblPrEx>
          <w:tblCellMar>
            <w:top w:w="0" w:type="dxa"/>
            <w:left w:w="108" w:type="dxa"/>
            <w:bottom w:w="0" w:type="dxa"/>
            <w:right w:w="108" w:type="dxa"/>
          </w:tblCellMar>
        </w:tblPrEx>
        <w:tc>
          <w:tcPr>
            <w:tcW w:w="2160" w:type="dxa"/>
            <w:tcBorders>
              <w:top w:val="nil"/>
              <w:left w:val="nil"/>
              <w:bottom w:val="nil"/>
              <w:right w:val="nil"/>
            </w:tcBorders>
          </w:tcPr>
          <w:p w14:paraId="6A68502E">
            <w:pPr>
              <w:pStyle w:val="205"/>
              <w:numPr>
                <w:ilvl w:val="0"/>
                <w:numId w:val="65"/>
              </w:numPr>
              <w:tabs>
                <w:tab w:val="clear" w:pos="540"/>
                <w:tab w:val="clear" w:pos="360"/>
              </w:tabs>
              <w:spacing w:before="120" w:after="120"/>
              <w:ind w:left="360" w:hanging="360"/>
            </w:pPr>
            <w:bookmarkStart w:id="570" w:name="_Toc497228214"/>
            <w:bookmarkStart w:id="571" w:name="_Toc333923230"/>
            <w:bookmarkStart w:id="572" w:name="_Toc29906888"/>
            <w:r>
              <w:t>Subcontracting</w:t>
            </w:r>
            <w:bookmarkEnd w:id="570"/>
            <w:bookmarkEnd w:id="571"/>
            <w:bookmarkEnd w:id="572"/>
          </w:p>
        </w:tc>
        <w:tc>
          <w:tcPr>
            <w:tcW w:w="6989" w:type="dxa"/>
            <w:gridSpan w:val="3"/>
            <w:tcBorders>
              <w:top w:val="nil"/>
              <w:left w:val="nil"/>
              <w:bottom w:val="nil"/>
              <w:right w:val="nil"/>
            </w:tcBorders>
          </w:tcPr>
          <w:p w14:paraId="3E0CB430">
            <w:pPr>
              <w:numPr>
                <w:ilvl w:val="1"/>
                <w:numId w:val="65"/>
              </w:numPr>
              <w:suppressAutoHyphens/>
              <w:overflowPunct w:val="0"/>
              <w:autoSpaceDE w:val="0"/>
              <w:autoSpaceDN w:val="0"/>
              <w:adjustRightInd w:val="0"/>
              <w:spacing w:before="120" w:after="120"/>
              <w:ind w:right="36"/>
              <w:jc w:val="both"/>
              <w:textAlignment w:val="baseline"/>
            </w:pPr>
            <w:r>
              <w:t xml:space="preserve">The Contractor may subcontract with the approval of the Project Manager, but may not assign the Contract without the approval of the Employer in writing. Subcontracting shall not alter the Contractor’s obligations. </w:t>
            </w:r>
            <w:r>
              <w:rPr>
                <w:rFonts w:eastAsia="Arial Narrow"/>
              </w:rPr>
              <w:t>The Contractor shall require that its Subcontractors execute the Works in accordance with the Contract, including complying with the relevant ES requirements and the obligations set out in GCC Sub-Clause 26.1 of the General Conditions of Contract.</w:t>
            </w:r>
          </w:p>
          <w:p w14:paraId="3ED8EC99">
            <w:pPr>
              <w:numPr>
                <w:ilvl w:val="1"/>
                <w:numId w:val="65"/>
              </w:numPr>
              <w:suppressAutoHyphens/>
              <w:overflowPunct w:val="0"/>
              <w:autoSpaceDE w:val="0"/>
              <w:autoSpaceDN w:val="0"/>
              <w:adjustRightInd w:val="0"/>
              <w:spacing w:before="120" w:after="120"/>
              <w:ind w:right="36"/>
              <w:jc w:val="both"/>
              <w:textAlignment w:val="baseline"/>
            </w:pPr>
            <w:r>
              <w:t>Submision by the Contractor for approval of the Project Manager, addition of any Subcontractor not named in the Contract, shall also include the Subcontractor’s declaration in accordance with Appendix C- Sexual exploitation and Abuse (SEA) and/or Sexual Harassment (SH) Performance Declaration.</w:t>
            </w:r>
          </w:p>
        </w:tc>
      </w:tr>
      <w:tr w14:paraId="5C8105C7">
        <w:tblPrEx>
          <w:tblCellMar>
            <w:top w:w="0" w:type="dxa"/>
            <w:left w:w="108" w:type="dxa"/>
            <w:bottom w:w="0" w:type="dxa"/>
            <w:right w:w="108" w:type="dxa"/>
          </w:tblCellMar>
        </w:tblPrEx>
        <w:tc>
          <w:tcPr>
            <w:tcW w:w="2160" w:type="dxa"/>
            <w:tcBorders>
              <w:top w:val="nil"/>
              <w:left w:val="nil"/>
              <w:bottom w:val="nil"/>
              <w:right w:val="nil"/>
            </w:tcBorders>
          </w:tcPr>
          <w:p w14:paraId="570BB0BC">
            <w:pPr>
              <w:pStyle w:val="205"/>
              <w:numPr>
                <w:ilvl w:val="0"/>
                <w:numId w:val="65"/>
              </w:numPr>
              <w:tabs>
                <w:tab w:val="clear" w:pos="540"/>
                <w:tab w:val="clear" w:pos="360"/>
              </w:tabs>
              <w:spacing w:before="120" w:after="120"/>
              <w:ind w:left="360" w:hanging="360"/>
            </w:pPr>
            <w:bookmarkStart w:id="573" w:name="_Toc333923231"/>
            <w:bookmarkStart w:id="574" w:name="_Toc497228215"/>
            <w:bookmarkStart w:id="575" w:name="_Toc29906889"/>
            <w:r>
              <w:t>Other Contractors</w:t>
            </w:r>
            <w:bookmarkEnd w:id="573"/>
            <w:bookmarkEnd w:id="574"/>
            <w:bookmarkEnd w:id="575"/>
          </w:p>
        </w:tc>
        <w:tc>
          <w:tcPr>
            <w:tcW w:w="6989" w:type="dxa"/>
            <w:gridSpan w:val="3"/>
            <w:tcBorders>
              <w:top w:val="nil"/>
              <w:left w:val="nil"/>
              <w:bottom w:val="nil"/>
              <w:right w:val="nil"/>
            </w:tcBorders>
          </w:tcPr>
          <w:p w14:paraId="76880DA9">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cooperate and share the Site with other contractors, public authorities, utilities, and the Employer between the dates given in the Schedule of Other Contractors, as </w:t>
            </w:r>
            <w:r>
              <w:rPr>
                <w:b/>
              </w:rPr>
              <w:t>referred to in the PCC.</w:t>
            </w:r>
            <w:r>
              <w:t xml:space="preserve"> The Contractor shall also provide facilities and services for them as described in the Schedule. The Employer may modify the Schedule of Other Contractors, and shall notify the Contractor of any such modification. </w:t>
            </w:r>
          </w:p>
        </w:tc>
      </w:tr>
      <w:tr w14:paraId="0156FD71">
        <w:tblPrEx>
          <w:tblCellMar>
            <w:top w:w="0" w:type="dxa"/>
            <w:left w:w="108" w:type="dxa"/>
            <w:bottom w:w="0" w:type="dxa"/>
            <w:right w:w="108" w:type="dxa"/>
          </w:tblCellMar>
        </w:tblPrEx>
        <w:trPr>
          <w:cantSplit/>
        </w:trPr>
        <w:tc>
          <w:tcPr>
            <w:tcW w:w="2160" w:type="dxa"/>
            <w:tcBorders>
              <w:top w:val="nil"/>
              <w:left w:val="nil"/>
              <w:bottom w:val="nil"/>
              <w:right w:val="nil"/>
            </w:tcBorders>
          </w:tcPr>
          <w:p w14:paraId="5CC78705">
            <w:pPr>
              <w:pStyle w:val="205"/>
              <w:numPr>
                <w:ilvl w:val="0"/>
                <w:numId w:val="65"/>
              </w:numPr>
              <w:tabs>
                <w:tab w:val="clear" w:pos="540"/>
                <w:tab w:val="clear" w:pos="360"/>
              </w:tabs>
              <w:spacing w:before="120" w:after="120"/>
              <w:ind w:left="360" w:hanging="360"/>
            </w:pPr>
            <w:bookmarkStart w:id="576" w:name="_Toc29906890"/>
            <w:bookmarkStart w:id="577" w:name="_Toc333923232"/>
            <w:bookmarkStart w:id="578" w:name="_Toc497228216"/>
            <w:r>
              <w:t>Personnel and Equipment</w:t>
            </w:r>
            <w:bookmarkEnd w:id="576"/>
            <w:bookmarkEnd w:id="577"/>
            <w:bookmarkEnd w:id="578"/>
          </w:p>
        </w:tc>
        <w:tc>
          <w:tcPr>
            <w:tcW w:w="6989" w:type="dxa"/>
            <w:gridSpan w:val="3"/>
            <w:tcBorders>
              <w:top w:val="nil"/>
              <w:left w:val="nil"/>
              <w:bottom w:val="nil"/>
              <w:right w:val="nil"/>
            </w:tcBorders>
          </w:tcPr>
          <w:p w14:paraId="6D93C1F3">
            <w:pPr>
              <w:numPr>
                <w:ilvl w:val="1"/>
                <w:numId w:val="65"/>
              </w:numPr>
              <w:suppressAutoHyphens/>
              <w:overflowPunct w:val="0"/>
              <w:autoSpaceDE w:val="0"/>
              <w:autoSpaceDN w:val="0"/>
              <w:adjustRightInd w:val="0"/>
              <w:spacing w:before="120" w:after="120"/>
              <w:ind w:right="36"/>
              <w:jc w:val="both"/>
              <w:textAlignment w:val="baseline"/>
              <w:rPr>
                <w:szCs w:val="20"/>
              </w:rPr>
            </w:pPr>
            <w:r>
              <w:t>The</w:t>
            </w:r>
            <w:r>
              <w:rPr>
                <w:szCs w:val="20"/>
              </w:rPr>
              <w:t xml:space="preserve"> Contractor shall employ the Key Personnel and use the Equipment identified in its Bid, to carry out the Works or other personnel and Equipment approved by the Project Manager. The Project Manager shall approve any proposed replacement of Key Personnel and Equipment only if their relevant qualifications or characteristics are substantially equal to or better than those proposed in the Bid.</w:t>
            </w:r>
          </w:p>
          <w:p w14:paraId="58848023">
            <w:pPr>
              <w:numPr>
                <w:ilvl w:val="1"/>
                <w:numId w:val="65"/>
              </w:numPr>
              <w:suppressAutoHyphens/>
              <w:overflowPunct w:val="0"/>
              <w:autoSpaceDE w:val="0"/>
              <w:autoSpaceDN w:val="0"/>
              <w:adjustRightInd w:val="0"/>
              <w:spacing w:before="120" w:after="120"/>
              <w:ind w:right="36"/>
              <w:jc w:val="both"/>
              <w:textAlignment w:val="baseline"/>
            </w:pPr>
            <w:r>
              <w:rPr>
                <w:szCs w:val="20"/>
              </w:rPr>
              <w:t>The Project Manager may require the Contractor to remove (or cause to be removed) any person employed on the Site or Works, including the Key Personnel (if any), who:</w:t>
            </w:r>
          </w:p>
          <w:p w14:paraId="6E34981A">
            <w:pPr>
              <w:numPr>
                <w:ilvl w:val="0"/>
                <w:numId w:val="70"/>
              </w:numPr>
              <w:tabs>
                <w:tab w:val="left" w:pos="1080"/>
              </w:tabs>
              <w:suppressAutoHyphens/>
              <w:overflowPunct w:val="0"/>
              <w:autoSpaceDE w:val="0"/>
              <w:autoSpaceDN w:val="0"/>
              <w:adjustRightInd w:val="0"/>
              <w:spacing w:before="120" w:after="120"/>
              <w:ind w:right="36"/>
              <w:jc w:val="both"/>
              <w:textAlignment w:val="baseline"/>
            </w:pPr>
            <w:r>
              <w:t>persists in any misconduct or lack of care;</w:t>
            </w:r>
          </w:p>
          <w:p w14:paraId="72BC1208">
            <w:pPr>
              <w:numPr>
                <w:ilvl w:val="0"/>
                <w:numId w:val="70"/>
              </w:numPr>
              <w:tabs>
                <w:tab w:val="left" w:pos="1080"/>
              </w:tabs>
              <w:suppressAutoHyphens/>
              <w:overflowPunct w:val="0"/>
              <w:autoSpaceDE w:val="0"/>
              <w:autoSpaceDN w:val="0"/>
              <w:adjustRightInd w:val="0"/>
              <w:spacing w:before="120" w:after="120"/>
              <w:ind w:right="36"/>
              <w:jc w:val="both"/>
              <w:textAlignment w:val="baseline"/>
            </w:pPr>
            <w:r>
              <w:t>carries out duties incompetently or negligently;</w:t>
            </w:r>
          </w:p>
          <w:p w14:paraId="340CAF06">
            <w:pPr>
              <w:numPr>
                <w:ilvl w:val="0"/>
                <w:numId w:val="70"/>
              </w:numPr>
              <w:tabs>
                <w:tab w:val="left" w:pos="1080"/>
              </w:tabs>
              <w:suppressAutoHyphens/>
              <w:overflowPunct w:val="0"/>
              <w:autoSpaceDE w:val="0"/>
              <w:autoSpaceDN w:val="0"/>
              <w:adjustRightInd w:val="0"/>
              <w:spacing w:before="120" w:after="120"/>
              <w:ind w:right="36"/>
              <w:jc w:val="both"/>
              <w:textAlignment w:val="baseline"/>
            </w:pPr>
            <w:r>
              <w:t>fails to comply with any provision of the Contract;</w:t>
            </w:r>
          </w:p>
          <w:p w14:paraId="65A3453B">
            <w:pPr>
              <w:numPr>
                <w:ilvl w:val="0"/>
                <w:numId w:val="70"/>
              </w:numPr>
              <w:tabs>
                <w:tab w:val="left" w:pos="1080"/>
              </w:tabs>
              <w:suppressAutoHyphens/>
              <w:overflowPunct w:val="0"/>
              <w:autoSpaceDE w:val="0"/>
              <w:autoSpaceDN w:val="0"/>
              <w:adjustRightInd w:val="0"/>
              <w:spacing w:before="120" w:after="120"/>
              <w:ind w:right="36"/>
              <w:jc w:val="both"/>
              <w:textAlignment w:val="baseline"/>
            </w:pPr>
            <w:r>
              <w:t>persists in any conduct which is prejudicial to safety, health, or the protection of the environment;</w:t>
            </w:r>
          </w:p>
          <w:p w14:paraId="43A3D049">
            <w:pPr>
              <w:numPr>
                <w:ilvl w:val="0"/>
                <w:numId w:val="70"/>
              </w:numPr>
              <w:tabs>
                <w:tab w:val="left" w:pos="1080"/>
              </w:tabs>
              <w:suppressAutoHyphens/>
              <w:overflowPunct w:val="0"/>
              <w:autoSpaceDE w:val="0"/>
              <w:autoSpaceDN w:val="0"/>
              <w:adjustRightInd w:val="0"/>
              <w:spacing w:before="120" w:after="120"/>
              <w:ind w:right="36"/>
              <w:jc w:val="both"/>
              <w:textAlignment w:val="baseline"/>
            </w:pPr>
            <w:r>
              <w:t xml:space="preserve">based on reasonable evidence, is determined to have engaged in Fraud and Corruption during the execution of the Works; </w:t>
            </w:r>
          </w:p>
          <w:p w14:paraId="7E7A50EA">
            <w:pPr>
              <w:numPr>
                <w:ilvl w:val="0"/>
                <w:numId w:val="70"/>
              </w:numPr>
              <w:tabs>
                <w:tab w:val="left" w:pos="1080"/>
              </w:tabs>
              <w:suppressAutoHyphens/>
              <w:overflowPunct w:val="0"/>
              <w:autoSpaceDE w:val="0"/>
              <w:autoSpaceDN w:val="0"/>
              <w:adjustRightInd w:val="0"/>
              <w:spacing w:before="120" w:after="120"/>
              <w:ind w:right="36"/>
              <w:jc w:val="both"/>
              <w:textAlignment w:val="baseline"/>
            </w:pPr>
            <w:r>
              <w:t>has been recruited from the Employer’s Personnel;</w:t>
            </w:r>
          </w:p>
          <w:p w14:paraId="357F1D64">
            <w:pPr>
              <w:numPr>
                <w:ilvl w:val="0"/>
                <w:numId w:val="70"/>
              </w:numPr>
              <w:tabs>
                <w:tab w:val="left" w:pos="1080"/>
              </w:tabs>
              <w:suppressAutoHyphens/>
              <w:overflowPunct w:val="0"/>
              <w:autoSpaceDE w:val="0"/>
              <w:autoSpaceDN w:val="0"/>
              <w:adjustRightInd w:val="0"/>
              <w:spacing w:before="120" w:after="120"/>
              <w:ind w:right="36"/>
              <w:jc w:val="both"/>
              <w:textAlignment w:val="baseline"/>
            </w:pPr>
            <w:r>
              <w:t>undertakes behavior which breaches the Code of Conduct for Contractor’s Personnel (ES).</w:t>
            </w:r>
          </w:p>
          <w:p w14:paraId="68974CE2">
            <w:pPr>
              <w:spacing w:before="120" w:after="120"/>
              <w:ind w:left="529"/>
              <w:jc w:val="both"/>
              <w:rPr>
                <w:szCs w:val="20"/>
              </w:rPr>
            </w:pPr>
            <w:r>
              <w:rPr>
                <w:szCs w:val="20"/>
              </w:rPr>
              <w:t xml:space="preserve">If appropriate, the Contractor shall then promptly appoint (or cause to be appointed) a suitable replacement with equivalent skills and experience. </w:t>
            </w:r>
          </w:p>
          <w:p w14:paraId="0F6D65DA">
            <w:pPr>
              <w:suppressAutoHyphens/>
              <w:overflowPunct w:val="0"/>
              <w:autoSpaceDE w:val="0"/>
              <w:autoSpaceDN w:val="0"/>
              <w:adjustRightInd w:val="0"/>
              <w:spacing w:before="120" w:after="120"/>
              <w:ind w:left="547" w:right="43"/>
              <w:jc w:val="both"/>
              <w:textAlignment w:val="baseline"/>
              <w:rPr>
                <w:szCs w:val="20"/>
              </w:rPr>
            </w:pPr>
            <w:r>
              <w:rPr>
                <w:szCs w:val="20"/>
              </w:rPr>
              <w:t>Notwithstanding any requirement from the Project Manager to remove or cause to remove any person, the Contractor shall take immediate action as appropriate in response to any violation of (a) through (g) above. Such immediate action shall include removing (or causing to be removed) from the Site or other places where the Works are being carried out, any Contractor’s Personnel who engages in (a), (b), (c), (d), (e) or (g) above or has been recruited as stated in (f) above.</w:t>
            </w:r>
          </w:p>
          <w:p w14:paraId="72E91750">
            <w:pPr>
              <w:numPr>
                <w:ilvl w:val="1"/>
                <w:numId w:val="65"/>
              </w:numPr>
              <w:suppressAutoHyphens/>
              <w:overflowPunct w:val="0"/>
              <w:autoSpaceDE w:val="0"/>
              <w:autoSpaceDN w:val="0"/>
              <w:adjustRightInd w:val="0"/>
              <w:spacing w:before="120" w:after="120"/>
              <w:ind w:right="36"/>
              <w:jc w:val="both"/>
              <w:textAlignment w:val="baseline"/>
            </w:pPr>
            <w:r>
              <w:t>Labor</w:t>
            </w:r>
          </w:p>
          <w:p w14:paraId="73303DF6">
            <w:pPr>
              <w:pStyle w:val="176"/>
              <w:numPr>
                <w:ilvl w:val="2"/>
                <w:numId w:val="65"/>
              </w:numPr>
              <w:spacing w:before="120" w:after="120"/>
              <w:ind w:right="-72"/>
              <w:contextualSpacing w:val="0"/>
            </w:pPr>
            <w:r>
              <w:rPr>
                <w:i/>
              </w:rPr>
              <w:t>Engagement of Staff and Labor.</w:t>
            </w:r>
            <w:r>
              <w:t xml:space="preserve"> The Contractor shall provide and employ on the Site for the execution of the Works such skilled, semi-skilled and unskilled labor as is necessary for the proper and timely execution of the Contract. The Contractor is encouraged, to the extent practicable and reasonable, to employ staff and labor with appropriate qualifications and experience from sources within the Employer’s country.</w:t>
            </w:r>
          </w:p>
          <w:p w14:paraId="1CC607C5">
            <w:pPr>
              <w:pStyle w:val="176"/>
              <w:spacing w:before="120" w:after="120"/>
              <w:ind w:right="-72"/>
              <w:contextualSpacing w:val="0"/>
            </w:pPr>
            <w:r>
              <w:t xml:space="preserve">Unless otherwise provided in the Contract, the Contractor shall be responsible for the recruitment, transportation, accommodation and welfare facilities in accordance with GCC Sub-Clause 9.3.6, of the Contractor’s Personnel, and for all payments in connection therewith. </w:t>
            </w:r>
          </w:p>
          <w:p w14:paraId="7424DEB7">
            <w:pPr>
              <w:pStyle w:val="176"/>
              <w:numPr>
                <w:ilvl w:val="2"/>
                <w:numId w:val="65"/>
              </w:numPr>
              <w:spacing w:before="120" w:after="120"/>
              <w:ind w:right="-72"/>
              <w:contextualSpacing w:val="0"/>
            </w:pPr>
            <w:r>
              <w:rPr>
                <w:i/>
              </w:rPr>
              <w:t>Conditions of Labor.</w:t>
            </w:r>
            <w:r>
              <w:t xml:space="preserve"> The Contractor shall pay rates of wages, and observe conditions of labor, which comply with all applicable laws. </w:t>
            </w:r>
            <w:r>
              <w:rPr>
                <w:color w:val="000000" w:themeColor="text1"/>
                <w14:textFill>
                  <w14:solidFill>
                    <w14:schemeClr w14:val="tx1"/>
                  </w14:solidFill>
                </w14:textFill>
              </w:rPr>
              <w:t>The Contractor shall inform the Contractor’s Personnel about their liability to pay personal income taxes in the Employer’s country in respect of such of their salaries, wages, allowances and any benefits as are subject to tax under the Laws of the country for the time being in force, and the Contractor shall perform such duties in regard to such deductions thereof as may be imposed on him by such Laws.</w:t>
            </w:r>
          </w:p>
          <w:p w14:paraId="4580FDA1">
            <w:pPr>
              <w:pStyle w:val="176"/>
              <w:numPr>
                <w:ilvl w:val="2"/>
                <w:numId w:val="65"/>
              </w:numPr>
              <w:spacing w:before="120" w:after="120"/>
              <w:ind w:right="-72"/>
              <w:contextualSpacing w:val="0"/>
            </w:pPr>
            <w:r>
              <w:rPr>
                <w:rFonts w:eastAsia="Arial Narrow"/>
                <w:color w:val="000000"/>
              </w:rPr>
              <w:t>The Contractor may bring into the Employer’s country any foreign personnel who are necessary for the execution of the Works to the extent allowed by the applicable Laws. The Contractor shall ensure that these personnel are provided with the required residence visas and work permits. The Employer will, if requested by the Contractor, use its best endeavors in a timely and expeditious manner to assist the Contractor in obtaining any local, state, national, or government permission required for bringing in the Contractor’s personnel</w:t>
            </w:r>
            <w:r>
              <w:t>.</w:t>
            </w:r>
          </w:p>
          <w:p w14:paraId="008ED9BE">
            <w:pPr>
              <w:pStyle w:val="176"/>
              <w:numPr>
                <w:ilvl w:val="2"/>
                <w:numId w:val="65"/>
              </w:numPr>
              <w:spacing w:before="120" w:after="120"/>
              <w:ind w:right="-72"/>
              <w:contextualSpacing w:val="0"/>
            </w:pPr>
            <w:r>
              <w:t>The Contractor shall at its own expense provide the means of repatriation to and the Contractor’s Personnel employed on the Contract at the Site to their various home countries. It shall also provide suitable temporary maintenance of all such persons from the cessation of their employment on the Contract to the date programmed for their departure. In the event that the Contractor defaults in providing such means of transportation and temporary maintenance, the Employer may provide the same to such personnel and recover the cost of doing so from the Contractor.</w:t>
            </w:r>
          </w:p>
          <w:p w14:paraId="0343EFBF">
            <w:pPr>
              <w:pStyle w:val="176"/>
              <w:numPr>
                <w:ilvl w:val="2"/>
                <w:numId w:val="65"/>
              </w:numPr>
              <w:spacing w:before="120" w:after="120"/>
              <w:ind w:right="-72"/>
              <w:contextualSpacing w:val="0"/>
            </w:pPr>
            <w:r>
              <w:rPr>
                <w:i/>
              </w:rPr>
              <w:t>Disorderly conduct.</w:t>
            </w:r>
            <w:r>
              <w:t xml:space="preserve"> The Contractor shall at all times during the progress of the Contract use its best endeavors to prevent any unlawful, riotous or disorderly conduct or behavior by or amongst the Contractor’s Personnel. </w:t>
            </w:r>
          </w:p>
          <w:p w14:paraId="60511BD2">
            <w:pPr>
              <w:pStyle w:val="176"/>
              <w:numPr>
                <w:ilvl w:val="2"/>
                <w:numId w:val="65"/>
              </w:numPr>
              <w:spacing w:before="120" w:after="120"/>
              <w:ind w:right="-72"/>
              <w:contextualSpacing w:val="0"/>
            </w:pPr>
            <w:r>
              <w:rPr>
                <w:i/>
              </w:rPr>
              <w:t>Facilities for Staff and Labor.</w:t>
            </w:r>
            <w:r>
              <w:t xml:space="preserve"> Except as otherwise stated in the Specifications, the Contractor shall provide and maintain all necessary accommodation and welfare facilities for the Contractor’s Personnel. The Contractor shall also provide facilities for the Employer’s Personnel as stated in the Specification.</w:t>
            </w:r>
          </w:p>
          <w:p w14:paraId="22A53DCA">
            <w:pPr>
              <w:pStyle w:val="176"/>
              <w:numPr>
                <w:ilvl w:val="2"/>
                <w:numId w:val="65"/>
              </w:numPr>
              <w:spacing w:before="120" w:after="120"/>
              <w:ind w:right="-72"/>
              <w:contextualSpacing w:val="0"/>
            </w:pPr>
            <w:r>
              <w:t>The Contractor shall, in all dealings with the Contractor’s Personnel, pay due regard to all recognized festivals, official holidays, religious or other customs and all local laws and regulations pertaining to the employment of labor. The Contractor shall provide the Contractor’s Personnel annual holiday and sick, maternity and family leave, as required by applicable laws or as stated in the Specification.</w:t>
            </w:r>
          </w:p>
          <w:p w14:paraId="3840283A">
            <w:pPr>
              <w:pStyle w:val="176"/>
              <w:numPr>
                <w:ilvl w:val="2"/>
                <w:numId w:val="65"/>
              </w:numPr>
              <w:spacing w:before="120" w:after="120"/>
              <w:ind w:right="-72"/>
              <w:contextualSpacing w:val="0"/>
            </w:pPr>
            <w:r>
              <w:rPr>
                <w:i/>
              </w:rPr>
              <w:t>Supply of Foodstuff</w:t>
            </w:r>
            <w:r>
              <w:t>s. The Contractor shall arrange for the provision of a sufficient supply of suitable food as may be stated in the Specifications at reasonable prices for the Contractor’s Personnel for the purposes of or in connection with the Contract.</w:t>
            </w:r>
          </w:p>
          <w:p w14:paraId="10541B9B">
            <w:pPr>
              <w:pStyle w:val="176"/>
              <w:numPr>
                <w:ilvl w:val="2"/>
                <w:numId w:val="65"/>
              </w:numPr>
              <w:spacing w:before="120" w:after="120"/>
              <w:ind w:right="-72"/>
              <w:contextualSpacing w:val="0"/>
            </w:pPr>
            <w:r>
              <w:rPr>
                <w:i/>
              </w:rPr>
              <w:t>Supply of Water</w:t>
            </w:r>
            <w:r>
              <w:t>. The Contractor shall, having regard to local conditions, provide on the Site an adequate supply of drinking and other water for the use of the Contractor’s Personnel.</w:t>
            </w:r>
          </w:p>
          <w:p w14:paraId="05B3B752">
            <w:pPr>
              <w:pStyle w:val="176"/>
              <w:numPr>
                <w:ilvl w:val="2"/>
                <w:numId w:val="65"/>
              </w:numPr>
              <w:spacing w:before="120" w:after="120"/>
              <w:ind w:right="-72"/>
              <w:contextualSpacing w:val="0"/>
            </w:pPr>
            <w:r>
              <w:rPr>
                <w:i/>
              </w:rPr>
              <w:t xml:space="preserve">Measures against Insect and Pest Nuisance. </w:t>
            </w:r>
            <w:r>
              <w:t>The Contractor shall at all times take the necessary precautions to protect the Contractor’s Personnel employed on the Site from insect and pest nuisance, and to reduce the danger to their health. The Contractor shall comply with all the regulations of the local health authorities, including use of appropriate insecticide.</w:t>
            </w:r>
            <w:bookmarkStart w:id="579" w:name="_Hlk533087918"/>
          </w:p>
          <w:p w14:paraId="5A8C6622">
            <w:pPr>
              <w:pStyle w:val="176"/>
              <w:numPr>
                <w:ilvl w:val="2"/>
                <w:numId w:val="65"/>
              </w:numPr>
              <w:spacing w:before="120" w:after="120"/>
              <w:ind w:right="-72"/>
              <w:contextualSpacing w:val="0"/>
            </w:pPr>
            <w:r>
              <w:rPr>
                <w:i/>
              </w:rPr>
              <w:t>Alcoholic Liquor or Drugs</w:t>
            </w:r>
            <w:r>
              <w:t>. The Contractor shall not, otherwise than in accordance with the laws of the Employer’s country, import, sell, give, barter or otherwise dispose of any alcoholic liquor or drugs, or permit or allow importation, sale, gift, barter or disposal thereto by Contractor’s Personnel.</w:t>
            </w:r>
            <w:bookmarkEnd w:id="579"/>
          </w:p>
          <w:p w14:paraId="5736F9AC">
            <w:pPr>
              <w:pStyle w:val="176"/>
              <w:numPr>
                <w:ilvl w:val="2"/>
                <w:numId w:val="65"/>
              </w:numPr>
              <w:spacing w:before="120" w:after="120"/>
              <w:ind w:right="-72"/>
              <w:contextualSpacing w:val="0"/>
            </w:pPr>
            <w:r>
              <w:rPr>
                <w:i/>
              </w:rPr>
              <w:t>Arms and Ammunition</w:t>
            </w:r>
            <w:r>
              <w:t>. The Contractor shall not give, barter, or otherwise dispose of, to any person, any arms or ammunition of any kind, or allow Contractor’s Personnel to do so.</w:t>
            </w:r>
          </w:p>
          <w:p w14:paraId="731514B9">
            <w:pPr>
              <w:pStyle w:val="176"/>
              <w:numPr>
                <w:ilvl w:val="2"/>
                <w:numId w:val="65"/>
              </w:numPr>
              <w:spacing w:before="120" w:after="120"/>
              <w:ind w:right="-72"/>
              <w:contextualSpacing w:val="0"/>
            </w:pPr>
            <w:r>
              <w:rPr>
                <w:i/>
              </w:rPr>
              <w:t>Funeral Arrangements.</w:t>
            </w:r>
            <w:r>
              <w:t xml:space="preserve"> The Contractor shall be responsible, to the extent required by local regulations, for making any funeral arrangements for any of its local employees who may die while engaged upon the Works.</w:t>
            </w:r>
          </w:p>
          <w:p w14:paraId="0AC8E3DD">
            <w:pPr>
              <w:pStyle w:val="176"/>
              <w:numPr>
                <w:ilvl w:val="2"/>
                <w:numId w:val="65"/>
              </w:numPr>
              <w:spacing w:before="120" w:after="120"/>
              <w:ind w:right="-72"/>
              <w:contextualSpacing w:val="0"/>
            </w:pPr>
            <w:r>
              <w:rPr>
                <w:i/>
              </w:rPr>
              <w:t>Forced Labor.</w:t>
            </w:r>
            <w:r>
              <w:t xml:space="preserve"> The Contractor, including its Subcontractors, shall not employ or engage forced labor. Forced labor consists of any work or service, not voluntarily performed, that is exacted from an individual under threat of force or penalty, and includes any kind of involuntary or compulsory labor, such as indentured labor, bonded labor or similar labor-contracting arrangements. </w:t>
            </w:r>
          </w:p>
          <w:p w14:paraId="57DA4311">
            <w:pPr>
              <w:spacing w:before="120" w:after="120"/>
              <w:ind w:left="720" w:right="-72"/>
              <w:jc w:val="both"/>
              <w:rPr>
                <w:szCs w:val="20"/>
              </w:rPr>
            </w:pPr>
            <w:r>
              <w:rPr>
                <w:szCs w:val="20"/>
              </w:rPr>
              <w:t>No persons shall be employed or engaged who have been subject to trafficking. Trafficking in persons is defined as the recruitment, transportation, transfer, harboring or receipt of persons by means of the threat or use of force or other forms of coercion, abduction, fraud, deception, abuse of power, or of a position of vulnerability, or of the giving or receiving of payments or benefits to achieve the consent of a person having control over another person, for the purposes of exploitation.</w:t>
            </w:r>
          </w:p>
          <w:p w14:paraId="6B4BBC57">
            <w:pPr>
              <w:pStyle w:val="176"/>
              <w:numPr>
                <w:ilvl w:val="2"/>
                <w:numId w:val="65"/>
              </w:numPr>
              <w:spacing w:before="120" w:after="120"/>
              <w:ind w:right="-72"/>
              <w:contextualSpacing w:val="0"/>
            </w:pPr>
            <w:r>
              <w:rPr>
                <w:i/>
              </w:rPr>
              <w:t>Child Labor</w:t>
            </w:r>
            <w:r>
              <w:t xml:space="preserve">. The Contractor, including its Subcontractors, shall not employ or engage a child under the age of 14 unless the national law specifies a higher age (the minimum age). </w:t>
            </w:r>
          </w:p>
          <w:p w14:paraId="5385354A">
            <w:pPr>
              <w:pStyle w:val="176"/>
              <w:spacing w:before="120" w:after="120"/>
              <w:ind w:right="-72"/>
              <w:contextualSpacing w:val="0"/>
            </w:pPr>
            <w:r>
              <w:t>The Contractor, including its Subcontractors, shall not employ or engage a child between the minimum age and the age of 18 in a manner that is likely to be hazardous, or to interfere with, the child’s education, or to be harmful to the child’s health or physical, mental, spiritual, moral, or social development.</w:t>
            </w:r>
          </w:p>
          <w:p w14:paraId="385A3013">
            <w:pPr>
              <w:autoSpaceDE w:val="0"/>
              <w:autoSpaceDN w:val="0"/>
              <w:adjustRightInd w:val="0"/>
              <w:spacing w:before="120" w:after="120"/>
              <w:ind w:left="720"/>
              <w:jc w:val="both"/>
              <w:rPr>
                <w:szCs w:val="20"/>
              </w:rPr>
            </w:pPr>
            <w:r>
              <w:rPr>
                <w:szCs w:val="20"/>
              </w:rPr>
              <w:t xml:space="preserve">The Contractor including its Subcontractors, shall only employ or engage children between the minimum age and the age of 18 after an appropriate risk assessment has been conducted by the Contractor with the Project Manager’s approval. The Contractor shall be subject to regular monitoring by the Project Manager that includes monitoring of health, working conditions and hours of work. </w:t>
            </w:r>
          </w:p>
          <w:p w14:paraId="76F31AB9">
            <w:pPr>
              <w:autoSpaceDE w:val="0"/>
              <w:autoSpaceDN w:val="0"/>
              <w:adjustRightInd w:val="0"/>
              <w:spacing w:before="120" w:after="120"/>
              <w:ind w:left="720"/>
              <w:jc w:val="both"/>
              <w:rPr>
                <w:szCs w:val="20"/>
              </w:rPr>
            </w:pPr>
            <w:r>
              <w:rPr>
                <w:szCs w:val="20"/>
              </w:rPr>
              <w:t>Work considered hazardous for children is work that, by its nature or the circumstances in which it is carried out, is likely to jeopardize the health, safety, or morals of children. Such work activities prohibited for children include work:</w:t>
            </w:r>
          </w:p>
          <w:p w14:paraId="67551288">
            <w:pPr>
              <w:numPr>
                <w:ilvl w:val="0"/>
                <w:numId w:val="71"/>
              </w:numPr>
              <w:tabs>
                <w:tab w:val="left" w:pos="1080"/>
              </w:tabs>
              <w:suppressAutoHyphens/>
              <w:overflowPunct w:val="0"/>
              <w:autoSpaceDE w:val="0"/>
              <w:autoSpaceDN w:val="0"/>
              <w:adjustRightInd w:val="0"/>
              <w:spacing w:before="120" w:after="120"/>
              <w:ind w:left="1429" w:right="36"/>
              <w:jc w:val="both"/>
              <w:textAlignment w:val="baseline"/>
              <w:rPr>
                <w:szCs w:val="20"/>
              </w:rPr>
            </w:pPr>
            <w:r>
              <w:rPr>
                <w:szCs w:val="20"/>
              </w:rPr>
              <w:t>with exposure to physical, psychological or sexual abuse;</w:t>
            </w:r>
          </w:p>
          <w:p w14:paraId="45B4D7D4">
            <w:pPr>
              <w:numPr>
                <w:ilvl w:val="0"/>
                <w:numId w:val="71"/>
              </w:numPr>
              <w:tabs>
                <w:tab w:val="left" w:pos="1080"/>
              </w:tabs>
              <w:suppressAutoHyphens/>
              <w:overflowPunct w:val="0"/>
              <w:autoSpaceDE w:val="0"/>
              <w:autoSpaceDN w:val="0"/>
              <w:adjustRightInd w:val="0"/>
              <w:spacing w:before="120" w:after="120"/>
              <w:ind w:left="1429" w:right="36"/>
              <w:jc w:val="both"/>
              <w:textAlignment w:val="baseline"/>
              <w:rPr>
                <w:szCs w:val="20"/>
              </w:rPr>
            </w:pPr>
            <w:r>
              <w:rPr>
                <w:szCs w:val="20"/>
              </w:rPr>
              <w:t xml:space="preserve">underground, underwater, working at heights or in confined spaces; </w:t>
            </w:r>
          </w:p>
          <w:p w14:paraId="45C8B37C">
            <w:pPr>
              <w:numPr>
                <w:ilvl w:val="0"/>
                <w:numId w:val="71"/>
              </w:numPr>
              <w:tabs>
                <w:tab w:val="left" w:pos="1080"/>
              </w:tabs>
              <w:suppressAutoHyphens/>
              <w:overflowPunct w:val="0"/>
              <w:autoSpaceDE w:val="0"/>
              <w:autoSpaceDN w:val="0"/>
              <w:adjustRightInd w:val="0"/>
              <w:spacing w:before="120" w:after="120"/>
              <w:ind w:left="1429" w:right="36"/>
              <w:jc w:val="both"/>
              <w:textAlignment w:val="baseline"/>
              <w:rPr>
                <w:szCs w:val="20"/>
              </w:rPr>
            </w:pPr>
            <w:r>
              <w:rPr>
                <w:szCs w:val="20"/>
              </w:rPr>
              <w:t xml:space="preserve">with </w:t>
            </w:r>
            <w:r>
              <w:t>dangerous</w:t>
            </w:r>
            <w:r>
              <w:rPr>
                <w:szCs w:val="20"/>
              </w:rPr>
              <w:t xml:space="preserve"> machinery, equipment or tools, or involving handling or </w:t>
            </w:r>
          </w:p>
          <w:p w14:paraId="3F9A8339">
            <w:pPr>
              <w:numPr>
                <w:ilvl w:val="0"/>
                <w:numId w:val="71"/>
              </w:numPr>
              <w:tabs>
                <w:tab w:val="left" w:pos="1080"/>
              </w:tabs>
              <w:suppressAutoHyphens/>
              <w:overflowPunct w:val="0"/>
              <w:autoSpaceDE w:val="0"/>
              <w:autoSpaceDN w:val="0"/>
              <w:adjustRightInd w:val="0"/>
              <w:spacing w:before="120" w:after="120"/>
              <w:ind w:left="1429" w:right="36"/>
              <w:jc w:val="both"/>
              <w:textAlignment w:val="baseline"/>
              <w:rPr>
                <w:szCs w:val="20"/>
              </w:rPr>
            </w:pPr>
            <w:r>
              <w:rPr>
                <w:szCs w:val="20"/>
              </w:rPr>
              <w:t xml:space="preserve">transport of </w:t>
            </w:r>
            <w:r>
              <w:t>heavy</w:t>
            </w:r>
            <w:r>
              <w:rPr>
                <w:szCs w:val="20"/>
              </w:rPr>
              <w:t xml:space="preserve"> loads; </w:t>
            </w:r>
          </w:p>
          <w:p w14:paraId="25A9001E">
            <w:pPr>
              <w:numPr>
                <w:ilvl w:val="0"/>
                <w:numId w:val="71"/>
              </w:numPr>
              <w:tabs>
                <w:tab w:val="left" w:pos="1080"/>
              </w:tabs>
              <w:suppressAutoHyphens/>
              <w:overflowPunct w:val="0"/>
              <w:autoSpaceDE w:val="0"/>
              <w:autoSpaceDN w:val="0"/>
              <w:adjustRightInd w:val="0"/>
              <w:spacing w:before="120" w:after="120"/>
              <w:ind w:left="1429" w:right="36"/>
              <w:jc w:val="both"/>
              <w:textAlignment w:val="baseline"/>
              <w:rPr>
                <w:szCs w:val="20"/>
              </w:rPr>
            </w:pPr>
            <w:r>
              <w:rPr>
                <w:szCs w:val="20"/>
              </w:rPr>
              <w:t>in unhealthy environments exposing children to hazardous substances, agents, or processes, or to temperatures, noise or vibration damaging to health; or</w:t>
            </w:r>
          </w:p>
          <w:p w14:paraId="5F7653A4">
            <w:pPr>
              <w:numPr>
                <w:ilvl w:val="0"/>
                <w:numId w:val="71"/>
              </w:numPr>
              <w:tabs>
                <w:tab w:val="left" w:pos="1080"/>
              </w:tabs>
              <w:suppressAutoHyphens/>
              <w:overflowPunct w:val="0"/>
              <w:autoSpaceDE w:val="0"/>
              <w:autoSpaceDN w:val="0"/>
              <w:adjustRightInd w:val="0"/>
              <w:spacing w:before="120" w:after="120"/>
              <w:ind w:left="1429" w:right="36"/>
              <w:jc w:val="both"/>
              <w:textAlignment w:val="baseline"/>
              <w:rPr>
                <w:szCs w:val="20"/>
              </w:rPr>
            </w:pPr>
            <w:r>
              <w:rPr>
                <w:szCs w:val="20"/>
              </w:rPr>
              <w:t>under difficult conditions such as work for long hours, during the night or in confinement on the premises of the employer.</w:t>
            </w:r>
          </w:p>
          <w:p w14:paraId="5973A520">
            <w:pPr>
              <w:pStyle w:val="176"/>
              <w:numPr>
                <w:ilvl w:val="2"/>
                <w:numId w:val="65"/>
              </w:numPr>
              <w:spacing w:before="120" w:after="120"/>
              <w:ind w:right="-72"/>
              <w:contextualSpacing w:val="0"/>
            </w:pPr>
            <w:r>
              <w:t xml:space="preserve"> </w:t>
            </w:r>
            <w:r>
              <w:rPr>
                <w:i/>
              </w:rPr>
              <w:t>Employment Records of Workers.</w:t>
            </w:r>
            <w:r>
              <w:t xml:space="preserve"> The Contractor shall keep complete and accurate records of the employment of labor at the Site. The records shall include the names, ages, genders, hours worked, and wages paid to all workers. These records shall be summarized on a monthly basis and submitted to the project Manager.</w:t>
            </w:r>
          </w:p>
          <w:p w14:paraId="4492A1B4">
            <w:pPr>
              <w:pStyle w:val="176"/>
              <w:numPr>
                <w:ilvl w:val="2"/>
                <w:numId w:val="65"/>
              </w:numPr>
              <w:spacing w:before="120" w:after="120"/>
              <w:ind w:right="-72"/>
              <w:contextualSpacing w:val="0"/>
            </w:pPr>
            <w:r>
              <w:rPr>
                <w:i/>
              </w:rPr>
              <w:t>Workers’ Organizations</w:t>
            </w:r>
            <w:r>
              <w:t>. In countries where the relevant labor laws recognize workers’ rights to form and to join workers’ organizations of their choosing and to bargain collectively without interference, the Contractor shall comply with such laws. In such circumstances, the role of legally established workers’ organizations and legitimate workers’ representatives will be respected, and they will be provided with information needed for meaningful negotiation in a timely manner. Where the relevant labor laws substantially restrict workers’ organizations, the Contractor shall enable alternative means for the Contractor’s Personnel to express their grievances and protect their rights regarding working conditions and terms of employment. The Contractor shall not seek to influence or control these alternative means. The Contractor shall not discriminate or retaliate against the Contractor’s Personnel who participate, or seek to participate, in such organizations and collective bargaining or alternative mechanisms. Workers’ organizations are expected to fairly represent the workers in the workforce.</w:t>
            </w:r>
          </w:p>
          <w:p w14:paraId="48525181">
            <w:pPr>
              <w:pStyle w:val="176"/>
              <w:numPr>
                <w:ilvl w:val="2"/>
                <w:numId w:val="65"/>
              </w:numPr>
              <w:spacing w:before="120" w:after="120"/>
              <w:ind w:right="-72"/>
              <w:contextualSpacing w:val="0"/>
            </w:pPr>
            <w:r>
              <w:rPr>
                <w:i/>
              </w:rPr>
              <w:t>Non-Discrimination and Equal Opportunity.</w:t>
            </w:r>
            <w:r>
              <w:t xml:space="preserve"> The Contractor shall not make decisions relating to the employment or treatment of Contractor’s Personnel on the basis of personal characteristics unrelated to inherent job requirements. The Contractor shall base the employment of Contractor’s Personnel on the principle of equal opportunity and fair treatment, and shall not discriminate with respect to any aspects of the employment relationship, including recruitment and hiring, compensation (including wages and benefits), working conditions and terms of employment, access to training, job assignment, promotion, termination of employment or retirement, and disciplinary practices. </w:t>
            </w:r>
            <w:bookmarkStart w:id="580" w:name="_Hlk533088217"/>
          </w:p>
          <w:p w14:paraId="190D96E9">
            <w:pPr>
              <w:pStyle w:val="176"/>
              <w:spacing w:before="120" w:after="120"/>
              <w:ind w:right="-72"/>
              <w:contextualSpacing w:val="0"/>
            </w:pPr>
            <w:r>
              <w:t xml:space="preserve">Special measures of protection or assistance to remedy past discrimination or selection for a particular job based on the inherent requirements of the job shall not be deemed discrimination. The Contractor shall provide protection and assistance as necessary to ensure non-discrimination and equal opportunity, including for specific groups such as women, people with disabilities, migrant workers and children (of working age in accordance with GCC Sub-Clause 9.3.15). </w:t>
            </w:r>
          </w:p>
          <w:p w14:paraId="39632257">
            <w:pPr>
              <w:pStyle w:val="176"/>
              <w:numPr>
                <w:ilvl w:val="2"/>
                <w:numId w:val="65"/>
              </w:numPr>
              <w:spacing w:before="120" w:after="120"/>
              <w:ind w:right="-72"/>
              <w:contextualSpacing w:val="0"/>
            </w:pPr>
            <w:r>
              <w:rPr>
                <w:i/>
              </w:rPr>
              <w:t>Contractor’s Personnel Grievance Mechanism.</w:t>
            </w:r>
            <w:r>
              <w:t xml:space="preserve"> The Contractor shall have a grievance mechanism for Contractor’s Personnel, and where relevant the workers’ organizations stated in GCC Sub-Clause 9.3.17, to raise workplace concerns. The grievance mechanism shall be proportionate to the nature, scale, risks and impacts of the Contract. The mechanism shall address concerns promptly, using an understandable and transparent process that provides timely feedback to those concerned in a language they understand, without any retribution, and shall operate in an independent and objective manner. </w:t>
            </w:r>
          </w:p>
          <w:p w14:paraId="2B293833">
            <w:pPr>
              <w:autoSpaceDE w:val="0"/>
              <w:autoSpaceDN w:val="0"/>
              <w:adjustRightInd w:val="0"/>
              <w:spacing w:before="120" w:after="120"/>
              <w:ind w:left="720"/>
              <w:jc w:val="both"/>
              <w:rPr>
                <w:szCs w:val="20"/>
              </w:rPr>
            </w:pPr>
            <w:r>
              <w:rPr>
                <w:szCs w:val="20"/>
              </w:rPr>
              <w:t xml:space="preserve">The Contractor’s Personnel shall be informed of the grievance mechanism at the time of engagement for the Contract, and the measures put in place to protect them against any reprisal for its use. Measures will be put in place to make the grievance mechanism easily accessible to all Contractor’s Personnel. </w:t>
            </w:r>
          </w:p>
          <w:p w14:paraId="675DD923">
            <w:pPr>
              <w:autoSpaceDE w:val="0"/>
              <w:autoSpaceDN w:val="0"/>
              <w:adjustRightInd w:val="0"/>
              <w:spacing w:before="120" w:after="120"/>
              <w:ind w:left="720"/>
              <w:jc w:val="both"/>
              <w:rPr>
                <w:szCs w:val="20"/>
              </w:rPr>
            </w:pPr>
            <w:r>
              <w:rPr>
                <w:szCs w:val="20"/>
              </w:rPr>
              <w:t>The grievance mechanism shall not impede access to other judicial or administrative remedies that might be available, or substitute for grievance mechanisms provided through collective agreements.</w:t>
            </w:r>
          </w:p>
          <w:p w14:paraId="1660010A">
            <w:pPr>
              <w:autoSpaceDE w:val="0"/>
              <w:autoSpaceDN w:val="0"/>
              <w:adjustRightInd w:val="0"/>
              <w:spacing w:before="120" w:after="120"/>
              <w:ind w:left="720"/>
              <w:jc w:val="both"/>
              <w:rPr>
                <w:szCs w:val="20"/>
              </w:rPr>
            </w:pPr>
            <w:r>
              <w:rPr>
                <w:szCs w:val="20"/>
              </w:rPr>
              <w:t xml:space="preserve">The grievance mechanism may utilize existing grievance mechanisms, providing that they are properly designed and implemented, address concerns promptly, and are readily accessible to </w:t>
            </w:r>
            <w:r>
              <w:rPr>
                <w:bCs/>
              </w:rPr>
              <w:t>Contractor’s Personnel</w:t>
            </w:r>
            <w:r>
              <w:rPr>
                <w:szCs w:val="20"/>
              </w:rPr>
              <w:t>. Existing grievance mechanisms may be supplemented as needed with Contract-specific arrangements.</w:t>
            </w:r>
            <w:bookmarkEnd w:id="580"/>
          </w:p>
          <w:p w14:paraId="7C1490A1">
            <w:pPr>
              <w:pStyle w:val="176"/>
              <w:numPr>
                <w:ilvl w:val="2"/>
                <w:numId w:val="65"/>
              </w:numPr>
              <w:spacing w:before="120" w:after="120"/>
              <w:ind w:right="-72"/>
              <w:contextualSpacing w:val="0"/>
            </w:pPr>
            <w:r>
              <w:rPr>
                <w:i/>
              </w:rPr>
              <w:t>Training of Contractor’s Personnel.</w:t>
            </w:r>
            <w:r>
              <w:t xml:space="preserve"> The Contractor shall provide appropriate training to relevant Contractor’s Personnel on ES aspects of the Contract, including appropriate sensitization on prohibition of SEA and SH, and health and safety training. </w:t>
            </w:r>
          </w:p>
          <w:p w14:paraId="3BFD72F0">
            <w:pPr>
              <w:pStyle w:val="176"/>
              <w:spacing w:before="120" w:after="120"/>
              <w:ind w:right="-72"/>
              <w:contextualSpacing w:val="0"/>
            </w:pPr>
            <w:r>
              <w:t>As stated in the Specifications or as instructed by the Project Manager, the Contractor shall also allow appropriate opportunities for the relevant Contractor’s Personnel to be trained on ES aspects of the Contract by the Employer’s Personnel.</w:t>
            </w:r>
          </w:p>
          <w:p w14:paraId="052F442C">
            <w:pPr>
              <w:spacing w:before="120" w:after="120"/>
              <w:ind w:left="720"/>
              <w:jc w:val="both"/>
              <w:rPr>
                <w:szCs w:val="20"/>
              </w:rPr>
            </w:pPr>
            <w:r>
              <w:rPr>
                <w:szCs w:val="20"/>
              </w:rPr>
              <w:t xml:space="preserve">The Contractor shall provide training on SEA, including its prevention, to any of its personnel who has a role to supervise other Contractor’s Personnel. </w:t>
            </w:r>
          </w:p>
        </w:tc>
      </w:tr>
      <w:tr w14:paraId="11A9FEEF">
        <w:tblPrEx>
          <w:tblCellMar>
            <w:top w:w="0" w:type="dxa"/>
            <w:left w:w="108" w:type="dxa"/>
            <w:bottom w:w="0" w:type="dxa"/>
            <w:right w:w="108" w:type="dxa"/>
          </w:tblCellMar>
        </w:tblPrEx>
        <w:tc>
          <w:tcPr>
            <w:tcW w:w="2160" w:type="dxa"/>
            <w:tcBorders>
              <w:top w:val="nil"/>
              <w:left w:val="nil"/>
              <w:bottom w:val="nil"/>
              <w:right w:val="nil"/>
            </w:tcBorders>
          </w:tcPr>
          <w:p w14:paraId="01458709">
            <w:pPr>
              <w:pStyle w:val="205"/>
              <w:numPr>
                <w:ilvl w:val="0"/>
                <w:numId w:val="65"/>
              </w:numPr>
              <w:tabs>
                <w:tab w:val="clear" w:pos="540"/>
                <w:tab w:val="clear" w:pos="360"/>
              </w:tabs>
              <w:spacing w:before="120" w:after="120"/>
              <w:ind w:left="360" w:hanging="360"/>
            </w:pPr>
            <w:bookmarkStart w:id="581" w:name="_Toc29906891"/>
            <w:bookmarkStart w:id="582" w:name="_Toc333923233"/>
            <w:bookmarkStart w:id="583" w:name="_Toc497228217"/>
            <w:r>
              <w:t>Employer’s and Contractor’s Risks</w:t>
            </w:r>
            <w:bookmarkEnd w:id="581"/>
            <w:bookmarkEnd w:id="582"/>
            <w:bookmarkEnd w:id="583"/>
          </w:p>
        </w:tc>
        <w:tc>
          <w:tcPr>
            <w:tcW w:w="6989" w:type="dxa"/>
            <w:gridSpan w:val="3"/>
            <w:tcBorders>
              <w:top w:val="nil"/>
              <w:left w:val="nil"/>
              <w:bottom w:val="nil"/>
              <w:right w:val="nil"/>
            </w:tcBorders>
          </w:tcPr>
          <w:p w14:paraId="635A1379">
            <w:pPr>
              <w:numPr>
                <w:ilvl w:val="1"/>
                <w:numId w:val="65"/>
              </w:numPr>
              <w:suppressAutoHyphens/>
              <w:overflowPunct w:val="0"/>
              <w:autoSpaceDE w:val="0"/>
              <w:autoSpaceDN w:val="0"/>
              <w:adjustRightInd w:val="0"/>
              <w:spacing w:before="120" w:after="120"/>
              <w:ind w:right="36"/>
              <w:jc w:val="both"/>
              <w:textAlignment w:val="baseline"/>
            </w:pPr>
            <w:r>
              <w:t>The Employer carries the risks which this Contract states are Employer’s risks, and the Contractor carries the risks which this Contract states are Contractor’s risks.</w:t>
            </w:r>
          </w:p>
        </w:tc>
      </w:tr>
      <w:tr w14:paraId="02B71566">
        <w:tblPrEx>
          <w:tblCellMar>
            <w:top w:w="0" w:type="dxa"/>
            <w:left w:w="108" w:type="dxa"/>
            <w:bottom w:w="0" w:type="dxa"/>
            <w:right w:w="108" w:type="dxa"/>
          </w:tblCellMar>
        </w:tblPrEx>
        <w:tc>
          <w:tcPr>
            <w:tcW w:w="2160" w:type="dxa"/>
            <w:tcBorders>
              <w:top w:val="nil"/>
              <w:left w:val="nil"/>
              <w:bottom w:val="nil"/>
              <w:right w:val="nil"/>
            </w:tcBorders>
          </w:tcPr>
          <w:p w14:paraId="41A5C641">
            <w:pPr>
              <w:pStyle w:val="205"/>
              <w:numPr>
                <w:ilvl w:val="0"/>
                <w:numId w:val="65"/>
              </w:numPr>
              <w:tabs>
                <w:tab w:val="clear" w:pos="540"/>
                <w:tab w:val="clear" w:pos="360"/>
              </w:tabs>
              <w:spacing w:before="120" w:after="120"/>
              <w:ind w:left="360" w:hanging="360"/>
            </w:pPr>
            <w:bookmarkStart w:id="584" w:name="_Toc333923234"/>
            <w:bookmarkStart w:id="585" w:name="_Toc497228218"/>
            <w:bookmarkStart w:id="586" w:name="_Toc29906892"/>
            <w:r>
              <w:t>Employer’s Risks</w:t>
            </w:r>
            <w:bookmarkEnd w:id="584"/>
            <w:bookmarkEnd w:id="585"/>
            <w:bookmarkEnd w:id="586"/>
          </w:p>
        </w:tc>
        <w:tc>
          <w:tcPr>
            <w:tcW w:w="6989" w:type="dxa"/>
            <w:gridSpan w:val="3"/>
            <w:tcBorders>
              <w:top w:val="nil"/>
              <w:left w:val="nil"/>
              <w:bottom w:val="nil"/>
              <w:right w:val="nil"/>
            </w:tcBorders>
          </w:tcPr>
          <w:p w14:paraId="0FB384A2">
            <w:pPr>
              <w:numPr>
                <w:ilvl w:val="1"/>
                <w:numId w:val="65"/>
              </w:numPr>
              <w:suppressAutoHyphens/>
              <w:overflowPunct w:val="0"/>
              <w:autoSpaceDE w:val="0"/>
              <w:autoSpaceDN w:val="0"/>
              <w:adjustRightInd w:val="0"/>
              <w:spacing w:before="120" w:after="120"/>
              <w:ind w:right="36"/>
              <w:jc w:val="both"/>
              <w:textAlignment w:val="baseline"/>
            </w:pPr>
            <w:r>
              <w:t>From the Start Date until the Defects Liability Certificate has been issued, the following are Employer’s risks:</w:t>
            </w:r>
          </w:p>
          <w:p w14:paraId="74F3E63B">
            <w:pPr>
              <w:numPr>
                <w:ilvl w:val="0"/>
                <w:numId w:val="72"/>
              </w:numPr>
              <w:suppressAutoHyphens/>
              <w:overflowPunct w:val="0"/>
              <w:autoSpaceDE w:val="0"/>
              <w:autoSpaceDN w:val="0"/>
              <w:adjustRightInd w:val="0"/>
              <w:spacing w:before="120" w:after="120"/>
              <w:ind w:right="36"/>
              <w:jc w:val="both"/>
              <w:textAlignment w:val="baseline"/>
            </w:pPr>
            <w:r>
              <w:t>The risk of personal injury, death, or loss of or damage to property (excluding the Works, Plant, Materials, and Equipment), which are due to</w:t>
            </w:r>
          </w:p>
          <w:p w14:paraId="4BD46C27">
            <w:pPr>
              <w:numPr>
                <w:ilvl w:val="1"/>
                <w:numId w:val="73"/>
              </w:numPr>
              <w:tabs>
                <w:tab w:val="left" w:pos="1620"/>
              </w:tabs>
              <w:suppressAutoHyphens/>
              <w:overflowPunct w:val="0"/>
              <w:autoSpaceDE w:val="0"/>
              <w:autoSpaceDN w:val="0"/>
              <w:adjustRightInd w:val="0"/>
              <w:spacing w:before="120" w:after="120"/>
              <w:ind w:left="1620" w:right="36" w:hanging="540"/>
              <w:jc w:val="both"/>
              <w:textAlignment w:val="baseline"/>
            </w:pPr>
            <w:r>
              <w:t>use or occupation of the Site by the Works or for the purpose of the Works, which is the unavoidable result of the Works or</w:t>
            </w:r>
          </w:p>
          <w:p w14:paraId="2F4604C9">
            <w:pPr>
              <w:numPr>
                <w:ilvl w:val="1"/>
                <w:numId w:val="73"/>
              </w:numPr>
              <w:tabs>
                <w:tab w:val="left" w:pos="1620"/>
              </w:tabs>
              <w:suppressAutoHyphens/>
              <w:overflowPunct w:val="0"/>
              <w:autoSpaceDE w:val="0"/>
              <w:autoSpaceDN w:val="0"/>
              <w:adjustRightInd w:val="0"/>
              <w:spacing w:before="120" w:after="120"/>
              <w:ind w:left="1620" w:right="36" w:hanging="540"/>
              <w:jc w:val="both"/>
              <w:textAlignment w:val="baseline"/>
            </w:pPr>
            <w:r>
              <w:t>negligence, breach of statutory duty, or interference with any legal right by the Employer or by any person employed by or contracted to him except the Contractor.</w:t>
            </w:r>
          </w:p>
          <w:p w14:paraId="2C326D16">
            <w:pPr>
              <w:numPr>
                <w:ilvl w:val="0"/>
                <w:numId w:val="72"/>
              </w:numPr>
              <w:suppressAutoHyphens/>
              <w:overflowPunct w:val="0"/>
              <w:autoSpaceDE w:val="0"/>
              <w:autoSpaceDN w:val="0"/>
              <w:adjustRightInd w:val="0"/>
              <w:spacing w:before="120" w:after="120"/>
              <w:ind w:right="36"/>
              <w:jc w:val="both"/>
              <w:textAlignment w:val="baseline"/>
            </w:pPr>
            <w:r>
              <w:t>The risk of damage to the Works, Plant, Materials, and Equipment to the extent that it is due to a fault of the Employer or in the Employer’s design, or due to war or radioactive contamination directly affecting the country where the Works are to be executed.</w:t>
            </w:r>
          </w:p>
          <w:p w14:paraId="258FA535">
            <w:pPr>
              <w:numPr>
                <w:ilvl w:val="1"/>
                <w:numId w:val="65"/>
              </w:numPr>
              <w:suppressAutoHyphens/>
              <w:overflowPunct w:val="0"/>
              <w:autoSpaceDE w:val="0"/>
              <w:autoSpaceDN w:val="0"/>
              <w:adjustRightInd w:val="0"/>
              <w:spacing w:before="120" w:after="120"/>
              <w:ind w:right="36"/>
              <w:jc w:val="both"/>
              <w:textAlignment w:val="baseline"/>
            </w:pPr>
            <w:r>
              <w:t>From the Completion Date until the Defects Liability Certificate has been issued, the risk of loss of or damage to the Works, Plant, and Materials is an Employer’s risk except loss or damage due to</w:t>
            </w:r>
          </w:p>
          <w:p w14:paraId="12C1AF49">
            <w:pPr>
              <w:numPr>
                <w:ilvl w:val="0"/>
                <w:numId w:val="74"/>
              </w:numPr>
              <w:suppressAutoHyphens/>
              <w:overflowPunct w:val="0"/>
              <w:autoSpaceDE w:val="0"/>
              <w:autoSpaceDN w:val="0"/>
              <w:adjustRightInd w:val="0"/>
              <w:spacing w:before="120" w:after="120"/>
              <w:ind w:right="36"/>
              <w:jc w:val="both"/>
              <w:textAlignment w:val="baseline"/>
            </w:pPr>
            <w:r>
              <w:t>a Defect which existed on the Completion Date,</w:t>
            </w:r>
          </w:p>
          <w:p w14:paraId="2B6E2C82">
            <w:pPr>
              <w:numPr>
                <w:ilvl w:val="0"/>
                <w:numId w:val="74"/>
              </w:numPr>
              <w:suppressAutoHyphens/>
              <w:overflowPunct w:val="0"/>
              <w:autoSpaceDE w:val="0"/>
              <w:autoSpaceDN w:val="0"/>
              <w:adjustRightInd w:val="0"/>
              <w:spacing w:before="120" w:after="120"/>
              <w:ind w:right="36"/>
              <w:jc w:val="both"/>
              <w:textAlignment w:val="baseline"/>
            </w:pPr>
            <w:r>
              <w:t>an event occurring before the Completion Date, which was not itself an Employer’s risk, or</w:t>
            </w:r>
          </w:p>
          <w:p w14:paraId="3CAE386A">
            <w:pPr>
              <w:numPr>
                <w:ilvl w:val="0"/>
                <w:numId w:val="74"/>
              </w:numPr>
              <w:suppressAutoHyphens/>
              <w:overflowPunct w:val="0"/>
              <w:autoSpaceDE w:val="0"/>
              <w:autoSpaceDN w:val="0"/>
              <w:adjustRightInd w:val="0"/>
              <w:spacing w:before="120" w:after="120"/>
              <w:ind w:right="36"/>
              <w:jc w:val="both"/>
              <w:textAlignment w:val="baseline"/>
            </w:pPr>
            <w:r>
              <w:t>the activities of the Contractor on the Site after the Completion Date.</w:t>
            </w:r>
          </w:p>
        </w:tc>
      </w:tr>
      <w:tr w14:paraId="0B2DA32F">
        <w:tblPrEx>
          <w:tblCellMar>
            <w:top w:w="0" w:type="dxa"/>
            <w:left w:w="108" w:type="dxa"/>
            <w:bottom w:w="0" w:type="dxa"/>
            <w:right w:w="108" w:type="dxa"/>
          </w:tblCellMar>
        </w:tblPrEx>
        <w:tc>
          <w:tcPr>
            <w:tcW w:w="2160" w:type="dxa"/>
            <w:tcBorders>
              <w:top w:val="nil"/>
              <w:left w:val="nil"/>
              <w:bottom w:val="nil"/>
              <w:right w:val="nil"/>
            </w:tcBorders>
          </w:tcPr>
          <w:p w14:paraId="44BCAA31">
            <w:pPr>
              <w:pStyle w:val="205"/>
              <w:numPr>
                <w:ilvl w:val="0"/>
                <w:numId w:val="65"/>
              </w:numPr>
              <w:tabs>
                <w:tab w:val="clear" w:pos="540"/>
                <w:tab w:val="clear" w:pos="360"/>
              </w:tabs>
              <w:spacing w:before="120" w:after="120"/>
              <w:ind w:left="360" w:hanging="360"/>
            </w:pPr>
            <w:bookmarkStart w:id="587" w:name="_Toc29906893"/>
            <w:bookmarkStart w:id="588" w:name="_Toc497228219"/>
            <w:bookmarkStart w:id="589" w:name="_Toc333923235"/>
            <w:r>
              <w:t>Contractor’s Risks</w:t>
            </w:r>
            <w:bookmarkEnd w:id="587"/>
            <w:bookmarkEnd w:id="588"/>
            <w:bookmarkEnd w:id="589"/>
          </w:p>
        </w:tc>
        <w:tc>
          <w:tcPr>
            <w:tcW w:w="6989" w:type="dxa"/>
            <w:gridSpan w:val="3"/>
            <w:tcBorders>
              <w:top w:val="nil"/>
              <w:left w:val="nil"/>
              <w:bottom w:val="nil"/>
              <w:right w:val="nil"/>
            </w:tcBorders>
          </w:tcPr>
          <w:p w14:paraId="14DA063A">
            <w:pPr>
              <w:tabs>
                <w:tab w:val="left" w:pos="540"/>
              </w:tabs>
              <w:spacing w:before="120" w:after="120"/>
              <w:ind w:left="540" w:right="36" w:hanging="540"/>
              <w:jc w:val="both"/>
            </w:pPr>
            <w:r>
              <w:t>12.1</w:t>
            </w:r>
            <w:r>
              <w:tab/>
            </w:r>
            <w:r>
              <w:t>From the Starting Date until the Defects Liability Certificate has been issued, the risks of personal injury, death, and loss of or damage to property (including, without limitation, the Works, Plant, Materials, and Equipment) which are not Employer’s risks are Contractor’s risks.</w:t>
            </w:r>
          </w:p>
        </w:tc>
      </w:tr>
      <w:tr w14:paraId="3EB13CD1">
        <w:tblPrEx>
          <w:tblCellMar>
            <w:top w:w="0" w:type="dxa"/>
            <w:left w:w="108" w:type="dxa"/>
            <w:bottom w:w="0" w:type="dxa"/>
            <w:right w:w="108" w:type="dxa"/>
          </w:tblCellMar>
        </w:tblPrEx>
        <w:tc>
          <w:tcPr>
            <w:tcW w:w="2160" w:type="dxa"/>
            <w:tcBorders>
              <w:top w:val="nil"/>
              <w:left w:val="nil"/>
              <w:bottom w:val="nil"/>
              <w:right w:val="nil"/>
            </w:tcBorders>
          </w:tcPr>
          <w:p w14:paraId="70D9F9D1">
            <w:pPr>
              <w:pStyle w:val="205"/>
              <w:numPr>
                <w:ilvl w:val="0"/>
                <w:numId w:val="65"/>
              </w:numPr>
              <w:tabs>
                <w:tab w:val="clear" w:pos="540"/>
                <w:tab w:val="clear" w:pos="360"/>
              </w:tabs>
              <w:spacing w:before="120" w:after="120"/>
              <w:ind w:left="360" w:hanging="360"/>
            </w:pPr>
            <w:bookmarkStart w:id="590" w:name="_Toc29906894"/>
            <w:bookmarkStart w:id="591" w:name="_Toc333923236"/>
            <w:bookmarkStart w:id="592" w:name="_Toc497228220"/>
            <w:r>
              <w:t>Insurance</w:t>
            </w:r>
            <w:bookmarkEnd w:id="590"/>
            <w:bookmarkEnd w:id="591"/>
            <w:bookmarkEnd w:id="592"/>
          </w:p>
        </w:tc>
        <w:tc>
          <w:tcPr>
            <w:tcW w:w="6989" w:type="dxa"/>
            <w:gridSpan w:val="3"/>
            <w:tcBorders>
              <w:top w:val="nil"/>
              <w:left w:val="nil"/>
              <w:bottom w:val="nil"/>
              <w:right w:val="nil"/>
            </w:tcBorders>
          </w:tcPr>
          <w:p w14:paraId="7551CC85">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provide, in the joint names of the Employer and the Contractor, insurance cover from the Start Date to the end of the Defects Liability Period, in the amounts and deductibles </w:t>
            </w:r>
            <w:r>
              <w:rPr>
                <w:b/>
              </w:rPr>
              <w:t xml:space="preserve">stated in the PCC </w:t>
            </w:r>
            <w:r>
              <w:t>for the following events which are due to the Contractor’s risks:</w:t>
            </w:r>
          </w:p>
          <w:p w14:paraId="5E20056C">
            <w:pPr>
              <w:numPr>
                <w:ilvl w:val="0"/>
                <w:numId w:val="75"/>
              </w:numPr>
              <w:suppressAutoHyphens/>
              <w:overflowPunct w:val="0"/>
              <w:autoSpaceDE w:val="0"/>
              <w:autoSpaceDN w:val="0"/>
              <w:adjustRightInd w:val="0"/>
              <w:spacing w:before="120" w:after="120"/>
              <w:ind w:right="36"/>
              <w:jc w:val="both"/>
              <w:textAlignment w:val="baseline"/>
            </w:pPr>
            <w:r>
              <w:t>loss of or damage to the Works, Plant, and Materials;</w:t>
            </w:r>
          </w:p>
          <w:p w14:paraId="0D7CEADC">
            <w:pPr>
              <w:numPr>
                <w:ilvl w:val="0"/>
                <w:numId w:val="75"/>
              </w:numPr>
              <w:suppressAutoHyphens/>
              <w:overflowPunct w:val="0"/>
              <w:autoSpaceDE w:val="0"/>
              <w:autoSpaceDN w:val="0"/>
              <w:adjustRightInd w:val="0"/>
              <w:spacing w:before="120" w:after="120"/>
              <w:ind w:right="36"/>
              <w:jc w:val="both"/>
              <w:textAlignment w:val="baseline"/>
            </w:pPr>
            <w:r>
              <w:t>loss of or damage to Equipment;</w:t>
            </w:r>
          </w:p>
          <w:p w14:paraId="0C4ABF9C">
            <w:pPr>
              <w:numPr>
                <w:ilvl w:val="0"/>
                <w:numId w:val="75"/>
              </w:numPr>
              <w:suppressAutoHyphens/>
              <w:overflowPunct w:val="0"/>
              <w:autoSpaceDE w:val="0"/>
              <w:autoSpaceDN w:val="0"/>
              <w:adjustRightInd w:val="0"/>
              <w:spacing w:before="120" w:after="120"/>
              <w:ind w:right="36"/>
              <w:jc w:val="both"/>
              <w:textAlignment w:val="baseline"/>
            </w:pPr>
            <w:r>
              <w:t>loss of or damage to property (except the Works, Plant, Materials, and Equipment) in connection with the Contract; and</w:t>
            </w:r>
          </w:p>
          <w:p w14:paraId="2AA5744D">
            <w:pPr>
              <w:numPr>
                <w:ilvl w:val="0"/>
                <w:numId w:val="75"/>
              </w:numPr>
              <w:suppressAutoHyphens/>
              <w:overflowPunct w:val="0"/>
              <w:autoSpaceDE w:val="0"/>
              <w:autoSpaceDN w:val="0"/>
              <w:adjustRightInd w:val="0"/>
              <w:spacing w:before="120" w:after="120"/>
              <w:ind w:right="36"/>
              <w:jc w:val="both"/>
              <w:textAlignment w:val="baseline"/>
            </w:pPr>
            <w:r>
              <w:t>personal injury or death.</w:t>
            </w:r>
          </w:p>
          <w:p w14:paraId="286B8365">
            <w:pPr>
              <w:numPr>
                <w:ilvl w:val="1"/>
                <w:numId w:val="65"/>
              </w:numPr>
              <w:suppressAutoHyphens/>
              <w:overflowPunct w:val="0"/>
              <w:autoSpaceDE w:val="0"/>
              <w:autoSpaceDN w:val="0"/>
              <w:adjustRightInd w:val="0"/>
              <w:spacing w:before="120" w:after="120"/>
              <w:ind w:right="36"/>
              <w:jc w:val="both"/>
              <w:textAlignment w:val="baseline"/>
            </w:pPr>
            <w:r>
              <w:t>Policies and certificates for insurance shall be delivered by the Contractor to the Project Manager for the Project Manager’s approval before the Start Date. All such insurance shall provide for compensation to be payable in the types and proportions of currencies required to rectify the loss or damage incurred.</w:t>
            </w:r>
          </w:p>
          <w:p w14:paraId="3F9C6FDD">
            <w:pPr>
              <w:numPr>
                <w:ilvl w:val="1"/>
                <w:numId w:val="65"/>
              </w:numPr>
              <w:suppressAutoHyphens/>
              <w:overflowPunct w:val="0"/>
              <w:autoSpaceDE w:val="0"/>
              <w:autoSpaceDN w:val="0"/>
              <w:adjustRightInd w:val="0"/>
              <w:spacing w:before="120" w:after="120"/>
              <w:ind w:right="36"/>
              <w:jc w:val="both"/>
              <w:textAlignment w:val="baseline"/>
            </w:pPr>
            <w:r>
              <w:t>If the Contractor does not provide any of the policies and certificates required, the Employer may effect the insurance which the Contractor should have provided and recover the premiums the Employer has paid from payments otherwise due to the Contractor or, if no payment is due, the payment of the premiums shall be a debt due.</w:t>
            </w:r>
          </w:p>
          <w:p w14:paraId="6F7C57A2">
            <w:pPr>
              <w:numPr>
                <w:ilvl w:val="1"/>
                <w:numId w:val="65"/>
              </w:numPr>
              <w:suppressAutoHyphens/>
              <w:overflowPunct w:val="0"/>
              <w:autoSpaceDE w:val="0"/>
              <w:autoSpaceDN w:val="0"/>
              <w:adjustRightInd w:val="0"/>
              <w:spacing w:before="120" w:after="120"/>
              <w:ind w:right="36"/>
              <w:jc w:val="both"/>
              <w:textAlignment w:val="baseline"/>
            </w:pPr>
            <w:r>
              <w:t>Alterations to the terms of an insurance shall not be made without the approval of the Project Manager.</w:t>
            </w:r>
          </w:p>
          <w:p w14:paraId="103AE6B4">
            <w:pPr>
              <w:numPr>
                <w:ilvl w:val="1"/>
                <w:numId w:val="65"/>
              </w:numPr>
              <w:suppressAutoHyphens/>
              <w:overflowPunct w:val="0"/>
              <w:autoSpaceDE w:val="0"/>
              <w:autoSpaceDN w:val="0"/>
              <w:adjustRightInd w:val="0"/>
              <w:spacing w:before="120" w:after="120"/>
              <w:ind w:right="36"/>
              <w:jc w:val="both"/>
              <w:textAlignment w:val="baseline"/>
            </w:pPr>
            <w:r>
              <w:t>Both parties shall comply with any conditions of the insurance policies.</w:t>
            </w:r>
          </w:p>
        </w:tc>
      </w:tr>
      <w:tr w14:paraId="485AF735">
        <w:tblPrEx>
          <w:tblCellMar>
            <w:top w:w="0" w:type="dxa"/>
            <w:left w:w="108" w:type="dxa"/>
            <w:bottom w:w="0" w:type="dxa"/>
            <w:right w:w="108" w:type="dxa"/>
          </w:tblCellMar>
        </w:tblPrEx>
        <w:tc>
          <w:tcPr>
            <w:tcW w:w="2160" w:type="dxa"/>
            <w:tcBorders>
              <w:top w:val="nil"/>
              <w:left w:val="nil"/>
              <w:bottom w:val="nil"/>
              <w:right w:val="nil"/>
            </w:tcBorders>
          </w:tcPr>
          <w:p w14:paraId="3076E4F6">
            <w:pPr>
              <w:pStyle w:val="205"/>
              <w:numPr>
                <w:ilvl w:val="0"/>
                <w:numId w:val="65"/>
              </w:numPr>
              <w:tabs>
                <w:tab w:val="clear" w:pos="540"/>
                <w:tab w:val="clear" w:pos="360"/>
              </w:tabs>
              <w:spacing w:before="120" w:after="120"/>
              <w:ind w:left="360" w:hanging="360"/>
            </w:pPr>
            <w:bookmarkStart w:id="593" w:name="_Toc333923237"/>
            <w:bookmarkStart w:id="594" w:name="_Toc29906895"/>
            <w:bookmarkStart w:id="595" w:name="_Toc497228221"/>
            <w:r>
              <w:t>Site Data</w:t>
            </w:r>
            <w:bookmarkEnd w:id="593"/>
            <w:bookmarkEnd w:id="594"/>
            <w:bookmarkEnd w:id="595"/>
          </w:p>
        </w:tc>
        <w:tc>
          <w:tcPr>
            <w:tcW w:w="6989" w:type="dxa"/>
            <w:gridSpan w:val="3"/>
            <w:tcBorders>
              <w:top w:val="nil"/>
              <w:left w:val="nil"/>
              <w:bottom w:val="nil"/>
              <w:right w:val="nil"/>
            </w:tcBorders>
          </w:tcPr>
          <w:p w14:paraId="5C3A6C56">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be deemed to have examined any Site Data </w:t>
            </w:r>
            <w:r>
              <w:rPr>
                <w:b/>
              </w:rPr>
              <w:t>referred to in the PCC</w:t>
            </w:r>
            <w:r>
              <w:t>, supplemented by any information available to the Contractor.</w:t>
            </w:r>
          </w:p>
        </w:tc>
      </w:tr>
      <w:tr w14:paraId="4867ABF1">
        <w:tblPrEx>
          <w:tblCellMar>
            <w:top w:w="0" w:type="dxa"/>
            <w:left w:w="108" w:type="dxa"/>
            <w:bottom w:w="0" w:type="dxa"/>
            <w:right w:w="108" w:type="dxa"/>
          </w:tblCellMar>
        </w:tblPrEx>
        <w:tc>
          <w:tcPr>
            <w:tcW w:w="2160" w:type="dxa"/>
            <w:tcBorders>
              <w:top w:val="nil"/>
              <w:left w:val="nil"/>
              <w:bottom w:val="nil"/>
              <w:right w:val="nil"/>
            </w:tcBorders>
          </w:tcPr>
          <w:p w14:paraId="64CA8F88">
            <w:pPr>
              <w:pStyle w:val="205"/>
              <w:numPr>
                <w:ilvl w:val="0"/>
                <w:numId w:val="65"/>
              </w:numPr>
              <w:tabs>
                <w:tab w:val="clear" w:pos="540"/>
                <w:tab w:val="clear" w:pos="360"/>
              </w:tabs>
              <w:spacing w:before="120" w:after="120"/>
              <w:ind w:left="360" w:hanging="360"/>
            </w:pPr>
            <w:bookmarkStart w:id="596" w:name="_Toc333923238"/>
            <w:bookmarkStart w:id="597" w:name="_Toc29906896"/>
            <w:bookmarkStart w:id="598" w:name="_Toc497228222"/>
            <w:r>
              <w:t>Contractor to Construct the Works</w:t>
            </w:r>
            <w:bookmarkEnd w:id="596"/>
            <w:bookmarkEnd w:id="597"/>
            <w:bookmarkEnd w:id="598"/>
          </w:p>
        </w:tc>
        <w:tc>
          <w:tcPr>
            <w:tcW w:w="6989" w:type="dxa"/>
            <w:gridSpan w:val="3"/>
            <w:tcBorders>
              <w:top w:val="nil"/>
              <w:left w:val="nil"/>
              <w:bottom w:val="nil"/>
              <w:right w:val="nil"/>
            </w:tcBorders>
          </w:tcPr>
          <w:p w14:paraId="49F14818">
            <w:pPr>
              <w:numPr>
                <w:ilvl w:val="1"/>
                <w:numId w:val="65"/>
              </w:numPr>
              <w:suppressAutoHyphens/>
              <w:overflowPunct w:val="0"/>
              <w:autoSpaceDE w:val="0"/>
              <w:autoSpaceDN w:val="0"/>
              <w:adjustRightInd w:val="0"/>
              <w:spacing w:before="120" w:after="120"/>
              <w:ind w:right="36"/>
              <w:jc w:val="both"/>
              <w:textAlignment w:val="baseline"/>
            </w:pPr>
            <w:r>
              <w:t>The Contractor shall construct and install the Works in accordance with the Specifications and Drawings.</w:t>
            </w:r>
          </w:p>
        </w:tc>
      </w:tr>
      <w:tr w14:paraId="73A5B1AF">
        <w:tblPrEx>
          <w:tblCellMar>
            <w:top w:w="0" w:type="dxa"/>
            <w:left w:w="108" w:type="dxa"/>
            <w:bottom w:w="0" w:type="dxa"/>
            <w:right w:w="108" w:type="dxa"/>
          </w:tblCellMar>
        </w:tblPrEx>
        <w:tc>
          <w:tcPr>
            <w:tcW w:w="2160" w:type="dxa"/>
            <w:tcBorders>
              <w:top w:val="nil"/>
              <w:left w:val="nil"/>
              <w:bottom w:val="nil"/>
              <w:right w:val="nil"/>
            </w:tcBorders>
          </w:tcPr>
          <w:p w14:paraId="4C3C139E">
            <w:pPr>
              <w:pStyle w:val="205"/>
              <w:numPr>
                <w:ilvl w:val="0"/>
                <w:numId w:val="65"/>
              </w:numPr>
              <w:tabs>
                <w:tab w:val="clear" w:pos="540"/>
                <w:tab w:val="clear" w:pos="360"/>
              </w:tabs>
              <w:spacing w:before="120" w:after="120"/>
              <w:ind w:left="360" w:hanging="360"/>
            </w:pPr>
            <w:bookmarkStart w:id="599" w:name="_Toc29906897"/>
            <w:bookmarkStart w:id="600" w:name="_Toc333923239"/>
            <w:bookmarkStart w:id="601" w:name="_Toc497228223"/>
            <w:r>
              <w:t>The Works to Be Completed by the Intended Completion Date</w:t>
            </w:r>
            <w:bookmarkEnd w:id="599"/>
            <w:bookmarkEnd w:id="600"/>
            <w:bookmarkEnd w:id="601"/>
          </w:p>
        </w:tc>
        <w:tc>
          <w:tcPr>
            <w:tcW w:w="6989" w:type="dxa"/>
            <w:gridSpan w:val="3"/>
            <w:tcBorders>
              <w:top w:val="nil"/>
              <w:left w:val="nil"/>
              <w:bottom w:val="nil"/>
              <w:right w:val="nil"/>
            </w:tcBorders>
          </w:tcPr>
          <w:p w14:paraId="37C970C9">
            <w:pPr>
              <w:numPr>
                <w:ilvl w:val="1"/>
                <w:numId w:val="65"/>
              </w:numPr>
              <w:suppressAutoHyphens/>
              <w:overflowPunct w:val="0"/>
              <w:autoSpaceDE w:val="0"/>
              <w:autoSpaceDN w:val="0"/>
              <w:adjustRightInd w:val="0"/>
              <w:spacing w:before="120" w:after="120"/>
              <w:ind w:right="36"/>
              <w:jc w:val="both"/>
              <w:textAlignment w:val="baseline"/>
            </w:pPr>
            <w:r>
              <w:t>The Contractor may commence execution of the Works on the Start Date and shall carry out the Works in accordance with the Program submitted by the Contractor, as updated with the approval of the Project Manager, and complete them by the Intended Completion Date.</w:t>
            </w:r>
          </w:p>
          <w:p w14:paraId="45F8A76F">
            <w:pPr>
              <w:pStyle w:val="176"/>
              <w:numPr>
                <w:ilvl w:val="1"/>
                <w:numId w:val="65"/>
              </w:numPr>
              <w:spacing w:before="120" w:after="120"/>
              <w:ind w:right="-72"/>
              <w:contextualSpacing w:val="0"/>
              <w:rPr>
                <w:rFonts w:eastAsia="Arial Narrow"/>
                <w:color w:val="000000"/>
              </w:rPr>
            </w:pPr>
            <w:r>
              <w:rPr>
                <w:rFonts w:eastAsia="Arial Narrow"/>
                <w:color w:val="000000"/>
              </w:rPr>
              <w:t xml:space="preserve">The Contractor shall not carry out mobilization to the Site unless the Project Manager gives approval, an approval that shall not be unreasonably delayed, to the measures the Contractor proposes to address environmental and social   risks and impacts, which at a minimum shall include applying the Management Strategies and Implementation Plans (MSIPs) and Code of Conduct for Contractor’s Personnel submitted as part of the Bid and agreed as part of the Contract. </w:t>
            </w:r>
          </w:p>
          <w:p w14:paraId="6F3C340C">
            <w:pPr>
              <w:suppressAutoHyphens/>
              <w:overflowPunct w:val="0"/>
              <w:autoSpaceDE w:val="0"/>
              <w:autoSpaceDN w:val="0"/>
              <w:adjustRightInd w:val="0"/>
              <w:spacing w:before="120" w:after="120"/>
              <w:ind w:left="540" w:right="36"/>
              <w:jc w:val="both"/>
              <w:textAlignment w:val="baseline"/>
            </w:pPr>
            <w:r>
              <w:rPr>
                <w:rFonts w:eastAsia="Arial Narrow"/>
                <w:color w:val="000000"/>
              </w:rPr>
              <w:t xml:space="preserve">The Contractor shall submit, to the Project Manager for its approval  any additional MSIPs as are necessary to manage the ES risks and impacts of ongoing Works. These MSIPs collectively comprise the Contractor’s Environmental and Social Management Plan (C-ESMP). The </w:t>
            </w:r>
            <w:r>
              <w:rPr>
                <w:szCs w:val="20"/>
              </w:rPr>
              <w:t>Contractor</w:t>
            </w:r>
            <w:r>
              <w:rPr>
                <w:rFonts w:eastAsia="Arial Narrow"/>
                <w:color w:val="000000"/>
              </w:rPr>
              <w:t xml:space="preserve"> shall review the C-ESMP, periodically (but not less than every six (6) months), and update it as required to ensure that it contains measures appropriate to the Works. The updated C-ESMP shall be submitted to the Project Manager for its approval.</w:t>
            </w:r>
          </w:p>
        </w:tc>
      </w:tr>
      <w:tr w14:paraId="7B179EC2">
        <w:tblPrEx>
          <w:tblCellMar>
            <w:top w:w="0" w:type="dxa"/>
            <w:left w:w="108" w:type="dxa"/>
            <w:bottom w:w="0" w:type="dxa"/>
            <w:right w:w="108" w:type="dxa"/>
          </w:tblCellMar>
        </w:tblPrEx>
        <w:tc>
          <w:tcPr>
            <w:tcW w:w="2160" w:type="dxa"/>
            <w:tcBorders>
              <w:top w:val="nil"/>
              <w:left w:val="nil"/>
              <w:bottom w:val="nil"/>
              <w:right w:val="nil"/>
            </w:tcBorders>
          </w:tcPr>
          <w:p w14:paraId="369E7432">
            <w:pPr>
              <w:pStyle w:val="205"/>
              <w:numPr>
                <w:ilvl w:val="0"/>
                <w:numId w:val="65"/>
              </w:numPr>
              <w:tabs>
                <w:tab w:val="clear" w:pos="540"/>
                <w:tab w:val="clear" w:pos="360"/>
              </w:tabs>
              <w:spacing w:before="120" w:after="120"/>
              <w:ind w:left="360" w:hanging="360"/>
            </w:pPr>
            <w:bookmarkStart w:id="602" w:name="_Toc29906898"/>
            <w:bookmarkStart w:id="603" w:name="_Toc333923240"/>
            <w:bookmarkStart w:id="604" w:name="_Toc497228224"/>
            <w:r>
              <w:t>Approval by the Project Manager</w:t>
            </w:r>
            <w:bookmarkEnd w:id="602"/>
            <w:bookmarkEnd w:id="603"/>
            <w:bookmarkEnd w:id="604"/>
          </w:p>
        </w:tc>
        <w:tc>
          <w:tcPr>
            <w:tcW w:w="6989" w:type="dxa"/>
            <w:gridSpan w:val="3"/>
            <w:tcBorders>
              <w:top w:val="nil"/>
              <w:left w:val="nil"/>
              <w:bottom w:val="nil"/>
              <w:right w:val="nil"/>
            </w:tcBorders>
          </w:tcPr>
          <w:p w14:paraId="77DC721C">
            <w:pPr>
              <w:numPr>
                <w:ilvl w:val="1"/>
                <w:numId w:val="65"/>
              </w:numPr>
              <w:suppressAutoHyphens/>
              <w:overflowPunct w:val="0"/>
              <w:autoSpaceDE w:val="0"/>
              <w:autoSpaceDN w:val="0"/>
              <w:adjustRightInd w:val="0"/>
              <w:spacing w:before="120" w:after="120"/>
              <w:ind w:right="36"/>
              <w:jc w:val="both"/>
              <w:textAlignment w:val="baseline"/>
            </w:pPr>
            <w:r>
              <w:t>The Contractor shall submit Specifications and Drawings showing the proposed Temporary Works to the Project Manager, for his approval.</w:t>
            </w:r>
          </w:p>
          <w:p w14:paraId="5F12951B">
            <w:pPr>
              <w:numPr>
                <w:ilvl w:val="1"/>
                <w:numId w:val="65"/>
              </w:numPr>
              <w:suppressAutoHyphens/>
              <w:overflowPunct w:val="0"/>
              <w:autoSpaceDE w:val="0"/>
              <w:autoSpaceDN w:val="0"/>
              <w:adjustRightInd w:val="0"/>
              <w:spacing w:before="120" w:after="120"/>
              <w:ind w:right="36"/>
              <w:jc w:val="both"/>
              <w:textAlignment w:val="baseline"/>
            </w:pPr>
            <w:r>
              <w:t>The Contractor shall be responsible for design of Temporary Works.</w:t>
            </w:r>
          </w:p>
          <w:p w14:paraId="66EF0D3D">
            <w:pPr>
              <w:numPr>
                <w:ilvl w:val="1"/>
                <w:numId w:val="65"/>
              </w:numPr>
              <w:suppressAutoHyphens/>
              <w:overflowPunct w:val="0"/>
              <w:autoSpaceDE w:val="0"/>
              <w:autoSpaceDN w:val="0"/>
              <w:adjustRightInd w:val="0"/>
              <w:spacing w:before="120" w:after="120"/>
              <w:ind w:right="36"/>
              <w:jc w:val="both"/>
              <w:textAlignment w:val="baseline"/>
            </w:pPr>
            <w:r>
              <w:t>The Project Manager’s approval shall not alter the Contractor’s responsibility for design of the Temporary Works.</w:t>
            </w:r>
          </w:p>
          <w:p w14:paraId="7BDBD498">
            <w:pPr>
              <w:numPr>
                <w:ilvl w:val="1"/>
                <w:numId w:val="65"/>
              </w:numPr>
              <w:suppressAutoHyphens/>
              <w:overflowPunct w:val="0"/>
              <w:autoSpaceDE w:val="0"/>
              <w:autoSpaceDN w:val="0"/>
              <w:adjustRightInd w:val="0"/>
              <w:spacing w:before="120" w:after="120"/>
              <w:ind w:right="36"/>
              <w:jc w:val="both"/>
              <w:textAlignment w:val="baseline"/>
            </w:pPr>
            <w:r>
              <w:t>The Contractor shall obtain approval of third parties to the design of the Temporary Works, where required.</w:t>
            </w:r>
          </w:p>
          <w:p w14:paraId="3B77B997">
            <w:pPr>
              <w:numPr>
                <w:ilvl w:val="1"/>
                <w:numId w:val="65"/>
              </w:numPr>
              <w:suppressAutoHyphens/>
              <w:overflowPunct w:val="0"/>
              <w:autoSpaceDE w:val="0"/>
              <w:autoSpaceDN w:val="0"/>
              <w:adjustRightInd w:val="0"/>
              <w:spacing w:before="120" w:after="120"/>
              <w:ind w:right="36"/>
              <w:jc w:val="both"/>
              <w:textAlignment w:val="baseline"/>
            </w:pPr>
            <w:r>
              <w:t>All Drawings prepared by the Contractor for the execution of the temporary or permanent Works, are subject to prior approval by the Project Manager before this use.</w:t>
            </w:r>
          </w:p>
        </w:tc>
      </w:tr>
      <w:tr w14:paraId="5EB00EB5">
        <w:tblPrEx>
          <w:tblCellMar>
            <w:top w:w="0" w:type="dxa"/>
            <w:left w:w="108" w:type="dxa"/>
            <w:bottom w:w="0" w:type="dxa"/>
            <w:right w:w="108" w:type="dxa"/>
          </w:tblCellMar>
        </w:tblPrEx>
        <w:tc>
          <w:tcPr>
            <w:tcW w:w="2160" w:type="dxa"/>
            <w:tcBorders>
              <w:top w:val="nil"/>
              <w:left w:val="nil"/>
              <w:bottom w:val="nil"/>
              <w:right w:val="nil"/>
            </w:tcBorders>
          </w:tcPr>
          <w:p w14:paraId="54326E90">
            <w:pPr>
              <w:pStyle w:val="205"/>
              <w:numPr>
                <w:ilvl w:val="0"/>
                <w:numId w:val="65"/>
              </w:numPr>
              <w:tabs>
                <w:tab w:val="clear" w:pos="540"/>
                <w:tab w:val="clear" w:pos="360"/>
              </w:tabs>
              <w:spacing w:before="120" w:after="120"/>
              <w:ind w:left="360" w:hanging="360"/>
            </w:pPr>
            <w:bookmarkStart w:id="605" w:name="_Toc454910109"/>
            <w:bookmarkStart w:id="606" w:name="_Toc497228225"/>
            <w:bookmarkStart w:id="607" w:name="_Toc29906899"/>
            <w:r>
              <w:t>Health, Safety</w:t>
            </w:r>
            <w:bookmarkEnd w:id="605"/>
            <w:r>
              <w:t xml:space="preserve"> and Protection of the Environment</w:t>
            </w:r>
            <w:bookmarkEnd w:id="606"/>
            <w:bookmarkEnd w:id="607"/>
          </w:p>
        </w:tc>
        <w:tc>
          <w:tcPr>
            <w:tcW w:w="6989" w:type="dxa"/>
            <w:gridSpan w:val="3"/>
            <w:tcBorders>
              <w:top w:val="nil"/>
              <w:left w:val="nil"/>
              <w:bottom w:val="nil"/>
              <w:right w:val="nil"/>
            </w:tcBorders>
          </w:tcPr>
          <w:p w14:paraId="2DC86E58">
            <w:pPr>
              <w:numPr>
                <w:ilvl w:val="1"/>
                <w:numId w:val="65"/>
              </w:numPr>
              <w:suppressAutoHyphens/>
              <w:overflowPunct w:val="0"/>
              <w:autoSpaceDE w:val="0"/>
              <w:autoSpaceDN w:val="0"/>
              <w:adjustRightInd w:val="0"/>
              <w:spacing w:before="120" w:after="120"/>
              <w:ind w:right="36"/>
              <w:jc w:val="both"/>
              <w:textAlignment w:val="baseline"/>
            </w:pPr>
            <w:r>
              <w:t>The Contractor shall be responsible for the safety of all activities on the Site.</w:t>
            </w:r>
          </w:p>
          <w:p w14:paraId="7D3DEC40">
            <w:pPr>
              <w:numPr>
                <w:ilvl w:val="1"/>
                <w:numId w:val="65"/>
              </w:numPr>
              <w:suppressAutoHyphens/>
              <w:overflowPunct w:val="0"/>
              <w:autoSpaceDE w:val="0"/>
              <w:autoSpaceDN w:val="0"/>
              <w:adjustRightInd w:val="0"/>
              <w:spacing w:before="120" w:after="120"/>
              <w:ind w:right="36"/>
              <w:jc w:val="both"/>
              <w:textAlignment w:val="baseline"/>
            </w:pPr>
            <w:r>
              <w:t>The Contractor shall:</w:t>
            </w:r>
          </w:p>
          <w:p w14:paraId="4B9D3BA0">
            <w:pPr>
              <w:numPr>
                <w:ilvl w:val="0"/>
                <w:numId w:val="76"/>
              </w:numPr>
              <w:spacing w:before="120" w:after="120"/>
              <w:jc w:val="both"/>
            </w:pPr>
            <w:r>
              <w:t>comply with all applicable health and safety regulations and Laws;</w:t>
            </w:r>
          </w:p>
          <w:p w14:paraId="6A054403">
            <w:pPr>
              <w:numPr>
                <w:ilvl w:val="0"/>
                <w:numId w:val="76"/>
              </w:numPr>
              <w:spacing w:before="120" w:after="120"/>
              <w:jc w:val="both"/>
            </w:pPr>
            <w:r>
              <w:t>comply with all applicable health and safety obligations specified in the Contract;</w:t>
            </w:r>
          </w:p>
          <w:p w14:paraId="670F0D97">
            <w:pPr>
              <w:numPr>
                <w:ilvl w:val="0"/>
                <w:numId w:val="76"/>
              </w:numPr>
              <w:spacing w:before="120" w:after="120"/>
              <w:jc w:val="both"/>
            </w:pPr>
            <w:r>
              <w:t>take care for the health and safety of all persons entitled to be on the Site and other places, if any, where the Works are being executed;</w:t>
            </w:r>
          </w:p>
          <w:p w14:paraId="47894647">
            <w:pPr>
              <w:numPr>
                <w:ilvl w:val="0"/>
                <w:numId w:val="76"/>
              </w:numPr>
              <w:spacing w:before="120" w:after="120"/>
              <w:jc w:val="both"/>
            </w:pPr>
            <w:r>
              <w:t xml:space="preserve"> keep the Site and Works clear of unnecessary obstruction so as to avoid danger to these persons;</w:t>
            </w:r>
          </w:p>
          <w:p w14:paraId="7859E543">
            <w:pPr>
              <w:numPr>
                <w:ilvl w:val="0"/>
                <w:numId w:val="76"/>
              </w:numPr>
              <w:spacing w:before="120" w:after="120"/>
              <w:jc w:val="both"/>
            </w:pPr>
            <w:r>
              <w:t xml:space="preserve">provide fencing, lighting, safe access, guarding and watching of: </w:t>
            </w:r>
          </w:p>
          <w:p w14:paraId="2BBD2285">
            <w:pPr>
              <w:pStyle w:val="176"/>
              <w:numPr>
                <w:ilvl w:val="0"/>
                <w:numId w:val="77"/>
              </w:numPr>
              <w:spacing w:before="120" w:after="120"/>
              <w:contextualSpacing w:val="0"/>
            </w:pPr>
            <w:r>
              <w:t xml:space="preserve">the Works until the Works are taken over by the Employer; and </w:t>
            </w:r>
          </w:p>
          <w:p w14:paraId="11E20071">
            <w:pPr>
              <w:pStyle w:val="176"/>
              <w:numPr>
                <w:ilvl w:val="0"/>
                <w:numId w:val="77"/>
              </w:numPr>
              <w:spacing w:before="120" w:after="120"/>
              <w:contextualSpacing w:val="0"/>
            </w:pPr>
            <w:r>
              <w:t>any part of the Works where the Contractor is executing outstanding works or remedying any defects during the Defects Liability Period; and</w:t>
            </w:r>
          </w:p>
          <w:p w14:paraId="2637A467">
            <w:pPr>
              <w:numPr>
                <w:ilvl w:val="0"/>
                <w:numId w:val="76"/>
              </w:numPr>
              <w:spacing w:before="120" w:after="120"/>
              <w:jc w:val="both"/>
            </w:pPr>
            <w:r>
              <w:t xml:space="preserve">provide any Temporary Works (including roadways, footways, guards and fences) which may be necessary, because of the execution of the Works, for the use and protection of the public and of owners and occupiers of adjacent land. </w:t>
            </w:r>
          </w:p>
          <w:p w14:paraId="3FAAC37B">
            <w:pPr>
              <w:numPr>
                <w:ilvl w:val="1"/>
                <w:numId w:val="65"/>
              </w:numPr>
              <w:suppressAutoHyphens/>
              <w:overflowPunct w:val="0"/>
              <w:autoSpaceDE w:val="0"/>
              <w:autoSpaceDN w:val="0"/>
              <w:adjustRightInd w:val="0"/>
              <w:spacing w:before="120" w:after="120"/>
              <w:ind w:right="36"/>
              <w:jc w:val="both"/>
              <w:textAlignment w:val="baseline"/>
              <w:rPr>
                <w:szCs w:val="20"/>
              </w:rPr>
            </w:pPr>
            <w:r>
              <w:t>Protection of the environment</w:t>
            </w:r>
          </w:p>
          <w:p w14:paraId="151A2B24">
            <w:pPr>
              <w:pStyle w:val="176"/>
              <w:spacing w:before="120" w:after="120"/>
              <w:ind w:left="540" w:right="-72"/>
              <w:contextualSpacing w:val="0"/>
              <w:rPr>
                <w:rFonts w:eastAsia="Arial Narrow"/>
              </w:rPr>
            </w:pPr>
            <w:r>
              <w:rPr>
                <w:rFonts w:eastAsia="Arial Narrow"/>
              </w:rPr>
              <w:t>The Contractor shall take all necessary measures to:</w:t>
            </w:r>
          </w:p>
          <w:p w14:paraId="27F5B54F">
            <w:pPr>
              <w:numPr>
                <w:ilvl w:val="0"/>
                <w:numId w:val="78"/>
              </w:numPr>
              <w:suppressAutoHyphens/>
              <w:overflowPunct w:val="0"/>
              <w:autoSpaceDE w:val="0"/>
              <w:autoSpaceDN w:val="0"/>
              <w:adjustRightInd w:val="0"/>
              <w:spacing w:before="120" w:after="120"/>
              <w:ind w:right="36"/>
              <w:jc w:val="both"/>
              <w:textAlignment w:val="baseline"/>
              <w:rPr>
                <w:rFonts w:eastAsia="Arial Narrow"/>
              </w:rPr>
            </w:pPr>
            <w:r>
              <w:t>protect</w:t>
            </w:r>
            <w:r>
              <w:rPr>
                <w:rFonts w:eastAsia="Arial Narrow"/>
              </w:rPr>
              <w:t xml:space="preserve"> the environment (both on and off the Site); and </w:t>
            </w:r>
          </w:p>
          <w:p w14:paraId="18395824">
            <w:pPr>
              <w:numPr>
                <w:ilvl w:val="0"/>
                <w:numId w:val="78"/>
              </w:numPr>
              <w:suppressAutoHyphens/>
              <w:overflowPunct w:val="0"/>
              <w:autoSpaceDE w:val="0"/>
              <w:autoSpaceDN w:val="0"/>
              <w:adjustRightInd w:val="0"/>
              <w:spacing w:before="120" w:after="120"/>
              <w:ind w:right="36"/>
              <w:jc w:val="both"/>
              <w:textAlignment w:val="baseline"/>
              <w:rPr>
                <w:rFonts w:eastAsia="Arial Narrow"/>
              </w:rPr>
            </w:pPr>
            <w:r>
              <w:rPr>
                <w:rFonts w:eastAsia="Arial Narrow"/>
              </w:rPr>
              <w:t>limit damage and nuisance to people and property resulting from pollution, noise and other results of the Contractor’s operations and/ or activities.</w:t>
            </w:r>
          </w:p>
          <w:p w14:paraId="6AF718A5">
            <w:pPr>
              <w:spacing w:before="120" w:after="120"/>
              <w:ind w:left="512"/>
              <w:jc w:val="both"/>
              <w:rPr>
                <w:rFonts w:eastAsia="Arial Narrow"/>
              </w:rPr>
            </w:pPr>
            <w:r>
              <w:rPr>
                <w:rFonts w:eastAsia="Arial Narrow"/>
              </w:rPr>
              <w:t>The Contractor shall ensure that emissions, surface discharges, effluent and any other pollutants from the Contractor’s activities shall exceed neither the values indicated in the Specification, nor those prescribed by applicable laws.</w:t>
            </w:r>
          </w:p>
          <w:p w14:paraId="24795B4B">
            <w:pPr>
              <w:suppressAutoHyphens/>
              <w:overflowPunct w:val="0"/>
              <w:autoSpaceDE w:val="0"/>
              <w:autoSpaceDN w:val="0"/>
              <w:adjustRightInd w:val="0"/>
              <w:spacing w:before="120" w:after="120"/>
              <w:ind w:left="529" w:right="36"/>
              <w:jc w:val="both"/>
              <w:textAlignment w:val="baseline"/>
              <w:rPr>
                <w:szCs w:val="20"/>
              </w:rPr>
            </w:pPr>
            <w:r>
              <w:rPr>
                <w:rFonts w:eastAsia="Arial Narrow"/>
              </w:rPr>
              <w:t>In the event of damage to the environment, property and/or nuisance to people, on or off Site as a result of the Contractor’s operations, the Contractor shall agree with the Project Manager  the appropriate actions and time scale to remedy, as practicable, the damaged environment to its former condition. The Contractor shall implement such remedies at its cost to the satisfaction of the Project Manager</w:t>
            </w:r>
          </w:p>
        </w:tc>
      </w:tr>
      <w:tr w14:paraId="10095735">
        <w:tblPrEx>
          <w:tblCellMar>
            <w:top w:w="0" w:type="dxa"/>
            <w:left w:w="108" w:type="dxa"/>
            <w:bottom w:w="0" w:type="dxa"/>
            <w:right w:w="108" w:type="dxa"/>
          </w:tblCellMar>
        </w:tblPrEx>
        <w:tc>
          <w:tcPr>
            <w:tcW w:w="2160" w:type="dxa"/>
            <w:tcBorders>
              <w:top w:val="nil"/>
              <w:left w:val="nil"/>
              <w:bottom w:val="nil"/>
              <w:right w:val="nil"/>
            </w:tcBorders>
          </w:tcPr>
          <w:p w14:paraId="23311404">
            <w:pPr>
              <w:pStyle w:val="205"/>
              <w:numPr>
                <w:ilvl w:val="0"/>
                <w:numId w:val="65"/>
              </w:numPr>
              <w:tabs>
                <w:tab w:val="clear" w:pos="540"/>
                <w:tab w:val="clear" w:pos="360"/>
              </w:tabs>
              <w:spacing w:before="120" w:after="120"/>
              <w:ind w:left="360" w:hanging="360"/>
            </w:pPr>
            <w:bookmarkStart w:id="608" w:name="_Toc29906900"/>
            <w:r>
              <w:t>Archaeological and Geological Findings</w:t>
            </w:r>
            <w:bookmarkEnd w:id="608"/>
          </w:p>
        </w:tc>
        <w:tc>
          <w:tcPr>
            <w:tcW w:w="6989" w:type="dxa"/>
            <w:gridSpan w:val="3"/>
            <w:tcBorders>
              <w:top w:val="nil"/>
              <w:left w:val="nil"/>
              <w:bottom w:val="nil"/>
              <w:right w:val="nil"/>
            </w:tcBorders>
          </w:tcPr>
          <w:p w14:paraId="2CD9A443">
            <w:pPr>
              <w:pStyle w:val="176"/>
              <w:numPr>
                <w:ilvl w:val="1"/>
                <w:numId w:val="65"/>
              </w:numPr>
              <w:spacing w:before="120" w:after="120"/>
              <w:ind w:right="-72"/>
              <w:contextualSpacing w:val="0"/>
              <w:rPr>
                <w:rFonts w:eastAsia="Arial Narrow"/>
              </w:rPr>
            </w:pPr>
            <w:r>
              <w:t xml:space="preserve">All </w:t>
            </w:r>
            <w:r>
              <w:rPr>
                <w:rFonts w:eastAsia="Arial Narrow"/>
              </w:rPr>
              <w:t>fossils, coins, articles of value or antiquity, structures, groups of structures, and other remains or items of geological, archaeological, paleontological, historical, architectural or religious interest found on the Site shall be placed under the care and custody of the Employer. The Contractor shall:</w:t>
            </w:r>
          </w:p>
          <w:p w14:paraId="347F6AC5">
            <w:pPr>
              <w:numPr>
                <w:ilvl w:val="0"/>
                <w:numId w:val="79"/>
              </w:numPr>
              <w:spacing w:before="120" w:after="120"/>
              <w:ind w:left="1142" w:hanging="540"/>
              <w:rPr>
                <w:rFonts w:eastAsia="Arial Narrow"/>
                <w:szCs w:val="20"/>
              </w:rPr>
            </w:pPr>
            <w:r>
              <w:rPr>
                <w:rFonts w:eastAsia="Arial Narrow"/>
                <w:szCs w:val="20"/>
              </w:rPr>
              <w:t xml:space="preserve">take all reasonable precautions, including fencing-off the area or site of the finding, to avoid further disturbance and prevent Contractor’s Personnel or other persons from removing or damaging any of these findings; </w:t>
            </w:r>
          </w:p>
          <w:p w14:paraId="172FC589">
            <w:pPr>
              <w:numPr>
                <w:ilvl w:val="0"/>
                <w:numId w:val="79"/>
              </w:numPr>
              <w:spacing w:before="120" w:after="120"/>
              <w:ind w:left="1142" w:hanging="540"/>
              <w:rPr>
                <w:rFonts w:eastAsia="Arial Narrow"/>
                <w:szCs w:val="20"/>
              </w:rPr>
            </w:pPr>
            <w:r>
              <w:rPr>
                <w:rFonts w:eastAsia="Arial Narrow"/>
                <w:szCs w:val="20"/>
              </w:rPr>
              <w:t>train relevant Contractor’s Personnel on appropriate actions to be taken in the event of such findings; and</w:t>
            </w:r>
          </w:p>
          <w:p w14:paraId="1EB9D491">
            <w:pPr>
              <w:numPr>
                <w:ilvl w:val="0"/>
                <w:numId w:val="79"/>
              </w:numPr>
              <w:spacing w:before="120" w:after="120"/>
              <w:ind w:left="1142" w:right="-72" w:hanging="540"/>
              <w:jc w:val="both"/>
              <w:rPr>
                <w:szCs w:val="20"/>
              </w:rPr>
            </w:pPr>
            <w:r>
              <w:rPr>
                <w:rFonts w:eastAsia="Arial Narrow"/>
                <w:szCs w:val="20"/>
              </w:rPr>
              <w:t>implement any other action consistent with the requirements of the Specifications and relevant laws</w:t>
            </w:r>
            <w:r>
              <w:rPr>
                <w:szCs w:val="20"/>
              </w:rPr>
              <w:t xml:space="preserve">. </w:t>
            </w:r>
          </w:p>
          <w:p w14:paraId="5A1C7034">
            <w:pPr>
              <w:suppressAutoHyphens/>
              <w:overflowPunct w:val="0"/>
              <w:autoSpaceDE w:val="0"/>
              <w:autoSpaceDN w:val="0"/>
              <w:adjustRightInd w:val="0"/>
              <w:spacing w:before="120" w:after="120"/>
              <w:ind w:left="529" w:right="36"/>
              <w:jc w:val="both"/>
              <w:textAlignment w:val="baseline"/>
            </w:pPr>
            <w:r>
              <w:rPr>
                <w:rFonts w:eastAsia="Arial Narrow"/>
                <w:szCs w:val="20"/>
              </w:rPr>
              <w:t>The Contractor shall, as soon as practicable after discovery of any such finding, notify the Project Manager of such discoveries and carry out the Project Manager’s instructions for dealing with them.</w:t>
            </w:r>
            <w:r>
              <w:t>.</w:t>
            </w:r>
          </w:p>
        </w:tc>
      </w:tr>
      <w:tr w14:paraId="778551F1">
        <w:tblPrEx>
          <w:tblCellMar>
            <w:top w:w="0" w:type="dxa"/>
            <w:left w:w="108" w:type="dxa"/>
            <w:bottom w:w="0" w:type="dxa"/>
            <w:right w:w="108" w:type="dxa"/>
          </w:tblCellMar>
        </w:tblPrEx>
        <w:tc>
          <w:tcPr>
            <w:tcW w:w="2160" w:type="dxa"/>
            <w:tcBorders>
              <w:top w:val="nil"/>
              <w:left w:val="nil"/>
              <w:right w:val="nil"/>
            </w:tcBorders>
          </w:tcPr>
          <w:p w14:paraId="51633756">
            <w:pPr>
              <w:pStyle w:val="205"/>
              <w:numPr>
                <w:ilvl w:val="0"/>
                <w:numId w:val="65"/>
              </w:numPr>
              <w:tabs>
                <w:tab w:val="clear" w:pos="540"/>
                <w:tab w:val="clear" w:pos="360"/>
              </w:tabs>
              <w:spacing w:before="120" w:after="120"/>
              <w:ind w:left="360" w:hanging="360"/>
            </w:pPr>
            <w:bookmarkStart w:id="609" w:name="_Toc497228227"/>
            <w:bookmarkStart w:id="610" w:name="_Toc333923243"/>
            <w:bookmarkStart w:id="611" w:name="_Toc29906901"/>
            <w:r>
              <w:t>Possession of the Site</w:t>
            </w:r>
            <w:bookmarkEnd w:id="609"/>
            <w:bookmarkEnd w:id="610"/>
            <w:bookmarkEnd w:id="611"/>
          </w:p>
        </w:tc>
        <w:tc>
          <w:tcPr>
            <w:tcW w:w="6989" w:type="dxa"/>
            <w:gridSpan w:val="3"/>
            <w:tcBorders>
              <w:top w:val="nil"/>
              <w:left w:val="nil"/>
              <w:right w:val="nil"/>
            </w:tcBorders>
          </w:tcPr>
          <w:p w14:paraId="664EC917">
            <w:pPr>
              <w:numPr>
                <w:ilvl w:val="1"/>
                <w:numId w:val="65"/>
              </w:numPr>
              <w:suppressAutoHyphens/>
              <w:overflowPunct w:val="0"/>
              <w:autoSpaceDE w:val="0"/>
              <w:autoSpaceDN w:val="0"/>
              <w:adjustRightInd w:val="0"/>
              <w:spacing w:before="120" w:after="120"/>
              <w:ind w:right="36"/>
              <w:jc w:val="both"/>
              <w:textAlignment w:val="baseline"/>
            </w:pPr>
            <w:r>
              <w:t xml:space="preserve">The Employer shall give possession of all parts of the Site to the Contractor.  If possession of a part is not given by the date </w:t>
            </w:r>
            <w:r>
              <w:rPr>
                <w:b/>
              </w:rPr>
              <w:t>stated in the PCC,</w:t>
            </w:r>
            <w:r>
              <w:t xml:space="preserve"> the Employer shall be deemed to have delayed the start of the relevant activities, and this shall be a Compensation Event.</w:t>
            </w:r>
          </w:p>
        </w:tc>
      </w:tr>
      <w:tr w14:paraId="3868039B">
        <w:tblPrEx>
          <w:tblCellMar>
            <w:top w:w="0" w:type="dxa"/>
            <w:left w:w="108" w:type="dxa"/>
            <w:bottom w:w="0" w:type="dxa"/>
            <w:right w:w="108" w:type="dxa"/>
          </w:tblCellMar>
        </w:tblPrEx>
        <w:tc>
          <w:tcPr>
            <w:tcW w:w="2160" w:type="dxa"/>
          </w:tcPr>
          <w:p w14:paraId="50A57B8B">
            <w:pPr>
              <w:pStyle w:val="205"/>
              <w:numPr>
                <w:ilvl w:val="0"/>
                <w:numId w:val="65"/>
              </w:numPr>
              <w:tabs>
                <w:tab w:val="clear" w:pos="540"/>
                <w:tab w:val="clear" w:pos="360"/>
              </w:tabs>
              <w:spacing w:before="120" w:after="120"/>
              <w:ind w:left="360" w:hanging="360"/>
            </w:pPr>
            <w:bookmarkStart w:id="612" w:name="_Toc497228228"/>
            <w:bookmarkStart w:id="613" w:name="_Toc29906902"/>
            <w:bookmarkStart w:id="614" w:name="_Toc333923244"/>
            <w:r>
              <w:t>Access to the Site</w:t>
            </w:r>
            <w:bookmarkEnd w:id="612"/>
            <w:bookmarkEnd w:id="613"/>
            <w:bookmarkEnd w:id="614"/>
          </w:p>
        </w:tc>
        <w:tc>
          <w:tcPr>
            <w:tcW w:w="6989" w:type="dxa"/>
            <w:gridSpan w:val="3"/>
          </w:tcPr>
          <w:p w14:paraId="77815A09">
            <w:pPr>
              <w:numPr>
                <w:ilvl w:val="1"/>
                <w:numId w:val="65"/>
              </w:numPr>
              <w:suppressAutoHyphens/>
              <w:overflowPunct w:val="0"/>
              <w:autoSpaceDE w:val="0"/>
              <w:autoSpaceDN w:val="0"/>
              <w:adjustRightInd w:val="0"/>
              <w:spacing w:before="120" w:after="120"/>
              <w:ind w:right="36"/>
              <w:jc w:val="both"/>
              <w:textAlignment w:val="baseline"/>
            </w:pPr>
            <w:r>
              <w:t>The Contractor shall allow the Project Manager and any person authorized by the Project Manager access to the Site and to any place where work in connection with the Contract is being carried out or is intended to be carried out.</w:t>
            </w:r>
          </w:p>
        </w:tc>
      </w:tr>
      <w:tr w14:paraId="5C26EB74">
        <w:tblPrEx>
          <w:tblCellMar>
            <w:top w:w="0" w:type="dxa"/>
            <w:left w:w="108" w:type="dxa"/>
            <w:bottom w:w="0" w:type="dxa"/>
            <w:right w:w="108" w:type="dxa"/>
          </w:tblCellMar>
        </w:tblPrEx>
        <w:tc>
          <w:tcPr>
            <w:tcW w:w="2160" w:type="dxa"/>
          </w:tcPr>
          <w:p w14:paraId="095F205D">
            <w:pPr>
              <w:pStyle w:val="205"/>
              <w:numPr>
                <w:ilvl w:val="0"/>
                <w:numId w:val="65"/>
              </w:numPr>
              <w:tabs>
                <w:tab w:val="clear" w:pos="540"/>
                <w:tab w:val="clear" w:pos="360"/>
              </w:tabs>
              <w:spacing w:before="120" w:after="120"/>
              <w:ind w:left="360" w:hanging="360"/>
            </w:pPr>
            <w:bookmarkStart w:id="615" w:name="_Toc29906903"/>
            <w:bookmarkStart w:id="616" w:name="_Toc497228229"/>
            <w:bookmarkStart w:id="617" w:name="_Toc333923245"/>
            <w:r>
              <w:t>Instructions, Inspections and Audits</w:t>
            </w:r>
            <w:bookmarkEnd w:id="615"/>
            <w:bookmarkEnd w:id="616"/>
            <w:bookmarkEnd w:id="617"/>
          </w:p>
        </w:tc>
        <w:tc>
          <w:tcPr>
            <w:tcW w:w="6989" w:type="dxa"/>
            <w:gridSpan w:val="3"/>
          </w:tcPr>
          <w:p w14:paraId="2169351A">
            <w:pPr>
              <w:numPr>
                <w:ilvl w:val="1"/>
                <w:numId w:val="65"/>
              </w:numPr>
              <w:suppressAutoHyphens/>
              <w:overflowPunct w:val="0"/>
              <w:autoSpaceDE w:val="0"/>
              <w:autoSpaceDN w:val="0"/>
              <w:adjustRightInd w:val="0"/>
              <w:spacing w:before="120" w:after="120"/>
              <w:ind w:right="36"/>
              <w:jc w:val="both"/>
              <w:textAlignment w:val="baseline"/>
            </w:pPr>
            <w:r>
              <w:t>The Contractor shall carry out all instructions of the Project Manager which comply with the applicable laws where the Site is located.</w:t>
            </w:r>
          </w:p>
        </w:tc>
      </w:tr>
      <w:tr w14:paraId="2E752CA9">
        <w:tblPrEx>
          <w:tblCellMar>
            <w:top w:w="0" w:type="dxa"/>
            <w:left w:w="108" w:type="dxa"/>
            <w:bottom w:w="0" w:type="dxa"/>
            <w:right w:w="108" w:type="dxa"/>
          </w:tblCellMar>
        </w:tblPrEx>
        <w:tc>
          <w:tcPr>
            <w:tcW w:w="2160" w:type="dxa"/>
          </w:tcPr>
          <w:p w14:paraId="5C23A624">
            <w:pPr>
              <w:pStyle w:val="205"/>
              <w:tabs>
                <w:tab w:val="clear" w:pos="360"/>
              </w:tabs>
              <w:spacing w:before="120" w:after="120"/>
            </w:pPr>
          </w:p>
        </w:tc>
        <w:tc>
          <w:tcPr>
            <w:tcW w:w="6989" w:type="dxa"/>
            <w:gridSpan w:val="3"/>
          </w:tcPr>
          <w:p w14:paraId="5EA9AD96">
            <w:pPr>
              <w:numPr>
                <w:ilvl w:val="1"/>
                <w:numId w:val="65"/>
              </w:numPr>
              <w:suppressAutoHyphens/>
              <w:overflowPunct w:val="0"/>
              <w:autoSpaceDE w:val="0"/>
              <w:autoSpaceDN w:val="0"/>
              <w:adjustRightInd w:val="0"/>
              <w:spacing w:before="120" w:after="120"/>
              <w:ind w:right="36"/>
              <w:jc w:val="both"/>
              <w:textAlignment w:val="baseline"/>
            </w:pPr>
            <w:r>
              <w:t>The Contractor shall keep, and shall make all reasonable efforts to cause its Subcontractors and subconsultants to keep, accurate and systematic accounts and records in respect of the Works in such form and details as will clearly identify relevant time changes and costs.</w:t>
            </w:r>
          </w:p>
        </w:tc>
      </w:tr>
      <w:tr w14:paraId="44B3F1D9">
        <w:tblPrEx>
          <w:tblCellMar>
            <w:top w:w="0" w:type="dxa"/>
            <w:left w:w="108" w:type="dxa"/>
            <w:bottom w:w="0" w:type="dxa"/>
            <w:right w:w="108" w:type="dxa"/>
          </w:tblCellMar>
        </w:tblPrEx>
        <w:tc>
          <w:tcPr>
            <w:tcW w:w="2160" w:type="dxa"/>
          </w:tcPr>
          <w:p w14:paraId="603F08B7">
            <w:pPr>
              <w:pStyle w:val="205"/>
              <w:tabs>
                <w:tab w:val="clear" w:pos="360"/>
              </w:tabs>
              <w:spacing w:before="120" w:after="120"/>
            </w:pPr>
          </w:p>
        </w:tc>
        <w:tc>
          <w:tcPr>
            <w:tcW w:w="6989" w:type="dxa"/>
            <w:gridSpan w:val="3"/>
          </w:tcPr>
          <w:p w14:paraId="6D3E2C98">
            <w:pPr>
              <w:numPr>
                <w:ilvl w:val="1"/>
                <w:numId w:val="65"/>
              </w:numPr>
              <w:suppressAutoHyphens/>
              <w:overflowPunct w:val="0"/>
              <w:autoSpaceDE w:val="0"/>
              <w:autoSpaceDN w:val="0"/>
              <w:adjustRightInd w:val="0"/>
              <w:spacing w:before="120" w:after="120"/>
              <w:ind w:right="36"/>
              <w:jc w:val="both"/>
              <w:textAlignment w:val="baseline"/>
            </w:pPr>
            <w:r>
              <w:t>Inspections &amp;Audit by the Bank</w:t>
            </w:r>
          </w:p>
          <w:p w14:paraId="0541B470">
            <w:pPr>
              <w:suppressAutoHyphens/>
              <w:overflowPunct w:val="0"/>
              <w:autoSpaceDE w:val="0"/>
              <w:autoSpaceDN w:val="0"/>
              <w:adjustRightInd w:val="0"/>
              <w:spacing w:before="120" w:after="120"/>
              <w:ind w:left="540" w:right="36"/>
              <w:jc w:val="both"/>
              <w:textAlignment w:val="baseline"/>
            </w:pPr>
            <w:r>
              <w:rPr>
                <w:color w:val="000000"/>
              </w:rPr>
              <w:t xml:space="preserve">Pursuant to paragraph 1.16 (e) of Appendix A to the GCC- </w:t>
            </w:r>
            <w:r>
              <w:t>Fraud and Corruption, the Contractor shall permit and shall cause its agents (where declared or not), subcontractors, subconsultants, service providers, suppliers, and personnel, to permit, the Bank and/or persons appointed by the Bank to inspect the site and/or the accounts, records and other documents relating to the procurement process, selection and/or contract execution, and to have such accounts, records and other documents audited by auditors appointed by the Bank. The Contractor’s and its Subcontractors’ and subconsultants’ attention is drawn to GCC Sub-Clause 25.1 (Fraud and Corruption) which provides</w:t>
            </w:r>
            <w:r>
              <w:rPr>
                <w:color w:val="000000"/>
              </w:rPr>
              <w:t>, inter alia, that acts intended to materially impede the exercise of the Bank’s inspection and audit rights constitute a prohibited practice subject to contract termination (as well as to a determination of ineligibility pursuant to the Bank’s prevailing sanctions procedures).</w:t>
            </w:r>
          </w:p>
        </w:tc>
      </w:tr>
      <w:tr w14:paraId="3CE5C212">
        <w:tblPrEx>
          <w:tblCellMar>
            <w:top w:w="0" w:type="dxa"/>
            <w:left w:w="108" w:type="dxa"/>
            <w:bottom w:w="0" w:type="dxa"/>
            <w:right w:w="108" w:type="dxa"/>
          </w:tblCellMar>
        </w:tblPrEx>
        <w:tc>
          <w:tcPr>
            <w:tcW w:w="2160" w:type="dxa"/>
            <w:tcBorders>
              <w:top w:val="nil"/>
              <w:left w:val="nil"/>
              <w:bottom w:val="nil"/>
              <w:right w:val="nil"/>
            </w:tcBorders>
          </w:tcPr>
          <w:p w14:paraId="4651DE69">
            <w:pPr>
              <w:pStyle w:val="205"/>
              <w:numPr>
                <w:ilvl w:val="0"/>
                <w:numId w:val="65"/>
              </w:numPr>
              <w:tabs>
                <w:tab w:val="clear" w:pos="540"/>
                <w:tab w:val="clear" w:pos="360"/>
              </w:tabs>
              <w:spacing w:before="120" w:after="120"/>
              <w:ind w:left="360" w:hanging="360"/>
            </w:pPr>
            <w:bookmarkStart w:id="618" w:name="_Toc29906904"/>
            <w:bookmarkStart w:id="619" w:name="_Toc497228230"/>
            <w:bookmarkStart w:id="620" w:name="_Toc333923246"/>
            <w:r>
              <w:t>Appointment of the Adjudicator</w:t>
            </w:r>
            <w:bookmarkEnd w:id="618"/>
            <w:bookmarkEnd w:id="619"/>
            <w:bookmarkEnd w:id="620"/>
          </w:p>
        </w:tc>
        <w:tc>
          <w:tcPr>
            <w:tcW w:w="6989" w:type="dxa"/>
            <w:gridSpan w:val="3"/>
            <w:tcBorders>
              <w:top w:val="nil"/>
              <w:left w:val="nil"/>
              <w:bottom w:val="nil"/>
              <w:right w:val="nil"/>
            </w:tcBorders>
          </w:tcPr>
          <w:p w14:paraId="4DCE2E0C">
            <w:pPr>
              <w:numPr>
                <w:ilvl w:val="1"/>
                <w:numId w:val="65"/>
              </w:numPr>
              <w:suppressAutoHyphens/>
              <w:overflowPunct w:val="0"/>
              <w:autoSpaceDE w:val="0"/>
              <w:autoSpaceDN w:val="0"/>
              <w:adjustRightInd w:val="0"/>
              <w:spacing w:before="120" w:after="120"/>
              <w:ind w:right="36"/>
              <w:jc w:val="both"/>
              <w:textAlignment w:val="baseline"/>
            </w:pPr>
            <w:r>
              <w:t xml:space="preserve">The Adjudicator shall be appointed jointly by the Employer and the Contractor, at the time of the Employer’s issuance of the Letter of Acceptance. If, in the Letter of Acceptance, the Employer does not agree on the appointment of the Adjudicator, the Employer will request the Appointing Authority </w:t>
            </w:r>
            <w:r>
              <w:rPr>
                <w:b/>
              </w:rPr>
              <w:t>designated in the PCC</w:t>
            </w:r>
            <w:r>
              <w:t xml:space="preserve">, to appoint the Adjudicator within 14 days of receipt of such request. </w:t>
            </w:r>
          </w:p>
          <w:p w14:paraId="79C95C45">
            <w:pPr>
              <w:numPr>
                <w:ilvl w:val="1"/>
                <w:numId w:val="65"/>
              </w:numPr>
              <w:suppressAutoHyphens/>
              <w:overflowPunct w:val="0"/>
              <w:autoSpaceDE w:val="0"/>
              <w:autoSpaceDN w:val="0"/>
              <w:adjustRightInd w:val="0"/>
              <w:spacing w:before="120" w:after="120"/>
              <w:ind w:right="36"/>
              <w:jc w:val="both"/>
              <w:textAlignment w:val="baseline"/>
            </w:pPr>
            <w:r>
              <w:t xml:space="preserve">Should the Adjudicator resign or die, or should the Employer and the Contractor agree that the Adjudicator is not functioning in accordance with the provisions of the Contract, a new Adjudicator shall be jointly appointed by the Employer and the Contractor.  In case of disagreement between the Employer and the Contractor, within 30 days, the Adjudicator shall be designated by the Appointing Authority </w:t>
            </w:r>
            <w:r>
              <w:rPr>
                <w:b/>
              </w:rPr>
              <w:t>designated in the PCC</w:t>
            </w:r>
            <w:r>
              <w:t xml:space="preserve"> at the request of either party, within 14 days of receipt of such request.</w:t>
            </w:r>
          </w:p>
        </w:tc>
      </w:tr>
      <w:tr w14:paraId="4127B42E">
        <w:tblPrEx>
          <w:tblCellMar>
            <w:top w:w="0" w:type="dxa"/>
            <w:left w:w="108" w:type="dxa"/>
            <w:bottom w:w="0" w:type="dxa"/>
            <w:right w:w="108" w:type="dxa"/>
          </w:tblCellMar>
        </w:tblPrEx>
        <w:tc>
          <w:tcPr>
            <w:tcW w:w="2160" w:type="dxa"/>
            <w:tcBorders>
              <w:top w:val="nil"/>
              <w:left w:val="nil"/>
              <w:bottom w:val="nil"/>
              <w:right w:val="nil"/>
            </w:tcBorders>
          </w:tcPr>
          <w:p w14:paraId="555301E2">
            <w:pPr>
              <w:pStyle w:val="205"/>
              <w:numPr>
                <w:ilvl w:val="0"/>
                <w:numId w:val="65"/>
              </w:numPr>
              <w:tabs>
                <w:tab w:val="clear" w:pos="540"/>
                <w:tab w:val="clear" w:pos="360"/>
              </w:tabs>
              <w:spacing w:before="120" w:after="120"/>
              <w:ind w:left="360" w:hanging="360"/>
            </w:pPr>
            <w:bookmarkStart w:id="621" w:name="_Toc497228231"/>
            <w:bookmarkStart w:id="622" w:name="_Toc29906905"/>
            <w:bookmarkStart w:id="623" w:name="_Toc333923247"/>
            <w:r>
              <w:t>Procedure for Disputes</w:t>
            </w:r>
            <w:bookmarkEnd w:id="621"/>
            <w:bookmarkEnd w:id="622"/>
            <w:bookmarkEnd w:id="623"/>
          </w:p>
        </w:tc>
        <w:tc>
          <w:tcPr>
            <w:tcW w:w="6989" w:type="dxa"/>
            <w:gridSpan w:val="3"/>
            <w:tcBorders>
              <w:top w:val="nil"/>
              <w:left w:val="nil"/>
              <w:bottom w:val="nil"/>
              <w:right w:val="nil"/>
            </w:tcBorders>
          </w:tcPr>
          <w:p w14:paraId="6C7C10AB">
            <w:pPr>
              <w:numPr>
                <w:ilvl w:val="1"/>
                <w:numId w:val="65"/>
              </w:numPr>
              <w:suppressAutoHyphens/>
              <w:overflowPunct w:val="0"/>
              <w:autoSpaceDE w:val="0"/>
              <w:autoSpaceDN w:val="0"/>
              <w:adjustRightInd w:val="0"/>
              <w:spacing w:before="120" w:after="120"/>
              <w:ind w:right="36"/>
              <w:jc w:val="both"/>
              <w:textAlignment w:val="baseline"/>
            </w:pPr>
            <w:r>
              <w:t>If the Contractor believes that a decision taken by the Project Manager was either outside the authority given to the Project Manager by the Contract or that the decision was wrongly taken, the decision shall be referred to the Adjudicator within 14 days of the notification of the Project Manager’s decision.</w:t>
            </w:r>
          </w:p>
          <w:p w14:paraId="6E985A97">
            <w:pPr>
              <w:numPr>
                <w:ilvl w:val="1"/>
                <w:numId w:val="65"/>
              </w:numPr>
              <w:suppressAutoHyphens/>
              <w:overflowPunct w:val="0"/>
              <w:autoSpaceDE w:val="0"/>
              <w:autoSpaceDN w:val="0"/>
              <w:adjustRightInd w:val="0"/>
              <w:spacing w:before="120" w:after="120"/>
              <w:ind w:right="36"/>
              <w:jc w:val="both"/>
              <w:textAlignment w:val="baseline"/>
            </w:pPr>
            <w:r>
              <w:t>The Adjudicator shall give a decision in writing within 28 days of receipt of a notification of a dispute.</w:t>
            </w:r>
          </w:p>
          <w:p w14:paraId="65D85767">
            <w:pPr>
              <w:numPr>
                <w:ilvl w:val="1"/>
                <w:numId w:val="65"/>
              </w:numPr>
              <w:suppressAutoHyphens/>
              <w:overflowPunct w:val="0"/>
              <w:autoSpaceDE w:val="0"/>
              <w:autoSpaceDN w:val="0"/>
              <w:adjustRightInd w:val="0"/>
              <w:spacing w:before="120" w:after="120"/>
              <w:ind w:right="36"/>
              <w:jc w:val="both"/>
              <w:textAlignment w:val="baseline"/>
            </w:pPr>
            <w:r>
              <w:t xml:space="preserve">The Adjudicator shall be paid by the hour at the </w:t>
            </w:r>
            <w:r>
              <w:rPr>
                <w:b/>
              </w:rPr>
              <w:t>rate specified in the</w:t>
            </w:r>
            <w:r>
              <w:t xml:space="preserve"> </w:t>
            </w:r>
            <w:r>
              <w:rPr>
                <w:b/>
              </w:rPr>
              <w:t>PCC,</w:t>
            </w:r>
            <w:r>
              <w:t xml:space="preserve"> together with reimbursable expenses of the types </w:t>
            </w:r>
            <w:r>
              <w:rPr>
                <w:b/>
              </w:rPr>
              <w:t>specified in the PCC</w:t>
            </w:r>
            <w:r>
              <w:t>, and the cost shall be divided equally between the Employer and the Contractor, whatever decision is reached by the Adjudicator. Either party may refer a decision of the Adjudicator to an Arbitrator within 28 days of the Adjudicator’s written decision. If neither party refers the dispute to arbitration within the above 28 days, the Adjudicator’s decision shall be final and binding.</w:t>
            </w:r>
          </w:p>
          <w:p w14:paraId="379DF0B2">
            <w:pPr>
              <w:numPr>
                <w:ilvl w:val="1"/>
                <w:numId w:val="65"/>
              </w:numPr>
              <w:suppressAutoHyphens/>
              <w:overflowPunct w:val="0"/>
              <w:autoSpaceDE w:val="0"/>
              <w:autoSpaceDN w:val="0"/>
              <w:adjustRightInd w:val="0"/>
              <w:spacing w:before="120" w:after="120"/>
              <w:ind w:right="36"/>
              <w:jc w:val="both"/>
              <w:textAlignment w:val="baseline"/>
            </w:pPr>
            <w:r>
              <w:t xml:space="preserve">The arbitration shall be conducted in accordance with the arbitration procedures published by the institution named and in the place </w:t>
            </w:r>
            <w:r>
              <w:rPr>
                <w:b/>
              </w:rPr>
              <w:t>specified</w:t>
            </w:r>
            <w:r>
              <w:t xml:space="preserve"> </w:t>
            </w:r>
            <w:r>
              <w:rPr>
                <w:b/>
              </w:rPr>
              <w:t>in the PCC.</w:t>
            </w:r>
            <w:r>
              <w:t xml:space="preserve"> </w:t>
            </w:r>
          </w:p>
        </w:tc>
      </w:tr>
      <w:tr w14:paraId="27542094">
        <w:tblPrEx>
          <w:tblCellMar>
            <w:top w:w="0" w:type="dxa"/>
            <w:left w:w="108" w:type="dxa"/>
            <w:bottom w:w="0" w:type="dxa"/>
            <w:right w:w="108" w:type="dxa"/>
          </w:tblCellMar>
        </w:tblPrEx>
        <w:tc>
          <w:tcPr>
            <w:tcW w:w="2160" w:type="dxa"/>
            <w:tcBorders>
              <w:top w:val="nil"/>
              <w:left w:val="nil"/>
              <w:bottom w:val="nil"/>
              <w:right w:val="nil"/>
            </w:tcBorders>
          </w:tcPr>
          <w:p w14:paraId="2B38288C">
            <w:pPr>
              <w:pStyle w:val="205"/>
              <w:numPr>
                <w:ilvl w:val="0"/>
                <w:numId w:val="65"/>
              </w:numPr>
              <w:tabs>
                <w:tab w:val="clear" w:pos="540"/>
                <w:tab w:val="clear" w:pos="360"/>
              </w:tabs>
              <w:spacing w:before="120" w:after="120"/>
              <w:ind w:left="360" w:hanging="360"/>
            </w:pPr>
            <w:bookmarkStart w:id="624" w:name="_Toc497228232"/>
            <w:bookmarkStart w:id="625" w:name="_Toc29906906"/>
            <w:r>
              <w:t>Fraud and Corruption</w:t>
            </w:r>
            <w:bookmarkEnd w:id="624"/>
            <w:bookmarkEnd w:id="625"/>
          </w:p>
        </w:tc>
        <w:tc>
          <w:tcPr>
            <w:tcW w:w="6989" w:type="dxa"/>
            <w:gridSpan w:val="3"/>
            <w:tcBorders>
              <w:top w:val="nil"/>
              <w:left w:val="nil"/>
              <w:bottom w:val="nil"/>
              <w:right w:val="nil"/>
            </w:tcBorders>
          </w:tcPr>
          <w:p w14:paraId="2478428D">
            <w:pPr>
              <w:numPr>
                <w:ilvl w:val="1"/>
                <w:numId w:val="65"/>
              </w:numPr>
              <w:suppressAutoHyphens/>
              <w:overflowPunct w:val="0"/>
              <w:autoSpaceDE w:val="0"/>
              <w:autoSpaceDN w:val="0"/>
              <w:adjustRightInd w:val="0"/>
              <w:spacing w:before="120" w:after="120"/>
              <w:ind w:right="36"/>
              <w:jc w:val="both"/>
              <w:textAlignment w:val="baseline"/>
            </w:pPr>
            <w:r>
              <w:t>The Bank requires compliance with the Bank’s Anti-Corruption Guidelines and its prevailing sanctions policies and procedures as set forth in the WBG’s Sanctions Framework, as set forth in Appendix A to the GCC.</w:t>
            </w:r>
          </w:p>
          <w:p w14:paraId="349DDDD6">
            <w:pPr>
              <w:numPr>
                <w:ilvl w:val="1"/>
                <w:numId w:val="65"/>
              </w:numPr>
              <w:suppressAutoHyphens/>
              <w:overflowPunct w:val="0"/>
              <w:autoSpaceDE w:val="0"/>
              <w:autoSpaceDN w:val="0"/>
              <w:adjustRightInd w:val="0"/>
              <w:spacing w:before="120" w:after="120"/>
              <w:ind w:right="36"/>
              <w:jc w:val="both"/>
              <w:textAlignment w:val="baseline"/>
            </w:pPr>
            <w:r>
              <w:t xml:space="preserve">The Employer requires the Contractor to disclose any commissions or fees that may have been paid or are to be paid to agents or any other party with respect to the bidding process or execution of the Contract. The information disclosed must include at least the name and address of the agent or other party, the amount and currency, and the purpose of the commission, gratuity or fee. </w:t>
            </w:r>
          </w:p>
        </w:tc>
      </w:tr>
      <w:tr w14:paraId="2CAA1A98">
        <w:tblPrEx>
          <w:tblCellMar>
            <w:top w:w="0" w:type="dxa"/>
            <w:left w:w="108" w:type="dxa"/>
            <w:bottom w:w="0" w:type="dxa"/>
            <w:right w:w="108" w:type="dxa"/>
          </w:tblCellMar>
        </w:tblPrEx>
        <w:tc>
          <w:tcPr>
            <w:tcW w:w="2160" w:type="dxa"/>
            <w:tcBorders>
              <w:top w:val="nil"/>
              <w:left w:val="nil"/>
              <w:bottom w:val="nil"/>
              <w:right w:val="nil"/>
            </w:tcBorders>
          </w:tcPr>
          <w:p w14:paraId="61728C54">
            <w:pPr>
              <w:pStyle w:val="205"/>
              <w:numPr>
                <w:ilvl w:val="0"/>
                <w:numId w:val="65"/>
              </w:numPr>
              <w:tabs>
                <w:tab w:val="clear" w:pos="540"/>
                <w:tab w:val="clear" w:pos="360"/>
              </w:tabs>
              <w:spacing w:before="120" w:after="120"/>
              <w:ind w:left="360" w:hanging="360"/>
            </w:pPr>
            <w:bookmarkStart w:id="626" w:name="_Toc29906907"/>
            <w:r>
              <w:t>Code of Conduct</w:t>
            </w:r>
            <w:bookmarkEnd w:id="626"/>
          </w:p>
        </w:tc>
        <w:tc>
          <w:tcPr>
            <w:tcW w:w="6989" w:type="dxa"/>
            <w:gridSpan w:val="3"/>
            <w:tcBorders>
              <w:top w:val="nil"/>
              <w:left w:val="nil"/>
              <w:bottom w:val="nil"/>
              <w:right w:val="nil"/>
            </w:tcBorders>
          </w:tcPr>
          <w:p w14:paraId="027E660F">
            <w:pPr>
              <w:numPr>
                <w:ilvl w:val="1"/>
                <w:numId w:val="65"/>
              </w:numPr>
              <w:suppressAutoHyphens/>
              <w:overflowPunct w:val="0"/>
              <w:autoSpaceDE w:val="0"/>
              <w:autoSpaceDN w:val="0"/>
              <w:adjustRightInd w:val="0"/>
              <w:spacing w:before="120" w:after="120"/>
              <w:ind w:right="36"/>
              <w:jc w:val="both"/>
              <w:textAlignment w:val="baseline"/>
            </w:pPr>
            <w:r>
              <w:rPr>
                <w:szCs w:val="20"/>
              </w:rPr>
              <w:t xml:space="preserve">The </w:t>
            </w:r>
            <w:r>
              <w:t>Contractor</w:t>
            </w:r>
            <w:r>
              <w:rPr>
                <w:szCs w:val="20"/>
              </w:rPr>
              <w:t xml:space="preserve"> shall have a Code of Conduct for the Contractor’s </w:t>
            </w:r>
            <w:r>
              <w:t>Personnel</w:t>
            </w:r>
            <w:r>
              <w:rPr>
                <w:szCs w:val="20"/>
              </w:rPr>
              <w:t xml:space="preserve">. </w:t>
            </w:r>
          </w:p>
          <w:p w14:paraId="461E045F">
            <w:pPr>
              <w:spacing w:before="120" w:after="120"/>
              <w:ind w:left="529"/>
              <w:jc w:val="both"/>
              <w:rPr>
                <w:bCs/>
              </w:rPr>
            </w:pPr>
            <w:r>
              <w:rPr>
                <w:bCs/>
              </w:rPr>
              <w:t xml:space="preserve">The Contractor shall take all necessary measures to ensure that each Contractor’s Personnel is made aware of the Code of Conduct including specific behaviors that are prohibited, and understands the consequences of engaging in such prohibited behaviors.  </w:t>
            </w:r>
          </w:p>
          <w:p w14:paraId="089A8FD4">
            <w:pPr>
              <w:spacing w:before="120" w:after="120"/>
              <w:ind w:left="529"/>
              <w:jc w:val="both"/>
              <w:rPr>
                <w:bCs/>
              </w:rPr>
            </w:pPr>
            <w:r>
              <w:rPr>
                <w:bCs/>
              </w:rPr>
              <w:t xml:space="preserve">These measures include providing instructions and documentation that can be understood by the Contractor’s Personnel and seeking to obtain that person’s signature acknowledging receipt of </w:t>
            </w:r>
            <w:r>
              <w:t xml:space="preserve">such instructions and/or </w:t>
            </w:r>
            <w:r>
              <w:rPr>
                <w:bCs/>
              </w:rPr>
              <w:t>documentation</w:t>
            </w:r>
            <w:r>
              <w:t>, as appropriate</w:t>
            </w:r>
            <w:r>
              <w:rPr>
                <w:bCs/>
              </w:rPr>
              <w:t>.</w:t>
            </w:r>
          </w:p>
          <w:p w14:paraId="2C8C5DEE">
            <w:pPr>
              <w:spacing w:before="120" w:after="120"/>
              <w:ind w:left="529"/>
              <w:jc w:val="both"/>
              <w:rPr>
                <w:bCs/>
              </w:rPr>
            </w:pPr>
            <w:r>
              <w:rPr>
                <w:bCs/>
              </w:rPr>
              <w:t>The Contractor shall also ensure that the Code of Conduct is visibly displayed in multiple locations on the Site and any other place where the Works will be carried out, as well as in areas outside the Site accessible to the local community and project affected people. The posted Code of Conduct shall be provided in languages comprehensible to Contractor’s Personnel, Employer’s Personnel and the local community.</w:t>
            </w:r>
          </w:p>
          <w:p w14:paraId="1FFC49DB">
            <w:pPr>
              <w:spacing w:before="120" w:after="120"/>
              <w:ind w:left="529"/>
              <w:jc w:val="both"/>
            </w:pPr>
            <w:r>
              <w:rPr>
                <w:bCs/>
              </w:rPr>
              <w:t xml:space="preserve">The Contractor’s Management Strategy and Implementation Plans shall include appropriate processes for the Contractor to verify compliance with these obligations.  </w:t>
            </w:r>
          </w:p>
        </w:tc>
      </w:tr>
      <w:tr w14:paraId="19C60D68">
        <w:tblPrEx>
          <w:tblCellMar>
            <w:top w:w="0" w:type="dxa"/>
            <w:left w:w="108" w:type="dxa"/>
            <w:bottom w:w="0" w:type="dxa"/>
            <w:right w:w="108" w:type="dxa"/>
          </w:tblCellMar>
        </w:tblPrEx>
        <w:tc>
          <w:tcPr>
            <w:tcW w:w="2160" w:type="dxa"/>
            <w:tcBorders>
              <w:top w:val="nil"/>
              <w:left w:val="nil"/>
              <w:bottom w:val="nil"/>
              <w:right w:val="nil"/>
            </w:tcBorders>
          </w:tcPr>
          <w:p w14:paraId="14CB105D">
            <w:pPr>
              <w:pStyle w:val="205"/>
              <w:numPr>
                <w:ilvl w:val="0"/>
                <w:numId w:val="65"/>
              </w:numPr>
              <w:tabs>
                <w:tab w:val="clear" w:pos="540"/>
                <w:tab w:val="clear" w:pos="360"/>
              </w:tabs>
              <w:spacing w:before="120" w:after="120"/>
              <w:ind w:left="360" w:hanging="360"/>
            </w:pPr>
            <w:bookmarkStart w:id="627" w:name="_Toc29906908"/>
            <w:r>
              <w:t>Security of the Site</w:t>
            </w:r>
            <w:bookmarkEnd w:id="627"/>
          </w:p>
        </w:tc>
        <w:tc>
          <w:tcPr>
            <w:tcW w:w="6989" w:type="dxa"/>
            <w:gridSpan w:val="3"/>
            <w:tcBorders>
              <w:top w:val="nil"/>
              <w:left w:val="nil"/>
              <w:bottom w:val="nil"/>
              <w:right w:val="nil"/>
            </w:tcBorders>
          </w:tcPr>
          <w:p w14:paraId="4D3F7CC7">
            <w:pPr>
              <w:numPr>
                <w:ilvl w:val="1"/>
                <w:numId w:val="65"/>
              </w:numPr>
              <w:tabs>
                <w:tab w:val="clear" w:pos="540"/>
              </w:tabs>
              <w:suppressAutoHyphens/>
              <w:overflowPunct w:val="0"/>
              <w:autoSpaceDE w:val="0"/>
              <w:autoSpaceDN w:val="0"/>
              <w:adjustRightInd w:val="0"/>
              <w:spacing w:before="120" w:after="120"/>
              <w:ind w:right="36"/>
              <w:jc w:val="both"/>
              <w:textAlignment w:val="baseline"/>
              <w:rPr>
                <w:rFonts w:eastAsia="Arial Narrow"/>
              </w:rPr>
            </w:pPr>
            <w:r>
              <w:rPr>
                <w:rFonts w:eastAsia="Arial Narrow"/>
              </w:rPr>
              <w:t>The Contractor shall be responsible for the security of the Site, and:</w:t>
            </w:r>
          </w:p>
          <w:p w14:paraId="17A2B297">
            <w:pPr>
              <w:numPr>
                <w:ilvl w:val="0"/>
                <w:numId w:val="80"/>
              </w:numPr>
              <w:spacing w:before="120" w:after="120"/>
              <w:ind w:left="1142" w:hanging="540"/>
              <w:rPr>
                <w:rFonts w:eastAsia="Arial Narrow"/>
              </w:rPr>
            </w:pPr>
            <w:r>
              <w:rPr>
                <w:rFonts w:eastAsia="Arial Narrow"/>
              </w:rPr>
              <w:t xml:space="preserve">for keeping unauthorized persons off the Site; </w:t>
            </w:r>
          </w:p>
          <w:p w14:paraId="57AA0B98">
            <w:pPr>
              <w:numPr>
                <w:ilvl w:val="0"/>
                <w:numId w:val="80"/>
              </w:numPr>
              <w:spacing w:before="120" w:after="120"/>
              <w:ind w:left="1142" w:hanging="540"/>
              <w:jc w:val="both"/>
              <w:rPr>
                <w:rFonts w:eastAsia="Arial Narrow"/>
              </w:rPr>
            </w:pPr>
            <w:r>
              <w:rPr>
                <w:rFonts w:eastAsia="Arial Narrow"/>
              </w:rPr>
              <w:t xml:space="preserve">authorized persons shall be limited to the Contractor’s Personnel, the </w:t>
            </w:r>
            <w:r>
              <w:rPr>
                <w:rFonts w:eastAsia="Arial Narrow"/>
                <w:szCs w:val="20"/>
              </w:rPr>
              <w:t>Employer’s</w:t>
            </w:r>
            <w:r>
              <w:rPr>
                <w:rFonts w:eastAsia="Arial Narrow"/>
              </w:rPr>
              <w:t xml:space="preserve"> personnel, and to any other personnel identified as authorized personnel (including the Employer’s other contractors on the Site), by a notice from the Employer or the Project Manager to the Contractor.</w:t>
            </w:r>
          </w:p>
          <w:p w14:paraId="318B9DA9">
            <w:pPr>
              <w:pStyle w:val="240"/>
              <w:numPr>
                <w:ilvl w:val="0"/>
                <w:numId w:val="0"/>
              </w:numPr>
              <w:spacing w:before="120" w:after="120"/>
              <w:ind w:left="619"/>
              <w:rPr>
                <w:rFonts w:ascii="Times New Roman" w:hAnsi="Times New Roman" w:eastAsia="Arial Narrow" w:cs="Times New Roman"/>
                <w:sz w:val="24"/>
                <w:szCs w:val="24"/>
                <w:lang w:eastAsia="en-US"/>
              </w:rPr>
            </w:pPr>
            <w:r>
              <w:rPr>
                <w:rFonts w:ascii="Times New Roman" w:hAnsi="Times New Roman" w:eastAsia="Arial Narrow" w:cs="Times New Roman"/>
                <w:sz w:val="24"/>
                <w:szCs w:val="24"/>
                <w:lang w:eastAsia="en-US"/>
              </w:rPr>
              <w:t xml:space="preserve">The Contractor shall (i) conduct appropriate background checks on any personnel retained to provide security; (ii) train the security personnel adequately (or determine that they are properly trained) in the use of force (and where applicable, firearms), and appropriate conduct towards Contractor’s Personnel, Employer’s Personnel and affected communities; and (iii) require the security personnel to act within the applicable Laws and any requirements set out in the Specification. </w:t>
            </w:r>
          </w:p>
          <w:p w14:paraId="542C3542">
            <w:pPr>
              <w:spacing w:before="120" w:after="120"/>
              <w:ind w:left="619"/>
              <w:jc w:val="both"/>
            </w:pPr>
            <w:r>
              <w:t>The Contractor shall not permit any use of force by security personnel in providing security except when used for preventive and defensive purposes in proportion to the nature and extent of the threat.</w:t>
            </w:r>
          </w:p>
          <w:p w14:paraId="3F040F26">
            <w:pPr>
              <w:spacing w:before="120" w:after="120"/>
              <w:ind w:left="619"/>
              <w:jc w:val="both"/>
            </w:pPr>
            <w:r>
              <w:rPr>
                <w:rFonts w:eastAsia="Arial Narrow"/>
              </w:rPr>
              <w:t>In making security arrangements, the Contractor shall also comply with any additional requirements stated in the Specification.</w:t>
            </w:r>
          </w:p>
        </w:tc>
      </w:tr>
      <w:tr w14:paraId="5193C9E2">
        <w:tblPrEx>
          <w:tblCellMar>
            <w:top w:w="0" w:type="dxa"/>
            <w:left w:w="108" w:type="dxa"/>
            <w:bottom w:w="0" w:type="dxa"/>
            <w:right w:w="108" w:type="dxa"/>
          </w:tblCellMar>
        </w:tblPrEx>
        <w:tc>
          <w:tcPr>
            <w:tcW w:w="9149" w:type="dxa"/>
            <w:gridSpan w:val="4"/>
            <w:tcBorders>
              <w:top w:val="nil"/>
              <w:left w:val="nil"/>
              <w:bottom w:val="nil"/>
              <w:right w:val="nil"/>
            </w:tcBorders>
          </w:tcPr>
          <w:p w14:paraId="5DFD1822">
            <w:pPr>
              <w:pStyle w:val="204"/>
              <w:spacing w:after="120"/>
              <w:rPr>
                <w:szCs w:val="24"/>
              </w:rPr>
            </w:pPr>
            <w:bookmarkStart w:id="628" w:name="_Toc497228233"/>
            <w:bookmarkStart w:id="629" w:name="_Toc333923249"/>
            <w:bookmarkStart w:id="630" w:name="_Toc29906909"/>
            <w:r>
              <w:t>B.  Time Control</w:t>
            </w:r>
            <w:bookmarkEnd w:id="628"/>
            <w:bookmarkEnd w:id="629"/>
            <w:bookmarkEnd w:id="630"/>
          </w:p>
        </w:tc>
      </w:tr>
      <w:tr w14:paraId="4E524392">
        <w:tblPrEx>
          <w:tblCellMar>
            <w:top w:w="0" w:type="dxa"/>
            <w:left w:w="108" w:type="dxa"/>
            <w:bottom w:w="0" w:type="dxa"/>
            <w:right w:w="108" w:type="dxa"/>
          </w:tblCellMar>
        </w:tblPrEx>
        <w:tc>
          <w:tcPr>
            <w:tcW w:w="2160" w:type="dxa"/>
            <w:tcBorders>
              <w:top w:val="nil"/>
              <w:left w:val="nil"/>
              <w:bottom w:val="nil"/>
              <w:right w:val="nil"/>
            </w:tcBorders>
          </w:tcPr>
          <w:p w14:paraId="2DB4D4C5">
            <w:pPr>
              <w:pStyle w:val="205"/>
              <w:numPr>
                <w:ilvl w:val="0"/>
                <w:numId w:val="65"/>
              </w:numPr>
              <w:tabs>
                <w:tab w:val="clear" w:pos="540"/>
                <w:tab w:val="clear" w:pos="360"/>
              </w:tabs>
              <w:spacing w:before="120" w:after="120"/>
              <w:ind w:left="360" w:hanging="360"/>
            </w:pPr>
            <w:bookmarkStart w:id="631" w:name="_Toc333923250"/>
            <w:bookmarkStart w:id="632" w:name="_Toc497228234"/>
            <w:bookmarkStart w:id="633" w:name="_Toc29906910"/>
            <w:r>
              <w:t>Program</w:t>
            </w:r>
            <w:bookmarkEnd w:id="631"/>
            <w:bookmarkEnd w:id="632"/>
            <w:bookmarkEnd w:id="633"/>
          </w:p>
        </w:tc>
        <w:tc>
          <w:tcPr>
            <w:tcW w:w="6989" w:type="dxa"/>
            <w:gridSpan w:val="3"/>
            <w:tcBorders>
              <w:top w:val="nil"/>
              <w:left w:val="nil"/>
              <w:bottom w:val="nil"/>
              <w:right w:val="nil"/>
            </w:tcBorders>
          </w:tcPr>
          <w:p w14:paraId="0D53521A">
            <w:pPr>
              <w:numPr>
                <w:ilvl w:val="1"/>
                <w:numId w:val="65"/>
              </w:numPr>
              <w:suppressAutoHyphens/>
              <w:overflowPunct w:val="0"/>
              <w:autoSpaceDE w:val="0"/>
              <w:autoSpaceDN w:val="0"/>
              <w:adjustRightInd w:val="0"/>
              <w:spacing w:before="120" w:after="120"/>
              <w:ind w:right="36"/>
              <w:jc w:val="both"/>
              <w:textAlignment w:val="baseline"/>
            </w:pPr>
            <w:r>
              <w:t xml:space="preserve">Within the time </w:t>
            </w:r>
            <w:r>
              <w:rPr>
                <w:b/>
              </w:rPr>
              <w:t>stated in the PCC</w:t>
            </w:r>
            <w:r>
              <w:t>, after the date of the Letter of Acceptance, the Contractor shall submit to the Project Manager for approval a Program showing the general methods, arrangements, order, and timing for all the activities in the Works. In the case of a lump-sum contract, the activities in the Program shall be consistent with those in the Activity Schedule. The Project Manager’s approval of the Program shall not alter the Contractor’s obligations. The Contractor may revise the Program and submit it to the Project Manager again at any time.  A revised Program shall show the effect of Variations and Compensation Events.</w:t>
            </w:r>
          </w:p>
          <w:p w14:paraId="50815C54">
            <w:pPr>
              <w:numPr>
                <w:ilvl w:val="1"/>
                <w:numId w:val="65"/>
              </w:numPr>
              <w:suppressAutoHyphens/>
              <w:overflowPunct w:val="0"/>
              <w:autoSpaceDE w:val="0"/>
              <w:autoSpaceDN w:val="0"/>
              <w:adjustRightInd w:val="0"/>
              <w:spacing w:before="120" w:after="120"/>
              <w:ind w:right="36"/>
              <w:jc w:val="both"/>
              <w:textAlignment w:val="baseline"/>
            </w:pPr>
            <w:r>
              <w:t>An update of the Program shall be a program showing the actual progress achieved on each activity and the effect of the progress achieved on the timing of the remaining work, including any changes to the sequence of the activities.</w:t>
            </w:r>
          </w:p>
          <w:p w14:paraId="0DBFD4CA">
            <w:pPr>
              <w:pStyle w:val="176"/>
              <w:numPr>
                <w:ilvl w:val="1"/>
                <w:numId w:val="65"/>
              </w:numPr>
              <w:spacing w:before="120" w:after="120"/>
              <w:ind w:right="-72"/>
              <w:contextualSpacing w:val="0"/>
            </w:pPr>
            <w:r>
              <w:t xml:space="preserve">The Contractor shall monitor progress of the Works  and submit to the Project manager progress report and any updated Program showing the actual progress achieved and the effect of the progress achieved on the timing of the remaining Works, including any changes to the sequence of the activities, at intervals no longer than the period </w:t>
            </w:r>
            <w:r>
              <w:rPr>
                <w:b/>
              </w:rPr>
              <w:t>stated in the PCC.</w:t>
            </w:r>
            <w:r>
              <w:t xml:space="preserve"> If the Contractor does not submit an updated Program within this period, the Project Manager may withhold the amount </w:t>
            </w:r>
            <w:r>
              <w:rPr>
                <w:b/>
              </w:rPr>
              <w:t xml:space="preserve">stated in the PCC </w:t>
            </w:r>
            <w:r>
              <w:t>from the next payment certificate and continue to withhold this amount until the next payment after the date on which the overdue Program has been submitted. In the case of lump-sum Contract, the Contractor shall provide an updated Activity Schedule within 14 days of being instructed to by the Project Manager.</w:t>
            </w:r>
            <w:r>
              <w:rPr>
                <w:b/>
              </w:rPr>
              <w:t xml:space="preserve"> </w:t>
            </w:r>
            <w:r>
              <w:t xml:space="preserve"> </w:t>
            </w:r>
          </w:p>
          <w:p w14:paraId="13530DCC">
            <w:pPr>
              <w:pStyle w:val="176"/>
              <w:numPr>
                <w:ilvl w:val="1"/>
                <w:numId w:val="65"/>
              </w:numPr>
              <w:spacing w:before="120" w:after="120"/>
              <w:ind w:right="-72"/>
              <w:contextualSpacing w:val="0"/>
            </w:pPr>
            <w:r>
              <w:t xml:space="preserve">Unless otherwise stated in the Specification, each progress report shall include </w:t>
            </w:r>
            <w:r>
              <w:rPr>
                <w:rFonts w:eastAsia="Arial Narrow"/>
              </w:rPr>
              <w:t>the Environmental and Social (ES) metrics set out in Appendix B</w:t>
            </w:r>
          </w:p>
          <w:p w14:paraId="7444F85D">
            <w:pPr>
              <w:pStyle w:val="176"/>
              <w:numPr>
                <w:ilvl w:val="1"/>
                <w:numId w:val="65"/>
              </w:numPr>
              <w:spacing w:before="120" w:after="120"/>
              <w:ind w:right="-72"/>
              <w:contextualSpacing w:val="0"/>
            </w:pPr>
            <w:r>
              <w:rPr>
                <w:color w:val="000000"/>
              </w:rPr>
              <w:t xml:space="preserve">In addition to the progress report, </w:t>
            </w:r>
            <w:r>
              <w:rPr>
                <w:rFonts w:eastAsia="Arial Narrow"/>
                <w:color w:val="000000"/>
              </w:rPr>
              <w:t>the Contractor shall inform the Project Manager immediately of any allegation, incident or accident in the Site, which has or is likely to have a significant adverse effect on the environment, the affected communities, the public, Employer’s Personnel, or Contractor’s Personnel. This includes, but is not limited to, any incident or accident-causing fatality or serious injury; significant adverse effects or damage to private property; or any allegation of SEA and/or SH. In case of SEA and/or SH, while maintaining confidentiality as appropriate, the type of allegation (sexual exploitation, sexual abuse or sexual harassment), gender and age of the person who experienced the alleged incident should be included in the information.</w:t>
            </w:r>
          </w:p>
          <w:p w14:paraId="14F8FCE7">
            <w:pPr>
              <w:spacing w:before="120" w:after="120"/>
              <w:ind w:left="515"/>
              <w:jc w:val="both"/>
              <w:rPr>
                <w:rFonts w:eastAsia="Arial Narrow"/>
                <w:color w:val="000000"/>
                <w:szCs w:val="20"/>
              </w:rPr>
            </w:pPr>
            <w:r>
              <w:rPr>
                <w:rFonts w:eastAsia="Arial Narrow"/>
                <w:color w:val="000000"/>
                <w:szCs w:val="20"/>
              </w:rPr>
              <w:t xml:space="preserve">The Contractor, upon becoming aware of the allegation, incident or accident, shall also immediately inform the Project Manager of any such incident or accident on the Subcontractors’ or suppliers’ premises relating to the Works which has or is likely to have a significant adverse effect on the environment, the affected communities, the public, Employer’s Personnel, or Contractor’s, its Subcontractors’ and suppliers’ personnel. The notification shall provide sufficient detail regarding such incidents or accidents. The Contractor shall provide full details of such incidents or accidents to the Project Manager within the timeframe agreed with the Project Manager. </w:t>
            </w:r>
          </w:p>
          <w:p w14:paraId="2F0AD9CC">
            <w:pPr>
              <w:spacing w:before="120" w:after="120"/>
              <w:ind w:left="515" w:right="-72"/>
              <w:jc w:val="both"/>
            </w:pPr>
            <w:r>
              <w:rPr>
                <w:rFonts w:eastAsia="Arial Narrow"/>
                <w:color w:val="000000"/>
                <w:szCs w:val="20"/>
              </w:rPr>
              <w:t>The Contractor shall require its Subcontractors and suppliers (other than Subcontractors) to immediately notify the Contractor of any incidents or accidents referred to in this Subclause.</w:t>
            </w:r>
          </w:p>
        </w:tc>
      </w:tr>
      <w:tr w14:paraId="717A8BFF">
        <w:tblPrEx>
          <w:tblCellMar>
            <w:top w:w="0" w:type="dxa"/>
            <w:left w:w="108" w:type="dxa"/>
            <w:bottom w:w="0" w:type="dxa"/>
            <w:right w:w="108" w:type="dxa"/>
          </w:tblCellMar>
        </w:tblPrEx>
        <w:tc>
          <w:tcPr>
            <w:tcW w:w="2160" w:type="dxa"/>
            <w:tcBorders>
              <w:top w:val="nil"/>
              <w:left w:val="nil"/>
              <w:bottom w:val="nil"/>
              <w:right w:val="nil"/>
            </w:tcBorders>
          </w:tcPr>
          <w:p w14:paraId="44F7176C">
            <w:pPr>
              <w:pStyle w:val="205"/>
              <w:numPr>
                <w:ilvl w:val="0"/>
                <w:numId w:val="65"/>
              </w:numPr>
              <w:tabs>
                <w:tab w:val="clear" w:pos="540"/>
                <w:tab w:val="clear" w:pos="360"/>
              </w:tabs>
              <w:spacing w:before="120" w:after="120"/>
              <w:ind w:left="360" w:hanging="360"/>
            </w:pPr>
            <w:bookmarkStart w:id="634" w:name="_Toc497228235"/>
            <w:bookmarkStart w:id="635" w:name="_Toc29906911"/>
            <w:bookmarkStart w:id="636" w:name="_Toc333923251"/>
            <w:r>
              <w:t>Extension of the Intended Completion Date</w:t>
            </w:r>
            <w:bookmarkEnd w:id="634"/>
            <w:bookmarkEnd w:id="635"/>
            <w:bookmarkEnd w:id="636"/>
          </w:p>
        </w:tc>
        <w:tc>
          <w:tcPr>
            <w:tcW w:w="6989" w:type="dxa"/>
            <w:gridSpan w:val="3"/>
            <w:tcBorders>
              <w:top w:val="nil"/>
              <w:left w:val="nil"/>
              <w:bottom w:val="nil"/>
              <w:right w:val="nil"/>
            </w:tcBorders>
          </w:tcPr>
          <w:p w14:paraId="564A6CD7">
            <w:pPr>
              <w:numPr>
                <w:ilvl w:val="1"/>
                <w:numId w:val="65"/>
              </w:numPr>
              <w:suppressAutoHyphens/>
              <w:overflowPunct w:val="0"/>
              <w:autoSpaceDE w:val="0"/>
              <w:autoSpaceDN w:val="0"/>
              <w:adjustRightInd w:val="0"/>
              <w:spacing w:before="120" w:after="120"/>
              <w:ind w:right="36"/>
              <w:jc w:val="both"/>
              <w:textAlignment w:val="baseline"/>
            </w:pPr>
            <w:r>
              <w:t>The Project Manager shall extend the Intended Completion Date if a Compensation Event occurs or a Variation is issued which makes it impossible for Completion to be achieved by the Intended Completion Date without the Contractor taking steps to accelerate the remaining work, which would cause the Contractor to incur additional cost.</w:t>
            </w:r>
          </w:p>
          <w:p w14:paraId="003E4F73">
            <w:pPr>
              <w:numPr>
                <w:ilvl w:val="1"/>
                <w:numId w:val="65"/>
              </w:numPr>
              <w:suppressAutoHyphens/>
              <w:overflowPunct w:val="0"/>
              <w:autoSpaceDE w:val="0"/>
              <w:autoSpaceDN w:val="0"/>
              <w:adjustRightInd w:val="0"/>
              <w:spacing w:before="120" w:after="120"/>
              <w:ind w:right="36"/>
              <w:jc w:val="both"/>
              <w:textAlignment w:val="baseline"/>
            </w:pPr>
            <w:r>
              <w:t>The Project Manager shall decide whether and by how much to extend the Intended Completion Date within 21 days of the Contractor asking the Project Manager for a decision upon the effect of a Compensation Event or Variation and submitting full supporting information. If the Contractor has failed to give early warning of a delay or has failed to cooperate in dealing with a delay, the delay by this failure shall not be considered in assessing the new Intended Completion Date.</w:t>
            </w:r>
          </w:p>
        </w:tc>
      </w:tr>
      <w:tr w14:paraId="0FD6E513">
        <w:tblPrEx>
          <w:tblCellMar>
            <w:top w:w="0" w:type="dxa"/>
            <w:left w:w="108" w:type="dxa"/>
            <w:bottom w:w="0" w:type="dxa"/>
            <w:right w:w="108" w:type="dxa"/>
          </w:tblCellMar>
        </w:tblPrEx>
        <w:tc>
          <w:tcPr>
            <w:tcW w:w="2160" w:type="dxa"/>
            <w:tcBorders>
              <w:top w:val="nil"/>
              <w:left w:val="nil"/>
              <w:bottom w:val="nil"/>
              <w:right w:val="nil"/>
            </w:tcBorders>
          </w:tcPr>
          <w:p w14:paraId="0559AFB3">
            <w:pPr>
              <w:pStyle w:val="205"/>
              <w:numPr>
                <w:ilvl w:val="0"/>
                <w:numId w:val="65"/>
              </w:numPr>
              <w:tabs>
                <w:tab w:val="clear" w:pos="540"/>
                <w:tab w:val="clear" w:pos="360"/>
              </w:tabs>
              <w:spacing w:before="120" w:after="120"/>
              <w:ind w:left="360" w:hanging="360"/>
            </w:pPr>
            <w:bookmarkStart w:id="637" w:name="_Toc497228236"/>
            <w:bookmarkStart w:id="638" w:name="_Toc29906912"/>
            <w:bookmarkStart w:id="639" w:name="_Toc333923252"/>
            <w:r>
              <w:t>Acceleration</w:t>
            </w:r>
            <w:bookmarkEnd w:id="637"/>
            <w:bookmarkEnd w:id="638"/>
            <w:bookmarkEnd w:id="639"/>
          </w:p>
        </w:tc>
        <w:tc>
          <w:tcPr>
            <w:tcW w:w="6989" w:type="dxa"/>
            <w:gridSpan w:val="3"/>
            <w:tcBorders>
              <w:top w:val="nil"/>
              <w:left w:val="nil"/>
              <w:bottom w:val="nil"/>
              <w:right w:val="nil"/>
            </w:tcBorders>
          </w:tcPr>
          <w:p w14:paraId="5CB623D7">
            <w:pPr>
              <w:numPr>
                <w:ilvl w:val="1"/>
                <w:numId w:val="65"/>
              </w:numPr>
              <w:suppressAutoHyphens/>
              <w:overflowPunct w:val="0"/>
              <w:autoSpaceDE w:val="0"/>
              <w:autoSpaceDN w:val="0"/>
              <w:adjustRightInd w:val="0"/>
              <w:spacing w:before="120" w:after="120"/>
              <w:ind w:right="36"/>
              <w:jc w:val="both"/>
              <w:textAlignment w:val="baseline"/>
            </w:pPr>
            <w:r>
              <w:t>When the Employer wants the Contractor to finish before the Intended Completion Date, the Project Manager shall obtain priced proposals for achieving the necessary acceleration from the Contractor. If the Employer accepts these proposals, the Intended Completion Date shall be adjusted accordingly and confirmed by both the Employer and the Contractor.</w:t>
            </w:r>
          </w:p>
          <w:p w14:paraId="5289E9B0">
            <w:pPr>
              <w:numPr>
                <w:ilvl w:val="1"/>
                <w:numId w:val="65"/>
              </w:numPr>
              <w:suppressAutoHyphens/>
              <w:overflowPunct w:val="0"/>
              <w:autoSpaceDE w:val="0"/>
              <w:autoSpaceDN w:val="0"/>
              <w:adjustRightInd w:val="0"/>
              <w:spacing w:before="120" w:after="120"/>
              <w:ind w:right="36"/>
              <w:jc w:val="both"/>
              <w:textAlignment w:val="baseline"/>
            </w:pPr>
            <w:r>
              <w:t>If the Contractor’s priced proposals for an acceleration are accepted by the Employer, they are incorporated in the Contract Price and treated as a Variation.</w:t>
            </w:r>
          </w:p>
        </w:tc>
      </w:tr>
      <w:tr w14:paraId="0A7A5E86">
        <w:tblPrEx>
          <w:tblCellMar>
            <w:top w:w="0" w:type="dxa"/>
            <w:left w:w="108" w:type="dxa"/>
            <w:bottom w:w="0" w:type="dxa"/>
            <w:right w:w="108" w:type="dxa"/>
          </w:tblCellMar>
        </w:tblPrEx>
        <w:tc>
          <w:tcPr>
            <w:tcW w:w="2160" w:type="dxa"/>
            <w:tcBorders>
              <w:top w:val="nil"/>
              <w:left w:val="nil"/>
              <w:bottom w:val="nil"/>
              <w:right w:val="nil"/>
            </w:tcBorders>
          </w:tcPr>
          <w:p w14:paraId="421EBF1A">
            <w:pPr>
              <w:pStyle w:val="205"/>
              <w:numPr>
                <w:ilvl w:val="0"/>
                <w:numId w:val="65"/>
              </w:numPr>
              <w:tabs>
                <w:tab w:val="clear" w:pos="540"/>
                <w:tab w:val="clear" w:pos="360"/>
              </w:tabs>
              <w:spacing w:before="120" w:after="120"/>
              <w:ind w:left="360" w:hanging="360"/>
            </w:pPr>
            <w:bookmarkStart w:id="640" w:name="_Toc497228237"/>
            <w:bookmarkStart w:id="641" w:name="_Toc333923253"/>
            <w:bookmarkStart w:id="642" w:name="_Toc29906913"/>
            <w:r>
              <w:t>Delays Ordered by the Project Manager</w:t>
            </w:r>
            <w:bookmarkEnd w:id="640"/>
            <w:bookmarkEnd w:id="641"/>
            <w:bookmarkEnd w:id="642"/>
          </w:p>
        </w:tc>
        <w:tc>
          <w:tcPr>
            <w:tcW w:w="6989" w:type="dxa"/>
            <w:gridSpan w:val="3"/>
            <w:tcBorders>
              <w:top w:val="nil"/>
              <w:left w:val="nil"/>
              <w:bottom w:val="nil"/>
              <w:right w:val="nil"/>
            </w:tcBorders>
          </w:tcPr>
          <w:p w14:paraId="309620F0">
            <w:pPr>
              <w:numPr>
                <w:ilvl w:val="1"/>
                <w:numId w:val="65"/>
              </w:numPr>
              <w:suppressAutoHyphens/>
              <w:overflowPunct w:val="0"/>
              <w:autoSpaceDE w:val="0"/>
              <w:autoSpaceDN w:val="0"/>
              <w:adjustRightInd w:val="0"/>
              <w:spacing w:before="120" w:after="120"/>
              <w:ind w:right="36"/>
              <w:jc w:val="both"/>
              <w:textAlignment w:val="baseline"/>
            </w:pPr>
            <w:r>
              <w:t>The Project Manager may instruct the Contractor to delay the start or progress of any activity within the Works.</w:t>
            </w:r>
          </w:p>
        </w:tc>
      </w:tr>
      <w:tr w14:paraId="58F49A45">
        <w:tblPrEx>
          <w:tblCellMar>
            <w:top w:w="0" w:type="dxa"/>
            <w:left w:w="108" w:type="dxa"/>
            <w:bottom w:w="0" w:type="dxa"/>
            <w:right w:w="108" w:type="dxa"/>
          </w:tblCellMar>
        </w:tblPrEx>
        <w:tc>
          <w:tcPr>
            <w:tcW w:w="2160" w:type="dxa"/>
            <w:tcBorders>
              <w:top w:val="nil"/>
              <w:left w:val="nil"/>
              <w:bottom w:val="nil"/>
              <w:right w:val="nil"/>
            </w:tcBorders>
          </w:tcPr>
          <w:p w14:paraId="1388EB29">
            <w:pPr>
              <w:pStyle w:val="205"/>
              <w:numPr>
                <w:ilvl w:val="0"/>
                <w:numId w:val="65"/>
              </w:numPr>
              <w:tabs>
                <w:tab w:val="clear" w:pos="540"/>
                <w:tab w:val="clear" w:pos="360"/>
              </w:tabs>
              <w:spacing w:before="120" w:after="120"/>
              <w:ind w:left="360" w:hanging="360"/>
            </w:pPr>
            <w:bookmarkStart w:id="643" w:name="_Toc29906914"/>
            <w:bookmarkStart w:id="644" w:name="_Toc497228238"/>
            <w:bookmarkStart w:id="645" w:name="_Toc333923254"/>
            <w:r>
              <w:t>Management Meetings</w:t>
            </w:r>
            <w:bookmarkEnd w:id="643"/>
            <w:bookmarkEnd w:id="644"/>
            <w:bookmarkEnd w:id="645"/>
          </w:p>
        </w:tc>
        <w:tc>
          <w:tcPr>
            <w:tcW w:w="6989" w:type="dxa"/>
            <w:gridSpan w:val="3"/>
            <w:tcBorders>
              <w:top w:val="nil"/>
              <w:left w:val="nil"/>
              <w:bottom w:val="nil"/>
              <w:right w:val="nil"/>
            </w:tcBorders>
          </w:tcPr>
          <w:p w14:paraId="06B24B61">
            <w:pPr>
              <w:numPr>
                <w:ilvl w:val="1"/>
                <w:numId w:val="65"/>
              </w:numPr>
              <w:suppressAutoHyphens/>
              <w:overflowPunct w:val="0"/>
              <w:autoSpaceDE w:val="0"/>
              <w:autoSpaceDN w:val="0"/>
              <w:adjustRightInd w:val="0"/>
              <w:spacing w:before="120" w:after="120"/>
              <w:ind w:right="36"/>
              <w:jc w:val="both"/>
              <w:textAlignment w:val="baseline"/>
            </w:pPr>
            <w:r>
              <w:t>Either the Project Manager or the Contractor may require the other to attend a management meeting. The business of a management meeting shall be to review the plans for remaining work and to deal with matters raised in accordance with the early warning procedure.</w:t>
            </w:r>
          </w:p>
          <w:p w14:paraId="010286A8">
            <w:pPr>
              <w:numPr>
                <w:ilvl w:val="1"/>
                <w:numId w:val="65"/>
              </w:numPr>
              <w:suppressAutoHyphens/>
              <w:overflowPunct w:val="0"/>
              <w:autoSpaceDE w:val="0"/>
              <w:autoSpaceDN w:val="0"/>
              <w:adjustRightInd w:val="0"/>
              <w:spacing w:before="120" w:after="120"/>
              <w:ind w:right="36"/>
              <w:jc w:val="both"/>
              <w:textAlignment w:val="baseline"/>
            </w:pPr>
            <w:r>
              <w:t>The Project Manager shall record the business of management meetings and provide copies of the record to those attending the meeting and to the Employer. The responsibility of the parties for actions to be taken shall be decided by the Project Manager either at the management meeting or after the management meeting and stated in writing to all who attended the meeting.</w:t>
            </w:r>
          </w:p>
        </w:tc>
      </w:tr>
      <w:tr w14:paraId="5F4C5308">
        <w:tblPrEx>
          <w:tblCellMar>
            <w:top w:w="0" w:type="dxa"/>
            <w:left w:w="108" w:type="dxa"/>
            <w:bottom w:w="0" w:type="dxa"/>
            <w:right w:w="108" w:type="dxa"/>
          </w:tblCellMar>
        </w:tblPrEx>
        <w:tc>
          <w:tcPr>
            <w:tcW w:w="2160" w:type="dxa"/>
            <w:tcBorders>
              <w:top w:val="nil"/>
              <w:left w:val="nil"/>
              <w:bottom w:val="nil"/>
              <w:right w:val="nil"/>
            </w:tcBorders>
          </w:tcPr>
          <w:p w14:paraId="3ACF2E99">
            <w:pPr>
              <w:pStyle w:val="205"/>
              <w:numPr>
                <w:ilvl w:val="0"/>
                <w:numId w:val="65"/>
              </w:numPr>
              <w:tabs>
                <w:tab w:val="clear" w:pos="540"/>
                <w:tab w:val="clear" w:pos="360"/>
              </w:tabs>
              <w:spacing w:before="120" w:after="120"/>
              <w:ind w:left="360" w:hanging="360"/>
            </w:pPr>
            <w:bookmarkStart w:id="646" w:name="_Toc333923255"/>
            <w:bookmarkStart w:id="647" w:name="_Toc29906915"/>
            <w:bookmarkStart w:id="648" w:name="_Toc497228239"/>
            <w:r>
              <w:t>Early Warning</w:t>
            </w:r>
            <w:bookmarkEnd w:id="646"/>
            <w:bookmarkEnd w:id="647"/>
            <w:bookmarkEnd w:id="648"/>
          </w:p>
        </w:tc>
        <w:tc>
          <w:tcPr>
            <w:tcW w:w="6989" w:type="dxa"/>
            <w:gridSpan w:val="3"/>
            <w:tcBorders>
              <w:top w:val="nil"/>
              <w:left w:val="nil"/>
              <w:bottom w:val="nil"/>
              <w:right w:val="nil"/>
            </w:tcBorders>
          </w:tcPr>
          <w:p w14:paraId="393B673E">
            <w:pPr>
              <w:numPr>
                <w:ilvl w:val="1"/>
                <w:numId w:val="65"/>
              </w:numPr>
              <w:suppressAutoHyphens/>
              <w:overflowPunct w:val="0"/>
              <w:autoSpaceDE w:val="0"/>
              <w:autoSpaceDN w:val="0"/>
              <w:adjustRightInd w:val="0"/>
              <w:spacing w:before="120" w:after="120"/>
              <w:ind w:right="36"/>
              <w:jc w:val="both"/>
              <w:textAlignment w:val="baseline"/>
            </w:pPr>
            <w:r>
              <w:t>The Contractor shall warn the Project Manager at the earliest opportunity of specific likely future events or circumstances that may adversely affect the quality of the work, increase the Contract Price, or delay the execution of the Works.  The Project Manager may require the Contractor to provide an estimate of the expected effect of the future event or circumstance on the Contract Price and Completion Date. The estimate shall be provided by the Contractor as soon as reasonably possible.</w:t>
            </w:r>
          </w:p>
          <w:p w14:paraId="36F49030">
            <w:pPr>
              <w:numPr>
                <w:ilvl w:val="1"/>
                <w:numId w:val="65"/>
              </w:numPr>
              <w:suppressAutoHyphens/>
              <w:overflowPunct w:val="0"/>
              <w:autoSpaceDE w:val="0"/>
              <w:autoSpaceDN w:val="0"/>
              <w:adjustRightInd w:val="0"/>
              <w:spacing w:before="120" w:after="120"/>
              <w:ind w:right="36"/>
              <w:jc w:val="both"/>
              <w:textAlignment w:val="baseline"/>
            </w:pPr>
            <w:r>
              <w:t>The Contractor shall cooperate with the Project Manager in making and considering proposals for how the effect of such an event or circumstance can be avoided or reduced by anyone involved in the work and in carrying out any resulting instruction of the Project Manager.</w:t>
            </w:r>
          </w:p>
        </w:tc>
      </w:tr>
      <w:tr w14:paraId="22E322A6">
        <w:tblPrEx>
          <w:tblCellMar>
            <w:top w:w="0" w:type="dxa"/>
            <w:left w:w="108" w:type="dxa"/>
            <w:bottom w:w="0" w:type="dxa"/>
            <w:right w:w="108" w:type="dxa"/>
          </w:tblCellMar>
        </w:tblPrEx>
        <w:tc>
          <w:tcPr>
            <w:tcW w:w="9149" w:type="dxa"/>
            <w:gridSpan w:val="4"/>
            <w:tcBorders>
              <w:top w:val="nil"/>
              <w:left w:val="nil"/>
              <w:bottom w:val="nil"/>
              <w:right w:val="nil"/>
            </w:tcBorders>
          </w:tcPr>
          <w:p w14:paraId="0E1A52B2">
            <w:pPr>
              <w:pStyle w:val="204"/>
              <w:spacing w:after="120"/>
            </w:pPr>
            <w:bookmarkStart w:id="649" w:name="_Toc333923256"/>
            <w:bookmarkStart w:id="650" w:name="_Toc29906916"/>
            <w:bookmarkStart w:id="651" w:name="_Toc497228240"/>
            <w:r>
              <w:t>C.  Quality Control</w:t>
            </w:r>
            <w:bookmarkEnd w:id="649"/>
            <w:bookmarkEnd w:id="650"/>
            <w:bookmarkEnd w:id="651"/>
          </w:p>
        </w:tc>
      </w:tr>
      <w:tr w14:paraId="1F65DA1B">
        <w:tblPrEx>
          <w:tblCellMar>
            <w:top w:w="0" w:type="dxa"/>
            <w:left w:w="108" w:type="dxa"/>
            <w:bottom w:w="0" w:type="dxa"/>
            <w:right w:w="108" w:type="dxa"/>
          </w:tblCellMar>
        </w:tblPrEx>
        <w:tc>
          <w:tcPr>
            <w:tcW w:w="2160" w:type="dxa"/>
            <w:tcBorders>
              <w:top w:val="nil"/>
              <w:left w:val="nil"/>
              <w:bottom w:val="nil"/>
              <w:right w:val="nil"/>
            </w:tcBorders>
          </w:tcPr>
          <w:p w14:paraId="7EB505AE">
            <w:pPr>
              <w:pStyle w:val="205"/>
              <w:numPr>
                <w:ilvl w:val="0"/>
                <w:numId w:val="65"/>
              </w:numPr>
              <w:tabs>
                <w:tab w:val="clear" w:pos="540"/>
                <w:tab w:val="clear" w:pos="360"/>
              </w:tabs>
              <w:spacing w:before="120" w:after="120"/>
              <w:ind w:left="360" w:hanging="360"/>
            </w:pPr>
            <w:bookmarkStart w:id="652" w:name="_Toc29906917"/>
            <w:bookmarkStart w:id="653" w:name="_Toc333923257"/>
            <w:bookmarkStart w:id="654" w:name="_Toc497228241"/>
            <w:r>
              <w:t>Identifying Defects</w:t>
            </w:r>
            <w:bookmarkEnd w:id="652"/>
            <w:bookmarkEnd w:id="653"/>
            <w:bookmarkEnd w:id="654"/>
          </w:p>
        </w:tc>
        <w:tc>
          <w:tcPr>
            <w:tcW w:w="6989" w:type="dxa"/>
            <w:gridSpan w:val="3"/>
            <w:tcBorders>
              <w:top w:val="nil"/>
              <w:left w:val="nil"/>
              <w:bottom w:val="nil"/>
              <w:right w:val="nil"/>
            </w:tcBorders>
          </w:tcPr>
          <w:p w14:paraId="01A7DA14">
            <w:pPr>
              <w:numPr>
                <w:ilvl w:val="1"/>
                <w:numId w:val="65"/>
              </w:numPr>
              <w:suppressAutoHyphens/>
              <w:overflowPunct w:val="0"/>
              <w:autoSpaceDE w:val="0"/>
              <w:autoSpaceDN w:val="0"/>
              <w:adjustRightInd w:val="0"/>
              <w:spacing w:before="120" w:after="120"/>
              <w:ind w:right="36"/>
              <w:jc w:val="both"/>
              <w:textAlignment w:val="baseline"/>
            </w:pPr>
            <w:r>
              <w:t>The Project Manager shall check the Contractor’s work and notify the Contractor of any Defects that are found. Such checking shall not affect the Contractor’s responsibilities. The Project Manager may instruct the Contractor to search for a Defect and to uncover and test any work that the Project Manager considers may have a Defect.</w:t>
            </w:r>
          </w:p>
        </w:tc>
      </w:tr>
      <w:tr w14:paraId="2BDDE2AB">
        <w:tblPrEx>
          <w:tblCellMar>
            <w:top w:w="0" w:type="dxa"/>
            <w:left w:w="108" w:type="dxa"/>
            <w:bottom w:w="0" w:type="dxa"/>
            <w:right w:w="108" w:type="dxa"/>
          </w:tblCellMar>
        </w:tblPrEx>
        <w:tc>
          <w:tcPr>
            <w:tcW w:w="2160" w:type="dxa"/>
            <w:tcBorders>
              <w:top w:val="nil"/>
              <w:left w:val="nil"/>
              <w:bottom w:val="nil"/>
              <w:right w:val="nil"/>
            </w:tcBorders>
          </w:tcPr>
          <w:p w14:paraId="216CF110">
            <w:pPr>
              <w:pStyle w:val="205"/>
              <w:numPr>
                <w:ilvl w:val="0"/>
                <w:numId w:val="65"/>
              </w:numPr>
              <w:tabs>
                <w:tab w:val="clear" w:pos="540"/>
                <w:tab w:val="clear" w:pos="360"/>
              </w:tabs>
              <w:spacing w:before="120" w:after="120"/>
              <w:ind w:left="360" w:hanging="360"/>
            </w:pPr>
            <w:bookmarkStart w:id="655" w:name="_Toc29906918"/>
            <w:bookmarkStart w:id="656" w:name="_Toc497228242"/>
            <w:bookmarkStart w:id="657" w:name="_Toc333923258"/>
            <w:r>
              <w:t>Tests</w:t>
            </w:r>
            <w:bookmarkEnd w:id="655"/>
            <w:bookmarkEnd w:id="656"/>
            <w:bookmarkEnd w:id="657"/>
          </w:p>
        </w:tc>
        <w:tc>
          <w:tcPr>
            <w:tcW w:w="6989" w:type="dxa"/>
            <w:gridSpan w:val="3"/>
            <w:tcBorders>
              <w:top w:val="nil"/>
              <w:left w:val="nil"/>
              <w:bottom w:val="nil"/>
              <w:right w:val="nil"/>
            </w:tcBorders>
          </w:tcPr>
          <w:p w14:paraId="6B68BB14">
            <w:pPr>
              <w:numPr>
                <w:ilvl w:val="1"/>
                <w:numId w:val="65"/>
              </w:numPr>
              <w:suppressAutoHyphens/>
              <w:overflowPunct w:val="0"/>
              <w:autoSpaceDE w:val="0"/>
              <w:autoSpaceDN w:val="0"/>
              <w:adjustRightInd w:val="0"/>
              <w:spacing w:before="120" w:after="120"/>
              <w:ind w:right="36"/>
              <w:jc w:val="both"/>
              <w:textAlignment w:val="baseline"/>
            </w:pPr>
            <w:r>
              <w:t>If the Project Manager instructs the Contractor to carry out a test not specified in the Specifications to check whether any work has a Defect and the test shows that it does, the Contractor shall pay for the test and any samples. If there is no Defect, the test shall be a Compensation Event.</w:t>
            </w:r>
          </w:p>
        </w:tc>
      </w:tr>
      <w:tr w14:paraId="342DADE5">
        <w:tblPrEx>
          <w:tblCellMar>
            <w:top w:w="0" w:type="dxa"/>
            <w:left w:w="108" w:type="dxa"/>
            <w:bottom w:w="0" w:type="dxa"/>
            <w:right w:w="108" w:type="dxa"/>
          </w:tblCellMar>
        </w:tblPrEx>
        <w:tc>
          <w:tcPr>
            <w:tcW w:w="2160" w:type="dxa"/>
            <w:tcBorders>
              <w:top w:val="nil"/>
              <w:left w:val="nil"/>
              <w:bottom w:val="nil"/>
              <w:right w:val="nil"/>
            </w:tcBorders>
          </w:tcPr>
          <w:p w14:paraId="7A4D87AB">
            <w:pPr>
              <w:pStyle w:val="205"/>
              <w:numPr>
                <w:ilvl w:val="0"/>
                <w:numId w:val="65"/>
              </w:numPr>
              <w:tabs>
                <w:tab w:val="clear" w:pos="540"/>
                <w:tab w:val="clear" w:pos="360"/>
              </w:tabs>
              <w:spacing w:before="120" w:after="120"/>
              <w:ind w:left="360" w:hanging="360"/>
            </w:pPr>
            <w:bookmarkStart w:id="658" w:name="_Toc333923259"/>
            <w:bookmarkStart w:id="659" w:name="_Toc29906919"/>
            <w:bookmarkStart w:id="660" w:name="_Toc497228243"/>
            <w:r>
              <w:t>Correction of Defects</w:t>
            </w:r>
            <w:bookmarkEnd w:id="658"/>
            <w:bookmarkEnd w:id="659"/>
            <w:bookmarkEnd w:id="660"/>
          </w:p>
        </w:tc>
        <w:tc>
          <w:tcPr>
            <w:tcW w:w="6989" w:type="dxa"/>
            <w:gridSpan w:val="3"/>
            <w:tcBorders>
              <w:top w:val="nil"/>
              <w:left w:val="nil"/>
              <w:bottom w:val="nil"/>
              <w:right w:val="nil"/>
            </w:tcBorders>
          </w:tcPr>
          <w:p w14:paraId="0B5AAB41">
            <w:pPr>
              <w:numPr>
                <w:ilvl w:val="1"/>
                <w:numId w:val="65"/>
              </w:numPr>
              <w:suppressAutoHyphens/>
              <w:overflowPunct w:val="0"/>
              <w:autoSpaceDE w:val="0"/>
              <w:autoSpaceDN w:val="0"/>
              <w:adjustRightInd w:val="0"/>
              <w:spacing w:before="120" w:after="120"/>
              <w:ind w:right="36"/>
              <w:jc w:val="both"/>
              <w:textAlignment w:val="baseline"/>
            </w:pPr>
            <w:r>
              <w:t xml:space="preserve">The Project Manager shall give notice to the Contractor of any Defects before the end of the Defects Liability Period, which begins at Completion, and is </w:t>
            </w:r>
            <w:r>
              <w:rPr>
                <w:b/>
              </w:rPr>
              <w:t>defined in the PCC.</w:t>
            </w:r>
            <w:r>
              <w:t xml:space="preserve"> The Defects Liability Period shall be extended for as long as Defects remain to be corrected.</w:t>
            </w:r>
          </w:p>
          <w:p w14:paraId="3068811B">
            <w:pPr>
              <w:numPr>
                <w:ilvl w:val="1"/>
                <w:numId w:val="65"/>
              </w:numPr>
              <w:suppressAutoHyphens/>
              <w:overflowPunct w:val="0"/>
              <w:autoSpaceDE w:val="0"/>
              <w:autoSpaceDN w:val="0"/>
              <w:adjustRightInd w:val="0"/>
              <w:spacing w:before="120" w:after="120"/>
              <w:ind w:right="36"/>
              <w:jc w:val="both"/>
              <w:textAlignment w:val="baseline"/>
            </w:pPr>
            <w:r>
              <w:t>Every time notice of a Defect is given, the Contractor shall correct the notified Defect within the length of time specified by the Project Manager’s notice.</w:t>
            </w:r>
          </w:p>
        </w:tc>
      </w:tr>
      <w:tr w14:paraId="4062F0AD">
        <w:tblPrEx>
          <w:tblCellMar>
            <w:top w:w="0" w:type="dxa"/>
            <w:left w:w="108" w:type="dxa"/>
            <w:bottom w:w="0" w:type="dxa"/>
            <w:right w:w="108" w:type="dxa"/>
          </w:tblCellMar>
        </w:tblPrEx>
        <w:tc>
          <w:tcPr>
            <w:tcW w:w="2160" w:type="dxa"/>
            <w:tcBorders>
              <w:top w:val="nil"/>
              <w:left w:val="nil"/>
              <w:bottom w:val="nil"/>
              <w:right w:val="nil"/>
            </w:tcBorders>
          </w:tcPr>
          <w:p w14:paraId="5774EFCC">
            <w:pPr>
              <w:pStyle w:val="205"/>
              <w:numPr>
                <w:ilvl w:val="0"/>
                <w:numId w:val="65"/>
              </w:numPr>
              <w:tabs>
                <w:tab w:val="clear" w:pos="540"/>
                <w:tab w:val="clear" w:pos="360"/>
              </w:tabs>
              <w:spacing w:before="120" w:after="120"/>
              <w:ind w:left="360" w:hanging="360"/>
            </w:pPr>
            <w:bookmarkStart w:id="661" w:name="_Toc497228244"/>
            <w:bookmarkStart w:id="662" w:name="_Toc29906920"/>
            <w:bookmarkStart w:id="663" w:name="_Toc333923260"/>
            <w:r>
              <w:t>Uncorrected Defects</w:t>
            </w:r>
            <w:bookmarkEnd w:id="661"/>
            <w:bookmarkEnd w:id="662"/>
            <w:bookmarkEnd w:id="663"/>
          </w:p>
        </w:tc>
        <w:tc>
          <w:tcPr>
            <w:tcW w:w="6989" w:type="dxa"/>
            <w:gridSpan w:val="3"/>
            <w:tcBorders>
              <w:top w:val="nil"/>
              <w:left w:val="nil"/>
              <w:bottom w:val="nil"/>
              <w:right w:val="nil"/>
            </w:tcBorders>
          </w:tcPr>
          <w:p w14:paraId="3C205B7F">
            <w:pPr>
              <w:numPr>
                <w:ilvl w:val="1"/>
                <w:numId w:val="65"/>
              </w:numPr>
              <w:suppressAutoHyphens/>
              <w:overflowPunct w:val="0"/>
              <w:autoSpaceDE w:val="0"/>
              <w:autoSpaceDN w:val="0"/>
              <w:adjustRightInd w:val="0"/>
              <w:spacing w:before="120" w:after="120"/>
              <w:ind w:right="36"/>
              <w:jc w:val="both"/>
              <w:textAlignment w:val="baseline"/>
            </w:pPr>
            <w:r>
              <w:t>If the Contractor has not corrected a Defect within the time specified in the Project Manager’s notice, the Project Manager shall assess the cost of having the Defect corrected, and the Contractor shall pay this amount.</w:t>
            </w:r>
          </w:p>
        </w:tc>
      </w:tr>
      <w:tr w14:paraId="62D8AB99">
        <w:tblPrEx>
          <w:tblCellMar>
            <w:top w:w="0" w:type="dxa"/>
            <w:left w:w="108" w:type="dxa"/>
            <w:bottom w:w="0" w:type="dxa"/>
            <w:right w:w="108" w:type="dxa"/>
          </w:tblCellMar>
        </w:tblPrEx>
        <w:tc>
          <w:tcPr>
            <w:tcW w:w="9149" w:type="dxa"/>
            <w:gridSpan w:val="4"/>
            <w:tcBorders>
              <w:top w:val="nil"/>
              <w:left w:val="nil"/>
              <w:bottom w:val="nil"/>
              <w:right w:val="nil"/>
            </w:tcBorders>
          </w:tcPr>
          <w:p w14:paraId="2EB7F903">
            <w:pPr>
              <w:pStyle w:val="204"/>
              <w:keepNext/>
              <w:keepLines/>
              <w:spacing w:after="120"/>
            </w:pPr>
            <w:bookmarkStart w:id="664" w:name="_Toc333923261"/>
            <w:bookmarkStart w:id="665" w:name="_Toc29906921"/>
            <w:bookmarkStart w:id="666" w:name="_Toc497228245"/>
            <w:r>
              <w:t>D.  Cost Control</w:t>
            </w:r>
            <w:bookmarkEnd w:id="664"/>
            <w:bookmarkEnd w:id="665"/>
            <w:bookmarkEnd w:id="666"/>
          </w:p>
        </w:tc>
      </w:tr>
      <w:tr w14:paraId="443F98D3">
        <w:tblPrEx>
          <w:tblCellMar>
            <w:top w:w="0" w:type="dxa"/>
            <w:left w:w="108" w:type="dxa"/>
            <w:bottom w:w="0" w:type="dxa"/>
            <w:right w:w="108" w:type="dxa"/>
          </w:tblCellMar>
        </w:tblPrEx>
        <w:tc>
          <w:tcPr>
            <w:tcW w:w="2160" w:type="dxa"/>
            <w:tcBorders>
              <w:top w:val="nil"/>
              <w:left w:val="nil"/>
              <w:bottom w:val="nil"/>
              <w:right w:val="nil"/>
            </w:tcBorders>
          </w:tcPr>
          <w:p w14:paraId="2D3BFFAC">
            <w:pPr>
              <w:pStyle w:val="205"/>
              <w:numPr>
                <w:ilvl w:val="0"/>
                <w:numId w:val="65"/>
              </w:numPr>
              <w:tabs>
                <w:tab w:val="clear" w:pos="540"/>
                <w:tab w:val="clear" w:pos="360"/>
              </w:tabs>
              <w:spacing w:before="120" w:after="120"/>
              <w:ind w:left="360" w:hanging="360"/>
            </w:pPr>
            <w:bookmarkStart w:id="667" w:name="_Toc333923262"/>
            <w:bookmarkStart w:id="668" w:name="_Toc29906922"/>
            <w:bookmarkStart w:id="669" w:name="_Toc497228246"/>
            <w:r>
              <w:t>Contract Price</w:t>
            </w:r>
            <w:bookmarkEnd w:id="667"/>
            <w:r>
              <w:rPr>
                <w:vertAlign w:val="superscript"/>
              </w:rPr>
              <w:footnoteReference w:id="27"/>
            </w:r>
            <w:bookmarkEnd w:id="668"/>
            <w:bookmarkEnd w:id="669"/>
          </w:p>
        </w:tc>
        <w:tc>
          <w:tcPr>
            <w:tcW w:w="6989" w:type="dxa"/>
            <w:gridSpan w:val="3"/>
            <w:tcBorders>
              <w:top w:val="nil"/>
              <w:left w:val="nil"/>
              <w:bottom w:val="nil"/>
              <w:right w:val="nil"/>
            </w:tcBorders>
          </w:tcPr>
          <w:p w14:paraId="71CC4352">
            <w:pPr>
              <w:numPr>
                <w:ilvl w:val="1"/>
                <w:numId w:val="65"/>
              </w:numPr>
              <w:suppressAutoHyphens/>
              <w:overflowPunct w:val="0"/>
              <w:autoSpaceDE w:val="0"/>
              <w:autoSpaceDN w:val="0"/>
              <w:adjustRightInd w:val="0"/>
              <w:spacing w:before="120" w:after="120"/>
              <w:ind w:right="36"/>
              <w:jc w:val="both"/>
              <w:textAlignment w:val="baseline"/>
            </w:pPr>
            <w:r>
              <w:t>The Bill of Quantities shall contain priced items for the Works to be performed by the Contractor. The Bill of Quantities is used to calculate the Contract Price. The Contractor will be paid for the quantity of the work accomplished at the rate in the Bill of Quantities for each item.</w:t>
            </w:r>
          </w:p>
        </w:tc>
      </w:tr>
      <w:tr w14:paraId="14E9DD41">
        <w:tblPrEx>
          <w:tblCellMar>
            <w:top w:w="0" w:type="dxa"/>
            <w:left w:w="108" w:type="dxa"/>
            <w:bottom w:w="0" w:type="dxa"/>
            <w:right w:w="108" w:type="dxa"/>
          </w:tblCellMar>
        </w:tblPrEx>
        <w:tc>
          <w:tcPr>
            <w:tcW w:w="2160" w:type="dxa"/>
            <w:tcBorders>
              <w:top w:val="nil"/>
              <w:left w:val="nil"/>
              <w:bottom w:val="nil"/>
              <w:right w:val="nil"/>
            </w:tcBorders>
          </w:tcPr>
          <w:p w14:paraId="56D6B031">
            <w:pPr>
              <w:pStyle w:val="205"/>
              <w:numPr>
                <w:ilvl w:val="0"/>
                <w:numId w:val="65"/>
              </w:numPr>
              <w:tabs>
                <w:tab w:val="clear" w:pos="540"/>
                <w:tab w:val="clear" w:pos="360"/>
              </w:tabs>
              <w:spacing w:before="120" w:after="120"/>
              <w:ind w:left="360" w:hanging="360"/>
            </w:pPr>
            <w:bookmarkStart w:id="670" w:name="_Toc333923263"/>
            <w:bookmarkStart w:id="671" w:name="_Toc29906923"/>
            <w:bookmarkStart w:id="672" w:name="_Toc497228247"/>
            <w:r>
              <w:t>Changes in the Contract Price</w:t>
            </w:r>
            <w:bookmarkEnd w:id="670"/>
            <w:r>
              <w:rPr>
                <w:vertAlign w:val="superscript"/>
              </w:rPr>
              <w:footnoteReference w:id="28"/>
            </w:r>
            <w:bookmarkEnd w:id="671"/>
            <w:bookmarkEnd w:id="672"/>
          </w:p>
        </w:tc>
        <w:tc>
          <w:tcPr>
            <w:tcW w:w="6989" w:type="dxa"/>
            <w:gridSpan w:val="3"/>
            <w:tcBorders>
              <w:top w:val="nil"/>
              <w:left w:val="nil"/>
              <w:bottom w:val="nil"/>
              <w:right w:val="nil"/>
            </w:tcBorders>
          </w:tcPr>
          <w:p w14:paraId="053223F7">
            <w:pPr>
              <w:numPr>
                <w:ilvl w:val="1"/>
                <w:numId w:val="65"/>
              </w:numPr>
              <w:suppressAutoHyphens/>
              <w:overflowPunct w:val="0"/>
              <w:autoSpaceDE w:val="0"/>
              <w:autoSpaceDN w:val="0"/>
              <w:adjustRightInd w:val="0"/>
              <w:spacing w:before="120" w:after="120"/>
              <w:ind w:right="36"/>
              <w:jc w:val="both"/>
              <w:textAlignment w:val="baseline"/>
            </w:pPr>
            <w:r>
              <w:t>If the final quantity of the work done differs from the quantity in the Bill of Quantities for the particular item by more than 25 percent, provided the change exceeds 1 percent of the Initial Contract Price, the Project Manager shall adjust the rate to allow for the change. The Project Manager shall not adjust rates from changes in quantities if thereby the Initial Contract Price is exceeded by more than 15 percent, except with the prior approval of the Employer.</w:t>
            </w:r>
          </w:p>
          <w:p w14:paraId="6F9A7E3D">
            <w:pPr>
              <w:numPr>
                <w:ilvl w:val="1"/>
                <w:numId w:val="65"/>
              </w:numPr>
              <w:suppressAutoHyphens/>
              <w:overflowPunct w:val="0"/>
              <w:autoSpaceDE w:val="0"/>
              <w:autoSpaceDN w:val="0"/>
              <w:adjustRightInd w:val="0"/>
              <w:spacing w:before="120" w:after="120"/>
              <w:ind w:right="36"/>
              <w:jc w:val="both"/>
              <w:textAlignment w:val="baseline"/>
            </w:pPr>
            <w:r>
              <w:t>If requested by the Project Manager, the Contractor shall provide the Project Manager with a detailed cost breakdown of any rate in the Bill of Quantities.</w:t>
            </w:r>
          </w:p>
        </w:tc>
      </w:tr>
      <w:tr w14:paraId="07CC7A00">
        <w:tblPrEx>
          <w:tblCellMar>
            <w:top w:w="0" w:type="dxa"/>
            <w:left w:w="108" w:type="dxa"/>
            <w:bottom w:w="0" w:type="dxa"/>
            <w:right w:w="108" w:type="dxa"/>
          </w:tblCellMar>
        </w:tblPrEx>
        <w:tc>
          <w:tcPr>
            <w:tcW w:w="2160" w:type="dxa"/>
            <w:tcBorders>
              <w:top w:val="nil"/>
              <w:left w:val="nil"/>
              <w:right w:val="nil"/>
            </w:tcBorders>
          </w:tcPr>
          <w:p w14:paraId="6AD9BA16">
            <w:pPr>
              <w:pStyle w:val="205"/>
              <w:numPr>
                <w:ilvl w:val="0"/>
                <w:numId w:val="65"/>
              </w:numPr>
              <w:tabs>
                <w:tab w:val="clear" w:pos="540"/>
                <w:tab w:val="clear" w:pos="360"/>
              </w:tabs>
              <w:spacing w:before="120" w:after="120"/>
              <w:ind w:left="360" w:hanging="360"/>
            </w:pPr>
            <w:bookmarkStart w:id="673" w:name="_Toc29906924"/>
            <w:bookmarkStart w:id="674" w:name="_Toc497228248"/>
            <w:bookmarkStart w:id="675" w:name="_Toc333923264"/>
            <w:r>
              <w:t>Variations</w:t>
            </w:r>
            <w:bookmarkEnd w:id="673"/>
            <w:bookmarkEnd w:id="674"/>
            <w:bookmarkEnd w:id="675"/>
          </w:p>
        </w:tc>
        <w:tc>
          <w:tcPr>
            <w:tcW w:w="6989" w:type="dxa"/>
            <w:gridSpan w:val="3"/>
            <w:tcBorders>
              <w:top w:val="nil"/>
              <w:left w:val="nil"/>
              <w:right w:val="nil"/>
            </w:tcBorders>
          </w:tcPr>
          <w:p w14:paraId="3DC4D607">
            <w:pPr>
              <w:numPr>
                <w:ilvl w:val="1"/>
                <w:numId w:val="65"/>
              </w:numPr>
              <w:suppressAutoHyphens/>
              <w:overflowPunct w:val="0"/>
              <w:autoSpaceDE w:val="0"/>
              <w:autoSpaceDN w:val="0"/>
              <w:adjustRightInd w:val="0"/>
              <w:spacing w:before="120" w:after="120"/>
              <w:ind w:right="36"/>
              <w:jc w:val="both"/>
              <w:textAlignment w:val="baseline"/>
            </w:pPr>
            <w:r>
              <w:t>All Variations shall be included in updated Programs</w:t>
            </w:r>
            <w:r>
              <w:rPr>
                <w:vertAlign w:val="superscript"/>
              </w:rPr>
              <w:footnoteReference w:id="29"/>
            </w:r>
            <w:r>
              <w:t xml:space="preserve"> produced by the Contractor.</w:t>
            </w:r>
          </w:p>
          <w:p w14:paraId="4353A415">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provide the Project Manager with a quotation for carrying out the Variation when requested to do so by the Project Manager. The Contractor shall also provide </w:t>
            </w:r>
            <w:r>
              <w:rPr>
                <w:color w:val="000000" w:themeColor="text1"/>
                <w14:textFill>
                  <w14:solidFill>
                    <w14:schemeClr w14:val="tx1"/>
                  </w14:solidFill>
                </w14:textFill>
              </w:rPr>
              <w:t xml:space="preserve">information of any ES risks and impacts of the Variation. </w:t>
            </w:r>
            <w:r>
              <w:t>The Project Manager shall assess the quotation, which shall be given within seven (7) days of the request or within any longer period stated by the Project Manager and before the Variation is ordered.</w:t>
            </w:r>
          </w:p>
          <w:p w14:paraId="7ACA95CA">
            <w:pPr>
              <w:numPr>
                <w:ilvl w:val="1"/>
                <w:numId w:val="65"/>
              </w:numPr>
              <w:suppressAutoHyphens/>
              <w:overflowPunct w:val="0"/>
              <w:autoSpaceDE w:val="0"/>
              <w:autoSpaceDN w:val="0"/>
              <w:adjustRightInd w:val="0"/>
              <w:spacing w:before="120" w:after="120"/>
              <w:ind w:right="36"/>
              <w:jc w:val="both"/>
              <w:textAlignment w:val="baseline"/>
            </w:pPr>
            <w:r>
              <w:t>If the Contractor’s quotation is unreasonable, the Project Manager may order the Variation and make a change to the Contract Price, which shall be based on the Project Manager’s own forecast of the effects of the Variation on the Contractor’s costs.</w:t>
            </w:r>
          </w:p>
          <w:p w14:paraId="48E15042">
            <w:pPr>
              <w:numPr>
                <w:ilvl w:val="1"/>
                <w:numId w:val="65"/>
              </w:numPr>
              <w:suppressAutoHyphens/>
              <w:overflowPunct w:val="0"/>
              <w:autoSpaceDE w:val="0"/>
              <w:autoSpaceDN w:val="0"/>
              <w:adjustRightInd w:val="0"/>
              <w:spacing w:before="120" w:after="120"/>
              <w:ind w:right="36"/>
              <w:jc w:val="both"/>
              <w:textAlignment w:val="baseline"/>
            </w:pPr>
            <w:r>
              <w:t>If the Project Manager decides that the urgency of varying the work would prevent a quotation being given and considered without delaying the work, no quotation shall be given and the Variation shall be treated as a Compensation Event.</w:t>
            </w:r>
          </w:p>
          <w:p w14:paraId="06D0C0C8">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not be entitled to additional payment for costs that could have been avoided by giving early warning. </w:t>
            </w:r>
          </w:p>
          <w:p w14:paraId="1180731A">
            <w:pPr>
              <w:numPr>
                <w:ilvl w:val="1"/>
                <w:numId w:val="65"/>
              </w:numPr>
              <w:suppressAutoHyphens/>
              <w:overflowPunct w:val="0"/>
              <w:autoSpaceDE w:val="0"/>
              <w:autoSpaceDN w:val="0"/>
              <w:adjustRightInd w:val="0"/>
              <w:spacing w:before="120" w:after="120"/>
              <w:ind w:right="36"/>
              <w:jc w:val="both"/>
              <w:textAlignment w:val="baseline"/>
            </w:pPr>
            <w:r>
              <w:t xml:space="preserve">If the work in the Variation corresponds to an item description in the Bill of Quantities and if, in the opinion of the Project Manager, the quantity of work above the limit stated in GCC Sub-Clause 39.1 or the timing of its execution do not cause the cost per unit of quantity to change, the rate in the Bill of Quantities shall be used to calculate the value of the Variation. If the cost per unit of quantity changes, or if the nature or timing of the work in the Variation does not correspond with items in the Bill of Quantities, the quotation by the Contractor shall be in the form of new rates for the relevant items of work. </w:t>
            </w:r>
            <w:r>
              <w:rPr>
                <w:vertAlign w:val="superscript"/>
              </w:rPr>
              <w:footnoteReference w:id="30"/>
            </w:r>
          </w:p>
        </w:tc>
      </w:tr>
      <w:tr w14:paraId="435C81C6">
        <w:tblPrEx>
          <w:tblCellMar>
            <w:top w:w="0" w:type="dxa"/>
            <w:left w:w="108" w:type="dxa"/>
            <w:bottom w:w="0" w:type="dxa"/>
            <w:right w:w="108" w:type="dxa"/>
          </w:tblCellMar>
        </w:tblPrEx>
        <w:tc>
          <w:tcPr>
            <w:tcW w:w="2160" w:type="dxa"/>
            <w:tcBorders>
              <w:top w:val="nil"/>
              <w:left w:val="nil"/>
              <w:bottom w:val="nil"/>
              <w:right w:val="nil"/>
            </w:tcBorders>
          </w:tcPr>
          <w:p w14:paraId="4A710567">
            <w:pPr>
              <w:pStyle w:val="205"/>
              <w:numPr>
                <w:ilvl w:val="0"/>
                <w:numId w:val="65"/>
              </w:numPr>
              <w:tabs>
                <w:tab w:val="clear" w:pos="540"/>
                <w:tab w:val="clear" w:pos="360"/>
              </w:tabs>
              <w:spacing w:before="120" w:after="120"/>
              <w:ind w:left="360" w:hanging="360"/>
            </w:pPr>
            <w:bookmarkStart w:id="676" w:name="_Toc333923265"/>
            <w:bookmarkStart w:id="677" w:name="_Toc497228249"/>
            <w:bookmarkStart w:id="678" w:name="_Toc29906925"/>
            <w:r>
              <w:t>Cash Flow Forecasts</w:t>
            </w:r>
            <w:bookmarkEnd w:id="676"/>
            <w:bookmarkEnd w:id="677"/>
            <w:bookmarkEnd w:id="678"/>
          </w:p>
        </w:tc>
        <w:tc>
          <w:tcPr>
            <w:tcW w:w="6989" w:type="dxa"/>
            <w:gridSpan w:val="3"/>
            <w:tcBorders>
              <w:top w:val="nil"/>
              <w:left w:val="nil"/>
              <w:bottom w:val="nil"/>
              <w:right w:val="nil"/>
            </w:tcBorders>
          </w:tcPr>
          <w:p w14:paraId="6CE90B1E">
            <w:pPr>
              <w:numPr>
                <w:ilvl w:val="1"/>
                <w:numId w:val="65"/>
              </w:numPr>
              <w:suppressAutoHyphens/>
              <w:overflowPunct w:val="0"/>
              <w:autoSpaceDE w:val="0"/>
              <w:autoSpaceDN w:val="0"/>
              <w:adjustRightInd w:val="0"/>
              <w:spacing w:before="120" w:after="120"/>
              <w:ind w:right="36"/>
              <w:jc w:val="both"/>
              <w:textAlignment w:val="baseline"/>
            </w:pPr>
            <w:r>
              <w:t>When the Program,</w:t>
            </w:r>
            <w:r>
              <w:rPr>
                <w:vertAlign w:val="superscript"/>
              </w:rPr>
              <w:footnoteReference w:id="31"/>
            </w:r>
            <w:r>
              <w:t xml:space="preserve"> is updated, the Contractor shall provide the Project Manager with an updated cash flow forecast.  The cash flow forecast shall include different currencies, as defined in the Contract, converted as necessary using the Contract exchange rates.</w:t>
            </w:r>
          </w:p>
        </w:tc>
      </w:tr>
      <w:tr w14:paraId="0B5B18C0">
        <w:tblPrEx>
          <w:tblCellMar>
            <w:top w:w="0" w:type="dxa"/>
            <w:left w:w="108" w:type="dxa"/>
            <w:bottom w:w="0" w:type="dxa"/>
            <w:right w:w="108" w:type="dxa"/>
          </w:tblCellMar>
        </w:tblPrEx>
        <w:tc>
          <w:tcPr>
            <w:tcW w:w="2160" w:type="dxa"/>
            <w:tcBorders>
              <w:top w:val="nil"/>
              <w:left w:val="nil"/>
              <w:bottom w:val="nil"/>
              <w:right w:val="nil"/>
            </w:tcBorders>
          </w:tcPr>
          <w:p w14:paraId="4EEB56C8">
            <w:pPr>
              <w:pStyle w:val="205"/>
              <w:numPr>
                <w:ilvl w:val="0"/>
                <w:numId w:val="65"/>
              </w:numPr>
              <w:tabs>
                <w:tab w:val="clear" w:pos="540"/>
                <w:tab w:val="clear" w:pos="360"/>
              </w:tabs>
              <w:spacing w:before="120" w:after="120"/>
              <w:ind w:left="360" w:hanging="360"/>
            </w:pPr>
            <w:bookmarkStart w:id="679" w:name="_Toc497228250"/>
            <w:bookmarkStart w:id="680" w:name="_Toc333923266"/>
            <w:bookmarkStart w:id="681" w:name="_Toc29906926"/>
            <w:r>
              <w:t>Payment Certificates</w:t>
            </w:r>
            <w:bookmarkEnd w:id="679"/>
            <w:bookmarkEnd w:id="680"/>
            <w:bookmarkEnd w:id="681"/>
          </w:p>
        </w:tc>
        <w:tc>
          <w:tcPr>
            <w:tcW w:w="6989" w:type="dxa"/>
            <w:gridSpan w:val="3"/>
            <w:tcBorders>
              <w:top w:val="nil"/>
              <w:left w:val="nil"/>
              <w:bottom w:val="nil"/>
              <w:right w:val="nil"/>
            </w:tcBorders>
          </w:tcPr>
          <w:p w14:paraId="356D05EE">
            <w:pPr>
              <w:numPr>
                <w:ilvl w:val="1"/>
                <w:numId w:val="65"/>
              </w:numPr>
              <w:suppressAutoHyphens/>
              <w:overflowPunct w:val="0"/>
              <w:autoSpaceDE w:val="0"/>
              <w:autoSpaceDN w:val="0"/>
              <w:adjustRightInd w:val="0"/>
              <w:spacing w:before="120" w:after="120"/>
              <w:ind w:right="36"/>
              <w:jc w:val="both"/>
              <w:textAlignment w:val="baseline"/>
            </w:pPr>
            <w:r>
              <w:t>The Contractor shall submit to the Project Manager monthly statements of the estimated value of the work executed less the cumulative amount certified previously.</w:t>
            </w:r>
          </w:p>
          <w:p w14:paraId="32895C0B">
            <w:pPr>
              <w:numPr>
                <w:ilvl w:val="1"/>
                <w:numId w:val="65"/>
              </w:numPr>
              <w:suppressAutoHyphens/>
              <w:overflowPunct w:val="0"/>
              <w:autoSpaceDE w:val="0"/>
              <w:autoSpaceDN w:val="0"/>
              <w:adjustRightInd w:val="0"/>
              <w:spacing w:before="120" w:after="120"/>
              <w:ind w:right="36"/>
              <w:jc w:val="both"/>
              <w:textAlignment w:val="baseline"/>
            </w:pPr>
            <w:r>
              <w:t>The Project Manager shall check the Contractor’s monthly statement and certify the amount to be paid to the Contractor.</w:t>
            </w:r>
          </w:p>
          <w:p w14:paraId="5A9CF101">
            <w:pPr>
              <w:numPr>
                <w:ilvl w:val="1"/>
                <w:numId w:val="65"/>
              </w:numPr>
              <w:suppressAutoHyphens/>
              <w:overflowPunct w:val="0"/>
              <w:autoSpaceDE w:val="0"/>
              <w:autoSpaceDN w:val="0"/>
              <w:adjustRightInd w:val="0"/>
              <w:spacing w:before="120" w:after="120"/>
              <w:ind w:right="36"/>
              <w:jc w:val="both"/>
              <w:textAlignment w:val="baseline"/>
            </w:pPr>
            <w:r>
              <w:t>The value of work executed shall be determined by the Project Manager.</w:t>
            </w:r>
          </w:p>
          <w:p w14:paraId="51D6997D">
            <w:pPr>
              <w:numPr>
                <w:ilvl w:val="1"/>
                <w:numId w:val="65"/>
              </w:numPr>
              <w:suppressAutoHyphens/>
              <w:overflowPunct w:val="0"/>
              <w:autoSpaceDE w:val="0"/>
              <w:autoSpaceDN w:val="0"/>
              <w:adjustRightInd w:val="0"/>
              <w:spacing w:before="120" w:after="120"/>
              <w:ind w:right="36"/>
              <w:jc w:val="both"/>
              <w:textAlignment w:val="baseline"/>
            </w:pPr>
            <w:r>
              <w:t>The value of work executed shall comprise the value of the quantities of work in the Bill of Quantities that have been completed.</w:t>
            </w:r>
            <w:r>
              <w:rPr>
                <w:vertAlign w:val="superscript"/>
              </w:rPr>
              <w:footnoteReference w:id="32"/>
            </w:r>
          </w:p>
          <w:p w14:paraId="30CB405B">
            <w:pPr>
              <w:numPr>
                <w:ilvl w:val="1"/>
                <w:numId w:val="65"/>
              </w:numPr>
              <w:suppressAutoHyphens/>
              <w:overflowPunct w:val="0"/>
              <w:autoSpaceDE w:val="0"/>
              <w:autoSpaceDN w:val="0"/>
              <w:adjustRightInd w:val="0"/>
              <w:spacing w:before="120" w:after="120"/>
              <w:ind w:right="36"/>
              <w:jc w:val="both"/>
              <w:textAlignment w:val="baseline"/>
            </w:pPr>
            <w:r>
              <w:t>The value of work executed shall include the valuation of Variations and Compensation Events.</w:t>
            </w:r>
          </w:p>
          <w:p w14:paraId="0070A4C6">
            <w:pPr>
              <w:numPr>
                <w:ilvl w:val="1"/>
                <w:numId w:val="65"/>
              </w:numPr>
              <w:suppressAutoHyphens/>
              <w:overflowPunct w:val="0"/>
              <w:autoSpaceDE w:val="0"/>
              <w:autoSpaceDN w:val="0"/>
              <w:adjustRightInd w:val="0"/>
              <w:spacing w:before="120" w:after="120"/>
              <w:ind w:right="36"/>
              <w:jc w:val="both"/>
              <w:textAlignment w:val="baseline"/>
            </w:pPr>
            <w:r>
              <w:t>The Project Manager may exclude any item certified in a previous certificate or reduce the proportion of any item previously certified in any certificate in the light of later information.</w:t>
            </w:r>
          </w:p>
          <w:p w14:paraId="7C6DFEDE">
            <w:pPr>
              <w:numPr>
                <w:ilvl w:val="1"/>
                <w:numId w:val="65"/>
              </w:numPr>
              <w:suppressAutoHyphens/>
              <w:overflowPunct w:val="0"/>
              <w:autoSpaceDE w:val="0"/>
              <w:autoSpaceDN w:val="0"/>
              <w:adjustRightInd w:val="0"/>
              <w:spacing w:before="120" w:after="120"/>
              <w:ind w:right="36"/>
              <w:jc w:val="both"/>
              <w:textAlignment w:val="baseline"/>
            </w:pPr>
            <w:r>
              <w:rPr>
                <w:color w:val="000000" w:themeColor="text1"/>
                <w14:textFill>
                  <w14:solidFill>
                    <w14:schemeClr w14:val="tx1"/>
                  </w14:solidFill>
                </w14:textFill>
              </w:rPr>
              <w:t>If the Contractor was, or is, failing to perform any ES obligations or work under the Contract, the value of this work or obligation, as determined by the Project Manager, may be withheld until the work or obligation has been performed, and/or the cost of rectification or replacement, as determined by the Project Manager, may be withheld until rectification or replacement has been completed. Failure to perform includes, but is not limited to the following:</w:t>
            </w:r>
          </w:p>
          <w:p w14:paraId="22D77AAB">
            <w:pPr>
              <w:numPr>
                <w:ilvl w:val="0"/>
                <w:numId w:val="81"/>
              </w:numPr>
              <w:spacing w:before="120" w:after="120"/>
              <w:ind w:left="1142" w:hanging="540"/>
              <w:jc w:val="both"/>
              <w:rPr>
                <w:color w:val="000000" w:themeColor="text1"/>
                <w14:textFill>
                  <w14:solidFill>
                    <w14:schemeClr w14:val="tx1"/>
                  </w14:solidFill>
                </w14:textFill>
              </w:rPr>
            </w:pPr>
            <w:r>
              <w:rPr>
                <w:color w:val="000000" w:themeColor="text1"/>
                <w14:textFill>
                  <w14:solidFill>
                    <w14:schemeClr w14:val="tx1"/>
                  </w14:solidFill>
                </w14:textFill>
              </w:rPr>
              <w:t>failure to comply with any ES obligations or work described in the Works’ Requirements which may include: working outside site boundaries, excessive dust, failure to keep public roads in a safe usable condition, damage to offsite vegetation, pollution of water courses from oils or sedimentation, contamination of land e.g. from oils, human waste, damage to archeology or cultural heritage features, air pollution as a result of unauthorized and/or inefficient combustion;</w:t>
            </w:r>
          </w:p>
          <w:p w14:paraId="3F89C66A">
            <w:pPr>
              <w:numPr>
                <w:ilvl w:val="0"/>
                <w:numId w:val="81"/>
              </w:numPr>
              <w:spacing w:before="120" w:after="120"/>
              <w:ind w:left="1142" w:hanging="540"/>
              <w:jc w:val="both"/>
              <w:rPr>
                <w:color w:val="000000" w:themeColor="text1"/>
                <w14:textFill>
                  <w14:solidFill>
                    <w14:schemeClr w14:val="tx1"/>
                  </w14:solidFill>
                </w14:textFill>
              </w:rPr>
            </w:pPr>
            <w:r>
              <w:rPr>
                <w:color w:val="000000" w:themeColor="text1"/>
                <w14:textFill>
                  <w14:solidFill>
                    <w14:schemeClr w14:val="tx1"/>
                  </w14:solidFill>
                </w14:textFill>
              </w:rPr>
              <w:t xml:space="preserve">failure to regularly review C-ESMP and/or update it in a timely </w:t>
            </w:r>
            <w:r>
              <w:rPr>
                <w:color w:val="000000"/>
              </w:rPr>
              <w:t>manner</w:t>
            </w:r>
            <w:r>
              <w:rPr>
                <w:color w:val="000000" w:themeColor="text1"/>
                <w14:textFill>
                  <w14:solidFill>
                    <w14:schemeClr w14:val="tx1"/>
                  </w14:solidFill>
                </w14:textFill>
              </w:rPr>
              <w:t xml:space="preserve"> to address emerging ES issues, or anticipated risks or impacts;</w:t>
            </w:r>
          </w:p>
          <w:p w14:paraId="238DB79C">
            <w:pPr>
              <w:numPr>
                <w:ilvl w:val="0"/>
                <w:numId w:val="81"/>
              </w:numPr>
              <w:spacing w:before="120" w:after="120"/>
              <w:ind w:left="1142" w:hanging="540"/>
              <w:jc w:val="both"/>
              <w:rPr>
                <w:color w:val="000000" w:themeColor="text1"/>
                <w14:textFill>
                  <w14:solidFill>
                    <w14:schemeClr w14:val="tx1"/>
                  </w14:solidFill>
                </w14:textFill>
              </w:rPr>
            </w:pPr>
            <w:r>
              <w:rPr>
                <w:color w:val="000000"/>
              </w:rPr>
              <w:t>failure</w:t>
            </w:r>
            <w:r>
              <w:rPr>
                <w:color w:val="000000" w:themeColor="text1"/>
                <w14:textFill>
                  <w14:solidFill>
                    <w14:schemeClr w14:val="tx1"/>
                  </w14:solidFill>
                </w14:textFill>
              </w:rPr>
              <w:t xml:space="preserve"> to implement the C-ESMP e.g. failure to provide required training or sensitization;</w:t>
            </w:r>
          </w:p>
          <w:p w14:paraId="0EC9B31E">
            <w:pPr>
              <w:numPr>
                <w:ilvl w:val="0"/>
                <w:numId w:val="81"/>
              </w:numPr>
              <w:spacing w:before="120" w:after="120"/>
              <w:ind w:left="1142" w:hanging="540"/>
              <w:jc w:val="both"/>
              <w:rPr>
                <w:color w:val="000000" w:themeColor="text1"/>
                <w14:textFill>
                  <w14:solidFill>
                    <w14:schemeClr w14:val="tx1"/>
                  </w14:solidFill>
                </w14:textFill>
              </w:rPr>
            </w:pPr>
            <w:r>
              <w:rPr>
                <w:color w:val="000000" w:themeColor="text1"/>
                <w14:textFill>
                  <w14:solidFill>
                    <w14:schemeClr w14:val="tx1"/>
                  </w14:solidFill>
                </w14:textFill>
              </w:rPr>
              <w:t xml:space="preserve">failing to have appropriate consents/permits prior to </w:t>
            </w:r>
            <w:r>
              <w:rPr>
                <w:color w:val="000000"/>
              </w:rPr>
              <w:t>undertaking</w:t>
            </w:r>
            <w:r>
              <w:rPr>
                <w:color w:val="000000" w:themeColor="text1"/>
                <w14:textFill>
                  <w14:solidFill>
                    <w14:schemeClr w14:val="tx1"/>
                  </w14:solidFill>
                </w14:textFill>
              </w:rPr>
              <w:t xml:space="preserve"> Works or related activities;</w:t>
            </w:r>
          </w:p>
          <w:p w14:paraId="6AE93866">
            <w:pPr>
              <w:numPr>
                <w:ilvl w:val="0"/>
                <w:numId w:val="81"/>
              </w:numPr>
              <w:spacing w:before="120" w:after="120"/>
              <w:ind w:left="1142" w:hanging="540"/>
              <w:jc w:val="both"/>
              <w:rPr>
                <w:color w:val="000000" w:themeColor="text1"/>
                <w14:textFill>
                  <w14:solidFill>
                    <w14:schemeClr w14:val="tx1"/>
                  </w14:solidFill>
                </w14:textFill>
              </w:rPr>
            </w:pPr>
            <w:r>
              <w:rPr>
                <w:color w:val="000000" w:themeColor="text1"/>
                <w14:textFill>
                  <w14:solidFill>
                    <w14:schemeClr w14:val="tx1"/>
                  </w14:solidFill>
                </w14:textFill>
              </w:rPr>
              <w:t>failure to submit ES report/s (as described in Appendix B), or failure to submit such reports in a timely manner;</w:t>
            </w:r>
          </w:p>
          <w:p w14:paraId="10258B3B">
            <w:pPr>
              <w:suppressAutoHyphens/>
              <w:overflowPunct w:val="0"/>
              <w:autoSpaceDE w:val="0"/>
              <w:autoSpaceDN w:val="0"/>
              <w:adjustRightInd w:val="0"/>
              <w:spacing w:before="120" w:after="120"/>
              <w:ind w:left="540" w:right="36"/>
              <w:jc w:val="both"/>
              <w:textAlignment w:val="baseline"/>
            </w:pPr>
            <w:r>
              <w:rPr>
                <w:color w:val="000000" w:themeColor="text1"/>
                <w14:textFill>
                  <w14:solidFill>
                    <w14:schemeClr w14:val="tx1"/>
                  </w14:solidFill>
                </w14:textFill>
              </w:rPr>
              <w:t xml:space="preserve">failure to implement remediation as instructed by the Project Manager </w:t>
            </w:r>
            <w:r>
              <w:rPr>
                <w:color w:val="000000"/>
              </w:rPr>
              <w:t>within</w:t>
            </w:r>
            <w:r>
              <w:rPr>
                <w:color w:val="000000" w:themeColor="text1"/>
                <w14:textFill>
                  <w14:solidFill>
                    <w14:schemeClr w14:val="tx1"/>
                  </w14:solidFill>
                </w14:textFill>
              </w:rPr>
              <w:t xml:space="preserve"> the specified timeframe (e.g. remediation addressing non-compliance/s). </w:t>
            </w:r>
          </w:p>
        </w:tc>
      </w:tr>
      <w:tr w14:paraId="43DDEE95">
        <w:tblPrEx>
          <w:tblCellMar>
            <w:top w:w="0" w:type="dxa"/>
            <w:left w:w="108" w:type="dxa"/>
            <w:bottom w:w="0" w:type="dxa"/>
            <w:right w:w="108" w:type="dxa"/>
          </w:tblCellMar>
        </w:tblPrEx>
        <w:tc>
          <w:tcPr>
            <w:tcW w:w="2160" w:type="dxa"/>
            <w:tcBorders>
              <w:top w:val="nil"/>
              <w:left w:val="nil"/>
              <w:bottom w:val="nil"/>
              <w:right w:val="nil"/>
            </w:tcBorders>
          </w:tcPr>
          <w:p w14:paraId="40D127B6">
            <w:pPr>
              <w:pStyle w:val="205"/>
              <w:numPr>
                <w:ilvl w:val="0"/>
                <w:numId w:val="65"/>
              </w:numPr>
              <w:tabs>
                <w:tab w:val="clear" w:pos="540"/>
                <w:tab w:val="clear" w:pos="360"/>
              </w:tabs>
              <w:spacing w:before="120" w:after="120"/>
              <w:ind w:left="360" w:hanging="360"/>
            </w:pPr>
            <w:bookmarkStart w:id="682" w:name="_Toc29906927"/>
            <w:bookmarkStart w:id="683" w:name="_Toc333923267"/>
            <w:bookmarkStart w:id="684" w:name="_Toc497228251"/>
            <w:r>
              <w:t>Payments</w:t>
            </w:r>
            <w:bookmarkEnd w:id="682"/>
            <w:bookmarkEnd w:id="683"/>
            <w:bookmarkEnd w:id="684"/>
          </w:p>
        </w:tc>
        <w:tc>
          <w:tcPr>
            <w:tcW w:w="6989" w:type="dxa"/>
            <w:gridSpan w:val="3"/>
            <w:tcBorders>
              <w:top w:val="nil"/>
              <w:left w:val="nil"/>
              <w:bottom w:val="nil"/>
              <w:right w:val="nil"/>
            </w:tcBorders>
          </w:tcPr>
          <w:p w14:paraId="32ED402B">
            <w:pPr>
              <w:numPr>
                <w:ilvl w:val="1"/>
                <w:numId w:val="65"/>
              </w:numPr>
              <w:suppressAutoHyphens/>
              <w:overflowPunct w:val="0"/>
              <w:autoSpaceDE w:val="0"/>
              <w:autoSpaceDN w:val="0"/>
              <w:adjustRightInd w:val="0"/>
              <w:spacing w:before="120" w:after="120"/>
              <w:ind w:right="36"/>
              <w:jc w:val="both"/>
              <w:textAlignment w:val="baseline"/>
            </w:pPr>
            <w:r>
              <w:t>Payments shall be adjusted for deductions for advance payments and retention. The Employer shall pay the Contractor the amounts certified by the Project Manager within 28 days of the date of each certificate. If the Employer makes a late payment, the Contractor shall be paid interest on the late payment in the next payment. Interest shall be calculated from the date by which the payment should have been made up to the date when the late payment is made at the prevailing rate of interest for commercial borrowing for each of the currencies in which payments are made.</w:t>
            </w:r>
          </w:p>
          <w:p w14:paraId="52C37D4C">
            <w:pPr>
              <w:numPr>
                <w:ilvl w:val="1"/>
                <w:numId w:val="65"/>
              </w:numPr>
              <w:suppressAutoHyphens/>
              <w:overflowPunct w:val="0"/>
              <w:autoSpaceDE w:val="0"/>
              <w:autoSpaceDN w:val="0"/>
              <w:adjustRightInd w:val="0"/>
              <w:spacing w:before="120" w:after="120"/>
              <w:ind w:right="36"/>
              <w:jc w:val="both"/>
              <w:textAlignment w:val="baseline"/>
            </w:pPr>
            <w:r>
              <w:t>If an amount certified is increased in a later certificate or as a result of an award by the Adjudicator or an Arbitrator, the Contractor shall be paid interest upon the delayed payment as set out in this clause. Interest shall be calculated from the date upon which the increased amount would have been certified in the absence of dispute.</w:t>
            </w:r>
          </w:p>
          <w:p w14:paraId="30AAB7FC">
            <w:pPr>
              <w:numPr>
                <w:ilvl w:val="1"/>
                <w:numId w:val="65"/>
              </w:numPr>
              <w:suppressAutoHyphens/>
              <w:overflowPunct w:val="0"/>
              <w:autoSpaceDE w:val="0"/>
              <w:autoSpaceDN w:val="0"/>
              <w:adjustRightInd w:val="0"/>
              <w:spacing w:before="120" w:after="120"/>
              <w:ind w:right="36"/>
              <w:jc w:val="both"/>
              <w:textAlignment w:val="baseline"/>
            </w:pPr>
            <w:r>
              <w:t>Unless otherwise stated, all payments and deductions shall be paid or charged in the proportions of currencies comprising the Contract Price.</w:t>
            </w:r>
          </w:p>
          <w:p w14:paraId="2060FD30">
            <w:pPr>
              <w:numPr>
                <w:ilvl w:val="1"/>
                <w:numId w:val="65"/>
              </w:numPr>
              <w:suppressAutoHyphens/>
              <w:overflowPunct w:val="0"/>
              <w:autoSpaceDE w:val="0"/>
              <w:autoSpaceDN w:val="0"/>
              <w:adjustRightInd w:val="0"/>
              <w:spacing w:before="120" w:after="120"/>
              <w:ind w:right="36"/>
              <w:jc w:val="both"/>
              <w:textAlignment w:val="baseline"/>
            </w:pPr>
            <w:r>
              <w:t>Items of the Works for which no rate or price has been entered in shall not be paid for by the Employer and shall be deemed covered by other rates and prices in the Contract.</w:t>
            </w:r>
          </w:p>
        </w:tc>
      </w:tr>
      <w:tr w14:paraId="0C40D3B5">
        <w:tblPrEx>
          <w:tblCellMar>
            <w:top w:w="0" w:type="dxa"/>
            <w:left w:w="108" w:type="dxa"/>
            <w:bottom w:w="0" w:type="dxa"/>
            <w:right w:w="108" w:type="dxa"/>
          </w:tblCellMar>
        </w:tblPrEx>
        <w:tc>
          <w:tcPr>
            <w:tcW w:w="2160" w:type="dxa"/>
            <w:tcBorders>
              <w:top w:val="nil"/>
              <w:left w:val="nil"/>
              <w:bottom w:val="nil"/>
              <w:right w:val="nil"/>
            </w:tcBorders>
          </w:tcPr>
          <w:p w14:paraId="3416A34B">
            <w:pPr>
              <w:pStyle w:val="205"/>
              <w:numPr>
                <w:ilvl w:val="0"/>
                <w:numId w:val="65"/>
              </w:numPr>
              <w:tabs>
                <w:tab w:val="clear" w:pos="540"/>
                <w:tab w:val="clear" w:pos="360"/>
              </w:tabs>
              <w:spacing w:before="120" w:after="120"/>
              <w:ind w:left="360" w:hanging="360"/>
            </w:pPr>
            <w:bookmarkStart w:id="685" w:name="_Toc333923268"/>
            <w:bookmarkStart w:id="686" w:name="_Toc497228252"/>
            <w:bookmarkStart w:id="687" w:name="_Toc29906928"/>
            <w:r>
              <w:t>Compensation Events</w:t>
            </w:r>
            <w:bookmarkEnd w:id="685"/>
            <w:bookmarkEnd w:id="686"/>
            <w:bookmarkEnd w:id="687"/>
          </w:p>
        </w:tc>
        <w:tc>
          <w:tcPr>
            <w:tcW w:w="6989" w:type="dxa"/>
            <w:gridSpan w:val="3"/>
            <w:tcBorders>
              <w:top w:val="nil"/>
              <w:left w:val="nil"/>
              <w:bottom w:val="nil"/>
              <w:right w:val="nil"/>
            </w:tcBorders>
          </w:tcPr>
          <w:p w14:paraId="638353ED">
            <w:pPr>
              <w:numPr>
                <w:ilvl w:val="1"/>
                <w:numId w:val="65"/>
              </w:numPr>
              <w:suppressAutoHyphens/>
              <w:overflowPunct w:val="0"/>
              <w:autoSpaceDE w:val="0"/>
              <w:autoSpaceDN w:val="0"/>
              <w:adjustRightInd w:val="0"/>
              <w:spacing w:before="120" w:after="120"/>
              <w:ind w:right="36"/>
              <w:jc w:val="both"/>
              <w:textAlignment w:val="baseline"/>
            </w:pPr>
            <w:r>
              <w:t>The following shall be Compensation Events:</w:t>
            </w:r>
          </w:p>
          <w:p w14:paraId="4037A994">
            <w:pPr>
              <w:numPr>
                <w:ilvl w:val="0"/>
                <w:numId w:val="82"/>
              </w:numPr>
              <w:suppressAutoHyphens/>
              <w:overflowPunct w:val="0"/>
              <w:autoSpaceDE w:val="0"/>
              <w:autoSpaceDN w:val="0"/>
              <w:adjustRightInd w:val="0"/>
              <w:spacing w:before="120" w:after="120"/>
              <w:ind w:right="36"/>
              <w:jc w:val="both"/>
              <w:textAlignment w:val="baseline"/>
            </w:pPr>
            <w:r>
              <w:t>The Employer does not give access to a part of the Site by the Site Possession Date pursuant to GCC Sub-Clause 20.1.</w:t>
            </w:r>
          </w:p>
          <w:p w14:paraId="32715D9F">
            <w:pPr>
              <w:numPr>
                <w:ilvl w:val="0"/>
                <w:numId w:val="82"/>
              </w:numPr>
              <w:suppressAutoHyphens/>
              <w:overflowPunct w:val="0"/>
              <w:autoSpaceDE w:val="0"/>
              <w:autoSpaceDN w:val="0"/>
              <w:adjustRightInd w:val="0"/>
              <w:spacing w:before="120" w:after="120"/>
              <w:ind w:right="36"/>
              <w:jc w:val="both"/>
              <w:textAlignment w:val="baseline"/>
            </w:pPr>
            <w:r>
              <w:t>The Employer modifies the Schedule of Other Contractors in a way that affects the work of the Contractor under the Contract.</w:t>
            </w:r>
          </w:p>
          <w:p w14:paraId="422161D9">
            <w:pPr>
              <w:numPr>
                <w:ilvl w:val="0"/>
                <w:numId w:val="82"/>
              </w:numPr>
              <w:suppressAutoHyphens/>
              <w:overflowPunct w:val="0"/>
              <w:autoSpaceDE w:val="0"/>
              <w:autoSpaceDN w:val="0"/>
              <w:adjustRightInd w:val="0"/>
              <w:spacing w:before="120" w:after="120"/>
              <w:ind w:right="36"/>
              <w:jc w:val="both"/>
              <w:textAlignment w:val="baseline"/>
            </w:pPr>
            <w:r>
              <w:t>The Project Manager orders a delay or does not issue Drawings, Specifications, or instructions required for execution of the Works on time.</w:t>
            </w:r>
          </w:p>
          <w:p w14:paraId="15B38771">
            <w:pPr>
              <w:numPr>
                <w:ilvl w:val="0"/>
                <w:numId w:val="82"/>
              </w:numPr>
              <w:suppressAutoHyphens/>
              <w:overflowPunct w:val="0"/>
              <w:autoSpaceDE w:val="0"/>
              <w:autoSpaceDN w:val="0"/>
              <w:adjustRightInd w:val="0"/>
              <w:spacing w:before="120" w:after="120"/>
              <w:ind w:right="36"/>
              <w:jc w:val="both"/>
              <w:textAlignment w:val="baseline"/>
            </w:pPr>
            <w:r>
              <w:t>The Project Manager instructs the Contractor to uncover or to carry out additional tests upon work, which is then found to have no Defects.</w:t>
            </w:r>
          </w:p>
          <w:p w14:paraId="235FCA14">
            <w:pPr>
              <w:numPr>
                <w:ilvl w:val="0"/>
                <w:numId w:val="82"/>
              </w:numPr>
              <w:suppressAutoHyphens/>
              <w:overflowPunct w:val="0"/>
              <w:autoSpaceDE w:val="0"/>
              <w:autoSpaceDN w:val="0"/>
              <w:adjustRightInd w:val="0"/>
              <w:spacing w:before="120" w:after="120"/>
              <w:ind w:right="36"/>
              <w:jc w:val="both"/>
              <w:textAlignment w:val="baseline"/>
            </w:pPr>
            <w:r>
              <w:t>The Project Manager unreasonably does not approve a subcontract to be let.</w:t>
            </w:r>
          </w:p>
          <w:p w14:paraId="2CD81471">
            <w:pPr>
              <w:numPr>
                <w:ilvl w:val="0"/>
                <w:numId w:val="82"/>
              </w:numPr>
              <w:suppressAutoHyphens/>
              <w:overflowPunct w:val="0"/>
              <w:autoSpaceDE w:val="0"/>
              <w:autoSpaceDN w:val="0"/>
              <w:adjustRightInd w:val="0"/>
              <w:spacing w:before="120" w:after="120"/>
              <w:ind w:right="36"/>
              <w:jc w:val="both"/>
              <w:textAlignment w:val="baseline"/>
            </w:pPr>
            <w:r>
              <w:t>Ground conditions are substantially more adverse than could reasonably have been assumed before issuance of the Letter of Acceptance from the information issued to bidders (including the Site Investigation Reports), from information available publicly and from a visual inspection of the Site.</w:t>
            </w:r>
          </w:p>
          <w:p w14:paraId="78950F36">
            <w:pPr>
              <w:numPr>
                <w:ilvl w:val="0"/>
                <w:numId w:val="82"/>
              </w:numPr>
              <w:suppressAutoHyphens/>
              <w:overflowPunct w:val="0"/>
              <w:autoSpaceDE w:val="0"/>
              <w:autoSpaceDN w:val="0"/>
              <w:adjustRightInd w:val="0"/>
              <w:spacing w:before="120" w:after="120"/>
              <w:ind w:left="1094" w:right="36" w:hanging="547"/>
              <w:jc w:val="both"/>
              <w:textAlignment w:val="baseline"/>
            </w:pPr>
            <w:r>
              <w:t>The Project Manager gives an instruction for dealing with an unforeseen condition, caused by the Employer, or additional work required for safety or other reasons.</w:t>
            </w:r>
          </w:p>
          <w:p w14:paraId="0975747F">
            <w:pPr>
              <w:numPr>
                <w:ilvl w:val="0"/>
                <w:numId w:val="82"/>
              </w:numPr>
              <w:suppressAutoHyphens/>
              <w:overflowPunct w:val="0"/>
              <w:autoSpaceDE w:val="0"/>
              <w:autoSpaceDN w:val="0"/>
              <w:adjustRightInd w:val="0"/>
              <w:spacing w:before="120" w:after="120"/>
              <w:ind w:left="1094" w:right="36" w:hanging="547"/>
              <w:jc w:val="both"/>
              <w:textAlignment w:val="baseline"/>
            </w:pPr>
            <w:r>
              <w:t>Other contractors, public authorities, utilities, or the Employer does not work within the dates and other constraints stated in the Contract, and they cause delay or extra cost to the Contractor.</w:t>
            </w:r>
          </w:p>
          <w:p w14:paraId="7A02D292">
            <w:pPr>
              <w:numPr>
                <w:ilvl w:val="0"/>
                <w:numId w:val="82"/>
              </w:numPr>
              <w:suppressAutoHyphens/>
              <w:overflowPunct w:val="0"/>
              <w:autoSpaceDE w:val="0"/>
              <w:autoSpaceDN w:val="0"/>
              <w:adjustRightInd w:val="0"/>
              <w:spacing w:before="120" w:after="120"/>
              <w:ind w:left="1094" w:right="36" w:hanging="547"/>
              <w:jc w:val="both"/>
              <w:textAlignment w:val="baseline"/>
            </w:pPr>
            <w:r>
              <w:t>The advance payment is delayed.</w:t>
            </w:r>
          </w:p>
          <w:p w14:paraId="59553235">
            <w:pPr>
              <w:numPr>
                <w:ilvl w:val="0"/>
                <w:numId w:val="82"/>
              </w:numPr>
              <w:suppressAutoHyphens/>
              <w:overflowPunct w:val="0"/>
              <w:autoSpaceDE w:val="0"/>
              <w:autoSpaceDN w:val="0"/>
              <w:adjustRightInd w:val="0"/>
              <w:spacing w:before="120" w:after="120"/>
              <w:ind w:left="1094" w:right="36" w:hanging="547"/>
              <w:jc w:val="both"/>
              <w:textAlignment w:val="baseline"/>
            </w:pPr>
            <w:r>
              <w:t>The effects on the Contractor of any of the Employer’s Risks.</w:t>
            </w:r>
          </w:p>
          <w:p w14:paraId="34740F2B">
            <w:pPr>
              <w:numPr>
                <w:ilvl w:val="0"/>
                <w:numId w:val="82"/>
              </w:numPr>
              <w:suppressAutoHyphens/>
              <w:overflowPunct w:val="0"/>
              <w:autoSpaceDE w:val="0"/>
              <w:autoSpaceDN w:val="0"/>
              <w:adjustRightInd w:val="0"/>
              <w:spacing w:before="120" w:after="120"/>
              <w:ind w:left="1094" w:right="36" w:hanging="547"/>
              <w:jc w:val="both"/>
              <w:textAlignment w:val="baseline"/>
            </w:pPr>
            <w:r>
              <w:t>The Project Manager unreasonably delays issuing a Certificate of Completion.</w:t>
            </w:r>
          </w:p>
          <w:p w14:paraId="6376BE62">
            <w:pPr>
              <w:numPr>
                <w:ilvl w:val="1"/>
                <w:numId w:val="65"/>
              </w:numPr>
              <w:suppressAutoHyphens/>
              <w:overflowPunct w:val="0"/>
              <w:autoSpaceDE w:val="0"/>
              <w:autoSpaceDN w:val="0"/>
              <w:adjustRightInd w:val="0"/>
              <w:spacing w:before="120" w:after="120"/>
              <w:ind w:right="36"/>
              <w:jc w:val="both"/>
              <w:textAlignment w:val="baseline"/>
            </w:pPr>
            <w:r>
              <w:t>If a Compensation Event would cause additional cost or would prevent the work being completed before the Intended Completion Date, the Contract Price shall be increased and/or the Intended Completion Date shall be extended. The Project Manager shall decide whether and by how much the Contract Price shall be increased and whether and by how much the Intended Completion Date shall be extended.</w:t>
            </w:r>
          </w:p>
          <w:p w14:paraId="5D72A6AB">
            <w:pPr>
              <w:numPr>
                <w:ilvl w:val="1"/>
                <w:numId w:val="65"/>
              </w:numPr>
              <w:suppressAutoHyphens/>
              <w:overflowPunct w:val="0"/>
              <w:autoSpaceDE w:val="0"/>
              <w:autoSpaceDN w:val="0"/>
              <w:adjustRightInd w:val="0"/>
              <w:spacing w:before="120" w:after="120"/>
              <w:ind w:right="36"/>
              <w:jc w:val="both"/>
              <w:textAlignment w:val="baseline"/>
            </w:pPr>
            <w:r>
              <w:t>As soon as information demonstrating the effect of each Compensation Event upon the Contractor’s forecast cost has been provided by the Contractor, it shall be assessed by the Project Manager, and the Contract Price shall be adjusted accordingly. If the Contractor’s forecast is deemed unreasonable, the Project Manager shall adjust the Contract Price based on the Project Manager’s own forecast. The Project Manager shall assume that the Contractor shall react competently and promptly to the event.</w:t>
            </w:r>
          </w:p>
          <w:p w14:paraId="1270CBA2">
            <w:pPr>
              <w:numPr>
                <w:ilvl w:val="1"/>
                <w:numId w:val="65"/>
              </w:numPr>
              <w:suppressAutoHyphens/>
              <w:overflowPunct w:val="0"/>
              <w:autoSpaceDE w:val="0"/>
              <w:autoSpaceDN w:val="0"/>
              <w:adjustRightInd w:val="0"/>
              <w:spacing w:before="120" w:after="120"/>
              <w:ind w:right="36"/>
              <w:jc w:val="both"/>
              <w:textAlignment w:val="baseline"/>
            </w:pPr>
            <w:r>
              <w:t>The Contractor shall not be entitled to compensation to the extent that the Employer’s interests are adversely affected by the Contractor’s not having given early warning or not having cooperated with the Project Manager.</w:t>
            </w:r>
          </w:p>
        </w:tc>
      </w:tr>
      <w:tr w14:paraId="5D64C19D">
        <w:tblPrEx>
          <w:tblCellMar>
            <w:top w:w="0" w:type="dxa"/>
            <w:left w:w="108" w:type="dxa"/>
            <w:bottom w:w="0" w:type="dxa"/>
            <w:right w:w="108" w:type="dxa"/>
          </w:tblCellMar>
        </w:tblPrEx>
        <w:tc>
          <w:tcPr>
            <w:tcW w:w="2160" w:type="dxa"/>
            <w:tcBorders>
              <w:top w:val="nil"/>
              <w:left w:val="nil"/>
              <w:bottom w:val="nil"/>
              <w:right w:val="nil"/>
            </w:tcBorders>
          </w:tcPr>
          <w:p w14:paraId="2E066FAB">
            <w:pPr>
              <w:pStyle w:val="205"/>
              <w:numPr>
                <w:ilvl w:val="0"/>
                <w:numId w:val="65"/>
              </w:numPr>
              <w:tabs>
                <w:tab w:val="clear" w:pos="540"/>
                <w:tab w:val="clear" w:pos="360"/>
              </w:tabs>
              <w:spacing w:before="120" w:after="120"/>
              <w:ind w:left="360" w:hanging="360"/>
            </w:pPr>
            <w:bookmarkStart w:id="688" w:name="_Toc497228253"/>
            <w:bookmarkStart w:id="689" w:name="_Toc29906929"/>
            <w:bookmarkStart w:id="690" w:name="_Toc333923269"/>
            <w:r>
              <w:t>Tax</w:t>
            </w:r>
            <w:bookmarkEnd w:id="688"/>
            <w:bookmarkEnd w:id="689"/>
            <w:bookmarkEnd w:id="690"/>
          </w:p>
        </w:tc>
        <w:tc>
          <w:tcPr>
            <w:tcW w:w="6989" w:type="dxa"/>
            <w:gridSpan w:val="3"/>
            <w:tcBorders>
              <w:top w:val="nil"/>
              <w:left w:val="nil"/>
              <w:bottom w:val="nil"/>
              <w:right w:val="nil"/>
            </w:tcBorders>
          </w:tcPr>
          <w:p w14:paraId="47F6AD57">
            <w:pPr>
              <w:numPr>
                <w:ilvl w:val="1"/>
                <w:numId w:val="65"/>
              </w:numPr>
              <w:suppressAutoHyphens/>
              <w:overflowPunct w:val="0"/>
              <w:autoSpaceDE w:val="0"/>
              <w:autoSpaceDN w:val="0"/>
              <w:adjustRightInd w:val="0"/>
              <w:spacing w:before="120" w:after="120"/>
              <w:ind w:right="36"/>
              <w:jc w:val="both"/>
              <w:textAlignment w:val="baseline"/>
            </w:pPr>
            <w:r>
              <w:t>The Project Manager shall adjust the Contract Price if taxes, duties, and other levies are changed between the date 28 days before the submission of bids for the Contract and the date of the last Completion certificate. The adjustment shall be the change in the amount of tax payable by the Contractor, provided such changes are not already reflected in the Contract Price or are a result of GCC Clause 47.</w:t>
            </w:r>
          </w:p>
        </w:tc>
      </w:tr>
      <w:tr w14:paraId="69E597F7">
        <w:tblPrEx>
          <w:tblCellMar>
            <w:top w:w="0" w:type="dxa"/>
            <w:left w:w="108" w:type="dxa"/>
            <w:bottom w:w="0" w:type="dxa"/>
            <w:right w:w="108" w:type="dxa"/>
          </w:tblCellMar>
        </w:tblPrEx>
        <w:tc>
          <w:tcPr>
            <w:tcW w:w="2160" w:type="dxa"/>
            <w:tcBorders>
              <w:top w:val="nil"/>
              <w:left w:val="nil"/>
              <w:bottom w:val="nil"/>
              <w:right w:val="nil"/>
            </w:tcBorders>
          </w:tcPr>
          <w:p w14:paraId="7D648A29">
            <w:pPr>
              <w:pStyle w:val="205"/>
              <w:numPr>
                <w:ilvl w:val="0"/>
                <w:numId w:val="65"/>
              </w:numPr>
              <w:tabs>
                <w:tab w:val="clear" w:pos="540"/>
                <w:tab w:val="clear" w:pos="360"/>
              </w:tabs>
              <w:spacing w:before="120" w:after="120"/>
              <w:ind w:left="360" w:hanging="360"/>
            </w:pPr>
            <w:bookmarkStart w:id="691" w:name="_Toc497228254"/>
            <w:bookmarkStart w:id="692" w:name="_Toc29906930"/>
            <w:bookmarkStart w:id="693" w:name="_Toc333923270"/>
            <w:r>
              <w:t>Currencies</w:t>
            </w:r>
            <w:bookmarkEnd w:id="691"/>
            <w:bookmarkEnd w:id="692"/>
            <w:bookmarkEnd w:id="693"/>
          </w:p>
        </w:tc>
        <w:tc>
          <w:tcPr>
            <w:tcW w:w="6989" w:type="dxa"/>
            <w:gridSpan w:val="3"/>
            <w:tcBorders>
              <w:top w:val="nil"/>
              <w:left w:val="nil"/>
              <w:bottom w:val="nil"/>
              <w:right w:val="nil"/>
            </w:tcBorders>
          </w:tcPr>
          <w:p w14:paraId="151536D7">
            <w:pPr>
              <w:numPr>
                <w:ilvl w:val="1"/>
                <w:numId w:val="65"/>
              </w:numPr>
              <w:suppressAutoHyphens/>
              <w:overflowPunct w:val="0"/>
              <w:autoSpaceDE w:val="0"/>
              <w:autoSpaceDN w:val="0"/>
              <w:adjustRightInd w:val="0"/>
              <w:spacing w:before="120" w:after="120"/>
              <w:ind w:right="36"/>
              <w:jc w:val="both"/>
              <w:textAlignment w:val="baseline"/>
            </w:pPr>
            <w:r>
              <w:t xml:space="preserve">Where payments are made in currencies other than the currency of the Employer’s country </w:t>
            </w:r>
            <w:r>
              <w:rPr>
                <w:b/>
              </w:rPr>
              <w:t>specified in the PCC,</w:t>
            </w:r>
            <w:r>
              <w:t xml:space="preserve"> the exchange rates used for calculating the amounts to be paid shall be the exchange rates stated in the Contractor’s Bid.</w:t>
            </w:r>
          </w:p>
        </w:tc>
      </w:tr>
      <w:tr w14:paraId="57E355B5">
        <w:tblPrEx>
          <w:tblCellMar>
            <w:top w:w="0" w:type="dxa"/>
            <w:left w:w="108" w:type="dxa"/>
            <w:bottom w:w="0" w:type="dxa"/>
            <w:right w:w="108" w:type="dxa"/>
          </w:tblCellMar>
        </w:tblPrEx>
        <w:tc>
          <w:tcPr>
            <w:tcW w:w="2160" w:type="dxa"/>
            <w:tcBorders>
              <w:top w:val="nil"/>
              <w:left w:val="nil"/>
              <w:bottom w:val="nil"/>
              <w:right w:val="nil"/>
            </w:tcBorders>
          </w:tcPr>
          <w:p w14:paraId="2803D1F9">
            <w:pPr>
              <w:pStyle w:val="205"/>
              <w:numPr>
                <w:ilvl w:val="0"/>
                <w:numId w:val="65"/>
              </w:numPr>
              <w:tabs>
                <w:tab w:val="clear" w:pos="540"/>
                <w:tab w:val="clear" w:pos="360"/>
              </w:tabs>
              <w:spacing w:before="120" w:after="120"/>
              <w:ind w:left="360" w:hanging="360"/>
            </w:pPr>
            <w:bookmarkStart w:id="694" w:name="_Toc333923271"/>
            <w:bookmarkStart w:id="695" w:name="_Toc497228255"/>
            <w:bookmarkStart w:id="696" w:name="_Toc29906931"/>
            <w:r>
              <w:t>Price Adjustment</w:t>
            </w:r>
            <w:bookmarkEnd w:id="694"/>
            <w:bookmarkEnd w:id="695"/>
            <w:bookmarkEnd w:id="696"/>
          </w:p>
        </w:tc>
        <w:tc>
          <w:tcPr>
            <w:tcW w:w="6989" w:type="dxa"/>
            <w:gridSpan w:val="3"/>
            <w:tcBorders>
              <w:top w:val="nil"/>
              <w:left w:val="nil"/>
              <w:bottom w:val="nil"/>
              <w:right w:val="nil"/>
            </w:tcBorders>
          </w:tcPr>
          <w:p w14:paraId="359AFEDF">
            <w:pPr>
              <w:numPr>
                <w:ilvl w:val="1"/>
                <w:numId w:val="65"/>
              </w:numPr>
              <w:suppressAutoHyphens/>
              <w:overflowPunct w:val="0"/>
              <w:autoSpaceDE w:val="0"/>
              <w:autoSpaceDN w:val="0"/>
              <w:adjustRightInd w:val="0"/>
              <w:spacing w:before="120" w:after="120"/>
              <w:ind w:right="36"/>
              <w:jc w:val="both"/>
              <w:textAlignment w:val="baseline"/>
            </w:pPr>
            <w:r>
              <w:t xml:space="preserve">Prices shall be adjusted for fluctuations in the cost of inputs only if </w:t>
            </w:r>
            <w:r>
              <w:rPr>
                <w:b/>
              </w:rPr>
              <w:t xml:space="preserve">provided for in the PCC. </w:t>
            </w:r>
            <w:r>
              <w:t>If so provided, the amounts certified in each payment certificate, before deducting for Advance Payment, shall be adjusted by applying the respective price adjustment factor to the payment amounts due in each currency. A separate formula of the type specified below applies to each Contract currency:</w:t>
            </w:r>
          </w:p>
          <w:p w14:paraId="16307A72">
            <w:pPr>
              <w:spacing w:before="120" w:after="120"/>
              <w:ind w:right="36"/>
              <w:jc w:val="center"/>
            </w:pPr>
            <w:r>
              <w:rPr>
                <w:b/>
              </w:rPr>
              <w:t>P</w:t>
            </w:r>
            <w:r>
              <w:rPr>
                <w:b/>
                <w:vertAlign w:val="subscript"/>
              </w:rPr>
              <w:t>c</w:t>
            </w:r>
            <w:r>
              <w:rPr>
                <w:b/>
              </w:rPr>
              <w:t xml:space="preserve"> = A</w:t>
            </w:r>
            <w:r>
              <w:rPr>
                <w:b/>
                <w:vertAlign w:val="subscript"/>
              </w:rPr>
              <w:t>c</w:t>
            </w:r>
            <w:r>
              <w:rPr>
                <w:b/>
              </w:rPr>
              <w:t xml:space="preserve"> + B</w:t>
            </w:r>
            <w:r>
              <w:rPr>
                <w:b/>
                <w:vertAlign w:val="subscript"/>
              </w:rPr>
              <w:t>c</w:t>
            </w:r>
            <w:r>
              <w:rPr>
                <w:b/>
              </w:rPr>
              <w:t xml:space="preserve">  Imc/Ioc</w:t>
            </w:r>
          </w:p>
          <w:p w14:paraId="5CD61B30">
            <w:pPr>
              <w:tabs>
                <w:tab w:val="left" w:pos="1080"/>
              </w:tabs>
              <w:spacing w:before="120" w:after="120"/>
              <w:ind w:left="1080" w:right="36" w:hanging="540"/>
              <w:jc w:val="both"/>
            </w:pPr>
            <w:r>
              <w:t>where:</w:t>
            </w:r>
          </w:p>
          <w:p w14:paraId="1CDDEDFC">
            <w:pPr>
              <w:tabs>
                <w:tab w:val="left" w:pos="1080"/>
              </w:tabs>
              <w:spacing w:before="120" w:after="120"/>
              <w:ind w:left="1080" w:right="36" w:hanging="540"/>
              <w:jc w:val="both"/>
            </w:pPr>
            <w:r>
              <w:tab/>
            </w:r>
            <w:r>
              <w:t>P</w:t>
            </w:r>
            <w:r>
              <w:rPr>
                <w:vertAlign w:val="subscript"/>
              </w:rPr>
              <w:t>c</w:t>
            </w:r>
            <w:r>
              <w:t xml:space="preserve"> is the adjustment factor for the portion of the Contract Price payable in a specific currency “c.”</w:t>
            </w:r>
          </w:p>
          <w:p w14:paraId="08FFA575">
            <w:pPr>
              <w:tabs>
                <w:tab w:val="left" w:pos="1080"/>
              </w:tabs>
              <w:spacing w:before="120" w:after="120"/>
              <w:ind w:left="1080" w:right="36" w:hanging="540"/>
              <w:jc w:val="both"/>
            </w:pPr>
            <w:r>
              <w:tab/>
            </w:r>
            <w:r>
              <w:t>A</w:t>
            </w:r>
            <w:r>
              <w:rPr>
                <w:vertAlign w:val="subscript"/>
              </w:rPr>
              <w:t>c</w:t>
            </w:r>
            <w:r>
              <w:t xml:space="preserve"> and B</w:t>
            </w:r>
            <w:r>
              <w:rPr>
                <w:vertAlign w:val="subscript"/>
              </w:rPr>
              <w:t>c</w:t>
            </w:r>
            <w:r>
              <w:t xml:space="preserve"> are coefficients</w:t>
            </w:r>
            <w:r>
              <w:rPr>
                <w:vertAlign w:val="superscript"/>
              </w:rPr>
              <w:footnoteReference w:id="33"/>
            </w:r>
            <w:r>
              <w:t xml:space="preserve"> </w:t>
            </w:r>
            <w:r>
              <w:rPr>
                <w:b/>
              </w:rPr>
              <w:t>specified in the PCC,</w:t>
            </w:r>
            <w:r>
              <w:t xml:space="preserve"> representing the nonadjustable and adjustable portions, respectively, of the Contract Price payable in that specific currency “c;” and</w:t>
            </w:r>
          </w:p>
          <w:p w14:paraId="527B22DD">
            <w:pPr>
              <w:tabs>
                <w:tab w:val="left" w:pos="1080"/>
              </w:tabs>
              <w:spacing w:before="120" w:after="120"/>
              <w:ind w:left="1080" w:right="36" w:hanging="540"/>
              <w:jc w:val="both"/>
              <w:rPr>
                <w:spacing w:val="-4"/>
              </w:rPr>
            </w:pPr>
            <w:r>
              <w:tab/>
            </w:r>
            <w:r>
              <w:rPr>
                <w:spacing w:val="-4"/>
              </w:rPr>
              <w:t>Imc is the index prevailing at the end of the month being invoiced and Ioc is the index prevailing 28 days before Bid opening for inputs payable; both in the specific currency “c.”</w:t>
            </w:r>
          </w:p>
          <w:p w14:paraId="58F55C50">
            <w:pPr>
              <w:numPr>
                <w:ilvl w:val="1"/>
                <w:numId w:val="65"/>
              </w:numPr>
              <w:suppressAutoHyphens/>
              <w:overflowPunct w:val="0"/>
              <w:autoSpaceDE w:val="0"/>
              <w:autoSpaceDN w:val="0"/>
              <w:adjustRightInd w:val="0"/>
              <w:spacing w:before="120" w:after="120"/>
              <w:ind w:right="36"/>
              <w:jc w:val="both"/>
              <w:textAlignment w:val="baseline"/>
            </w:pPr>
            <w:r>
              <w:t>If the value of the index is changed after it has been used in a calculation, the calculation shall be corrected and an adjustment made in the next payment certificate. The index value shall be deemed to take account of all changes in cost due to fluctuations in costs.</w:t>
            </w:r>
          </w:p>
        </w:tc>
      </w:tr>
      <w:tr w14:paraId="48DC07E8">
        <w:tblPrEx>
          <w:tblCellMar>
            <w:top w:w="0" w:type="dxa"/>
            <w:left w:w="108" w:type="dxa"/>
            <w:bottom w:w="0" w:type="dxa"/>
            <w:right w:w="108" w:type="dxa"/>
          </w:tblCellMar>
        </w:tblPrEx>
        <w:tc>
          <w:tcPr>
            <w:tcW w:w="2160" w:type="dxa"/>
            <w:tcBorders>
              <w:top w:val="nil"/>
              <w:left w:val="nil"/>
              <w:bottom w:val="nil"/>
              <w:right w:val="nil"/>
            </w:tcBorders>
          </w:tcPr>
          <w:p w14:paraId="475BE921">
            <w:pPr>
              <w:pStyle w:val="205"/>
              <w:numPr>
                <w:ilvl w:val="0"/>
                <w:numId w:val="65"/>
              </w:numPr>
              <w:tabs>
                <w:tab w:val="clear" w:pos="540"/>
                <w:tab w:val="clear" w:pos="360"/>
              </w:tabs>
              <w:spacing w:before="120" w:after="120"/>
              <w:ind w:left="360" w:hanging="360"/>
            </w:pPr>
            <w:bookmarkStart w:id="697" w:name="_Toc333923272"/>
            <w:bookmarkStart w:id="698" w:name="_Toc497228256"/>
            <w:bookmarkStart w:id="699" w:name="_Toc29906932"/>
            <w:r>
              <w:t>Retention</w:t>
            </w:r>
            <w:bookmarkEnd w:id="697"/>
            <w:bookmarkEnd w:id="698"/>
            <w:bookmarkEnd w:id="699"/>
          </w:p>
        </w:tc>
        <w:tc>
          <w:tcPr>
            <w:tcW w:w="6989" w:type="dxa"/>
            <w:gridSpan w:val="3"/>
            <w:tcBorders>
              <w:top w:val="nil"/>
              <w:left w:val="nil"/>
              <w:bottom w:val="nil"/>
              <w:right w:val="nil"/>
            </w:tcBorders>
          </w:tcPr>
          <w:p w14:paraId="2C0B71CE">
            <w:pPr>
              <w:numPr>
                <w:ilvl w:val="1"/>
                <w:numId w:val="65"/>
              </w:numPr>
              <w:suppressAutoHyphens/>
              <w:overflowPunct w:val="0"/>
              <w:autoSpaceDE w:val="0"/>
              <w:autoSpaceDN w:val="0"/>
              <w:adjustRightInd w:val="0"/>
              <w:spacing w:before="120" w:after="120"/>
              <w:ind w:right="36"/>
              <w:jc w:val="both"/>
              <w:textAlignment w:val="baseline"/>
            </w:pPr>
            <w:r>
              <w:t xml:space="preserve">The Employer shall retain from each payment due to the Contractor the proportion </w:t>
            </w:r>
            <w:r>
              <w:rPr>
                <w:b/>
              </w:rPr>
              <w:t>stated in the PCC</w:t>
            </w:r>
            <w:r>
              <w:t xml:space="preserve"> until Completion of the whole of the Works.</w:t>
            </w:r>
          </w:p>
          <w:p w14:paraId="4E19A501">
            <w:pPr>
              <w:numPr>
                <w:ilvl w:val="1"/>
                <w:numId w:val="65"/>
              </w:numPr>
              <w:suppressAutoHyphens/>
              <w:overflowPunct w:val="0"/>
              <w:autoSpaceDE w:val="0"/>
              <w:autoSpaceDN w:val="0"/>
              <w:adjustRightInd w:val="0"/>
              <w:spacing w:before="120" w:after="120"/>
              <w:ind w:right="36"/>
              <w:jc w:val="both"/>
              <w:textAlignment w:val="baseline"/>
            </w:pPr>
            <w:r>
              <w:t>Upon the issue of a Certificate of Completion of the Works by the Project Manager, in accordance with GCC Sub-Clause 55.1, half the total amount retained shall be repaid to the Contractor and half when the Defects Liability Period has passed and the Project Manager has certified that all Defects notified by the Project Manager to the Contractor before the end of this period have been corrected. The Contractor may substitute retention money with an “on demand” Bank guarantee.</w:t>
            </w:r>
          </w:p>
        </w:tc>
      </w:tr>
      <w:tr w14:paraId="12CF0EF6">
        <w:tblPrEx>
          <w:tblCellMar>
            <w:top w:w="0" w:type="dxa"/>
            <w:left w:w="108" w:type="dxa"/>
            <w:bottom w:w="0" w:type="dxa"/>
            <w:right w:w="108" w:type="dxa"/>
          </w:tblCellMar>
        </w:tblPrEx>
        <w:tc>
          <w:tcPr>
            <w:tcW w:w="2160" w:type="dxa"/>
            <w:tcBorders>
              <w:top w:val="nil"/>
              <w:left w:val="nil"/>
              <w:bottom w:val="nil"/>
              <w:right w:val="nil"/>
            </w:tcBorders>
          </w:tcPr>
          <w:p w14:paraId="3C282261">
            <w:pPr>
              <w:pStyle w:val="205"/>
              <w:numPr>
                <w:ilvl w:val="0"/>
                <w:numId w:val="65"/>
              </w:numPr>
              <w:tabs>
                <w:tab w:val="clear" w:pos="540"/>
                <w:tab w:val="clear" w:pos="360"/>
              </w:tabs>
              <w:spacing w:before="120" w:after="120"/>
              <w:ind w:left="360" w:hanging="360"/>
            </w:pPr>
            <w:bookmarkStart w:id="700" w:name="_Toc333923273"/>
            <w:bookmarkStart w:id="701" w:name="_Toc497228257"/>
            <w:bookmarkStart w:id="702" w:name="_Toc29906933"/>
            <w:r>
              <w:t>Liquidated Damages</w:t>
            </w:r>
            <w:bookmarkEnd w:id="700"/>
            <w:bookmarkEnd w:id="701"/>
            <w:bookmarkEnd w:id="702"/>
          </w:p>
        </w:tc>
        <w:tc>
          <w:tcPr>
            <w:tcW w:w="6989" w:type="dxa"/>
            <w:gridSpan w:val="3"/>
            <w:tcBorders>
              <w:top w:val="nil"/>
              <w:left w:val="nil"/>
              <w:bottom w:val="nil"/>
              <w:right w:val="nil"/>
            </w:tcBorders>
          </w:tcPr>
          <w:p w14:paraId="6ABBA792">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pay liquidated damages to the Employer at the rate per day </w:t>
            </w:r>
            <w:r>
              <w:rPr>
                <w:b/>
              </w:rPr>
              <w:t>stated in the PCC</w:t>
            </w:r>
            <w:r>
              <w:t xml:space="preserve"> for each day that the Completion Date is later than the Intended Completion Date.  The total amount of liquidated damages shall not exceed the amount </w:t>
            </w:r>
            <w:r>
              <w:rPr>
                <w:b/>
              </w:rPr>
              <w:t>defined in the PCC.</w:t>
            </w:r>
            <w:r>
              <w:t xml:space="preserve"> The Employer may deduct liquidated damages from payments due to the Contractor.  Payment of liquidated damages shall not affect the Contractor’s liabilities.</w:t>
            </w:r>
          </w:p>
          <w:p w14:paraId="3C187F0E">
            <w:pPr>
              <w:numPr>
                <w:ilvl w:val="1"/>
                <w:numId w:val="65"/>
              </w:numPr>
              <w:suppressAutoHyphens/>
              <w:overflowPunct w:val="0"/>
              <w:autoSpaceDE w:val="0"/>
              <w:autoSpaceDN w:val="0"/>
              <w:adjustRightInd w:val="0"/>
              <w:spacing w:before="120" w:after="120"/>
              <w:ind w:right="36"/>
              <w:jc w:val="both"/>
              <w:textAlignment w:val="baseline"/>
            </w:pPr>
            <w:r>
              <w:t>If the Intended Completion Date is extended after liquidated damages have been paid, the Project Manager shall correct any overpayment of liquidated damages by the Contractor by adjusting the next payment certificate.  The Contractor shall be paid interest on the overpayment, calculated from the date of payment to the date of repayment, at the rates specified in GCC Sub-Clause 43.1.</w:t>
            </w:r>
          </w:p>
        </w:tc>
      </w:tr>
      <w:tr w14:paraId="78F7AE5E">
        <w:tblPrEx>
          <w:tblCellMar>
            <w:top w:w="0" w:type="dxa"/>
            <w:left w:w="108" w:type="dxa"/>
            <w:bottom w:w="0" w:type="dxa"/>
            <w:right w:w="108" w:type="dxa"/>
          </w:tblCellMar>
        </w:tblPrEx>
        <w:tc>
          <w:tcPr>
            <w:tcW w:w="2160" w:type="dxa"/>
            <w:tcBorders>
              <w:top w:val="nil"/>
              <w:left w:val="nil"/>
              <w:bottom w:val="nil"/>
              <w:right w:val="nil"/>
            </w:tcBorders>
          </w:tcPr>
          <w:p w14:paraId="2C7DA2CC">
            <w:pPr>
              <w:pStyle w:val="205"/>
              <w:numPr>
                <w:ilvl w:val="0"/>
                <w:numId w:val="65"/>
              </w:numPr>
              <w:tabs>
                <w:tab w:val="clear" w:pos="540"/>
                <w:tab w:val="clear" w:pos="360"/>
              </w:tabs>
              <w:spacing w:before="120" w:after="120"/>
              <w:ind w:left="360" w:hanging="360"/>
            </w:pPr>
            <w:bookmarkStart w:id="703" w:name="_Toc29906934"/>
            <w:bookmarkStart w:id="704" w:name="_Toc497228258"/>
            <w:bookmarkStart w:id="705" w:name="_Toc333923274"/>
            <w:r>
              <w:t>Bonus</w:t>
            </w:r>
            <w:bookmarkEnd w:id="703"/>
            <w:bookmarkEnd w:id="704"/>
            <w:bookmarkEnd w:id="705"/>
          </w:p>
        </w:tc>
        <w:tc>
          <w:tcPr>
            <w:tcW w:w="6989" w:type="dxa"/>
            <w:gridSpan w:val="3"/>
            <w:tcBorders>
              <w:top w:val="nil"/>
              <w:left w:val="nil"/>
              <w:bottom w:val="nil"/>
              <w:right w:val="nil"/>
            </w:tcBorders>
          </w:tcPr>
          <w:p w14:paraId="6ADB451F">
            <w:pPr>
              <w:numPr>
                <w:ilvl w:val="1"/>
                <w:numId w:val="65"/>
              </w:numPr>
              <w:suppressAutoHyphens/>
              <w:overflowPunct w:val="0"/>
              <w:autoSpaceDE w:val="0"/>
              <w:autoSpaceDN w:val="0"/>
              <w:adjustRightInd w:val="0"/>
              <w:spacing w:before="120" w:after="120"/>
              <w:ind w:right="36"/>
              <w:jc w:val="both"/>
              <w:textAlignment w:val="baseline"/>
            </w:pPr>
            <w:r>
              <w:t xml:space="preserve">The Contractor shall be paid a Bonus calculated at the rate per calendar day </w:t>
            </w:r>
            <w:r>
              <w:rPr>
                <w:b/>
              </w:rPr>
              <w:t>stated in the PCC</w:t>
            </w:r>
            <w:r>
              <w:t xml:space="preserve"> for each day (less any days for which the Contractor is paid for acceleration) that the Completion is earlier than the Intended Completion Date. The Project Manager shall certify that the Works are complete, although they may not be due to be complete.</w:t>
            </w:r>
          </w:p>
        </w:tc>
      </w:tr>
      <w:tr w14:paraId="7F5A32D8">
        <w:tblPrEx>
          <w:tblCellMar>
            <w:top w:w="0" w:type="dxa"/>
            <w:left w:w="108" w:type="dxa"/>
            <w:bottom w:w="0" w:type="dxa"/>
            <w:right w:w="108" w:type="dxa"/>
          </w:tblCellMar>
        </w:tblPrEx>
        <w:tc>
          <w:tcPr>
            <w:tcW w:w="2160" w:type="dxa"/>
            <w:tcBorders>
              <w:top w:val="nil"/>
              <w:left w:val="nil"/>
              <w:bottom w:val="nil"/>
              <w:right w:val="nil"/>
            </w:tcBorders>
          </w:tcPr>
          <w:p w14:paraId="50E952F2">
            <w:pPr>
              <w:pStyle w:val="205"/>
              <w:numPr>
                <w:ilvl w:val="0"/>
                <w:numId w:val="65"/>
              </w:numPr>
              <w:tabs>
                <w:tab w:val="clear" w:pos="540"/>
                <w:tab w:val="clear" w:pos="360"/>
              </w:tabs>
              <w:spacing w:before="120" w:after="120"/>
              <w:ind w:left="360" w:hanging="360"/>
            </w:pPr>
            <w:bookmarkStart w:id="706" w:name="_Toc333923275"/>
            <w:bookmarkStart w:id="707" w:name="_Toc29906935"/>
            <w:bookmarkStart w:id="708" w:name="_Toc497228259"/>
            <w:r>
              <w:t>Advance Payment</w:t>
            </w:r>
            <w:bookmarkEnd w:id="706"/>
            <w:bookmarkEnd w:id="707"/>
            <w:bookmarkEnd w:id="708"/>
          </w:p>
        </w:tc>
        <w:tc>
          <w:tcPr>
            <w:tcW w:w="6989" w:type="dxa"/>
            <w:gridSpan w:val="3"/>
            <w:tcBorders>
              <w:top w:val="nil"/>
              <w:left w:val="nil"/>
              <w:bottom w:val="nil"/>
              <w:right w:val="nil"/>
            </w:tcBorders>
          </w:tcPr>
          <w:p w14:paraId="221FDF10">
            <w:pPr>
              <w:numPr>
                <w:ilvl w:val="1"/>
                <w:numId w:val="65"/>
              </w:numPr>
              <w:suppressAutoHyphens/>
              <w:overflowPunct w:val="0"/>
              <w:autoSpaceDE w:val="0"/>
              <w:autoSpaceDN w:val="0"/>
              <w:adjustRightInd w:val="0"/>
              <w:spacing w:before="120" w:after="120"/>
              <w:ind w:right="36"/>
              <w:jc w:val="both"/>
              <w:textAlignment w:val="baseline"/>
            </w:pPr>
            <w:r>
              <w:t xml:space="preserve">The Employer shall make advance payment to the Contractor of the amounts </w:t>
            </w:r>
            <w:r>
              <w:rPr>
                <w:b/>
              </w:rPr>
              <w:t xml:space="preserve">stated in the PCC </w:t>
            </w:r>
            <w:r>
              <w:t xml:space="preserve">by the date </w:t>
            </w:r>
            <w:r>
              <w:rPr>
                <w:b/>
              </w:rPr>
              <w:t xml:space="preserve">stated in the PCC, </w:t>
            </w:r>
            <w:r>
              <w:t>against provision by the Contractor of an Unconditional Bank Guarantee in a form and by a bank acceptable to the Employer in amounts and currencies equal to the advance payment. The Guarantee shall remain effective until the advance payment has been repaid, but the amount of the Guarantee shall be progressively reduced by the amounts repaid by the Contractor. Interest shall not be charged on the advance payment.</w:t>
            </w:r>
          </w:p>
          <w:p w14:paraId="3BBD37CA">
            <w:pPr>
              <w:numPr>
                <w:ilvl w:val="1"/>
                <w:numId w:val="65"/>
              </w:numPr>
              <w:suppressAutoHyphens/>
              <w:overflowPunct w:val="0"/>
              <w:autoSpaceDE w:val="0"/>
              <w:autoSpaceDN w:val="0"/>
              <w:adjustRightInd w:val="0"/>
              <w:spacing w:before="120" w:after="120"/>
              <w:ind w:right="36"/>
              <w:jc w:val="both"/>
              <w:textAlignment w:val="baseline"/>
            </w:pPr>
            <w:r>
              <w:t>The Contractor is to use the advance payment only to pay for Equipment, Plant, Materials, and mobilization expenses required specifically for execution of the Contract. The Contractor shall demonstrate that advance payment has been used in this way by supplying copies of invoices or other documents to the Project Manager.</w:t>
            </w:r>
          </w:p>
          <w:p w14:paraId="65120517">
            <w:pPr>
              <w:numPr>
                <w:ilvl w:val="1"/>
                <w:numId w:val="65"/>
              </w:numPr>
              <w:suppressAutoHyphens/>
              <w:overflowPunct w:val="0"/>
              <w:autoSpaceDE w:val="0"/>
              <w:autoSpaceDN w:val="0"/>
              <w:adjustRightInd w:val="0"/>
              <w:spacing w:before="120" w:after="120"/>
              <w:ind w:right="36"/>
              <w:jc w:val="both"/>
              <w:textAlignment w:val="baseline"/>
            </w:pPr>
            <w:r>
              <w:t>The advance payment shall be repaid by deducting proportionate amounts from payments otherwise due to the Contractor, following the schedule of completed percentages of the Works on a payment basis. No account shall be taken of the advance payment or its repayment in assessing valuations of work done, Variations, price adjustments, Compensation Events, Bonuses, or Liquidated Damages.</w:t>
            </w:r>
          </w:p>
        </w:tc>
      </w:tr>
      <w:tr w14:paraId="5B1E480C">
        <w:tblPrEx>
          <w:tblCellMar>
            <w:top w:w="0" w:type="dxa"/>
            <w:left w:w="108" w:type="dxa"/>
            <w:bottom w:w="0" w:type="dxa"/>
            <w:right w:w="108" w:type="dxa"/>
          </w:tblCellMar>
        </w:tblPrEx>
        <w:tc>
          <w:tcPr>
            <w:tcW w:w="2160" w:type="dxa"/>
            <w:tcBorders>
              <w:top w:val="nil"/>
              <w:left w:val="nil"/>
              <w:bottom w:val="nil"/>
              <w:right w:val="nil"/>
            </w:tcBorders>
          </w:tcPr>
          <w:p w14:paraId="425D9376">
            <w:pPr>
              <w:pStyle w:val="205"/>
              <w:numPr>
                <w:ilvl w:val="0"/>
                <w:numId w:val="65"/>
              </w:numPr>
              <w:tabs>
                <w:tab w:val="clear" w:pos="540"/>
                <w:tab w:val="clear" w:pos="360"/>
              </w:tabs>
              <w:spacing w:before="120" w:after="120"/>
              <w:ind w:left="360" w:hanging="360"/>
            </w:pPr>
            <w:bookmarkStart w:id="709" w:name="_Toc333923276"/>
            <w:bookmarkStart w:id="710" w:name="_Toc497228260"/>
            <w:bookmarkStart w:id="711" w:name="_Toc29906936"/>
            <w:r>
              <w:t>Securities</w:t>
            </w:r>
            <w:bookmarkEnd w:id="709"/>
            <w:bookmarkEnd w:id="710"/>
            <w:bookmarkEnd w:id="711"/>
          </w:p>
        </w:tc>
        <w:tc>
          <w:tcPr>
            <w:tcW w:w="6989" w:type="dxa"/>
            <w:gridSpan w:val="3"/>
            <w:tcBorders>
              <w:top w:val="nil"/>
              <w:left w:val="nil"/>
              <w:bottom w:val="nil"/>
              <w:right w:val="nil"/>
            </w:tcBorders>
          </w:tcPr>
          <w:p w14:paraId="1AEEED9C">
            <w:pPr>
              <w:numPr>
                <w:ilvl w:val="1"/>
                <w:numId w:val="65"/>
              </w:numPr>
              <w:suppressAutoHyphens/>
              <w:overflowPunct w:val="0"/>
              <w:autoSpaceDE w:val="0"/>
              <w:autoSpaceDN w:val="0"/>
              <w:adjustRightInd w:val="0"/>
              <w:spacing w:before="120" w:after="120"/>
              <w:ind w:right="36"/>
              <w:jc w:val="both"/>
              <w:textAlignment w:val="baseline"/>
            </w:pPr>
            <w:r>
              <w:t xml:space="preserve">The Performance Security, and if so </w:t>
            </w:r>
            <w:r>
              <w:rPr>
                <w:b/>
                <w:bCs/>
              </w:rPr>
              <w:t>specified in the PCC</w:t>
            </w:r>
            <w:r>
              <w:t xml:space="preserve"> an environmental and social (ES) performance security, shall be provided to the Employer no later than the date specified in the Letter of Acceptance and shall be issued in an amount </w:t>
            </w:r>
            <w:r>
              <w:rPr>
                <w:b/>
                <w:bCs/>
              </w:rPr>
              <w:t>specified in the PCC,</w:t>
            </w:r>
            <w:r>
              <w:t xml:space="preserve"> by a bank or surety acceptable to the Employer, and denominated in the types and proportions of the currencies in which the Contract Price is payable. The Performance Security shall be valid until a date 28 days from the date of issue of the Certificate of Completion in the case of a Bank Guarantee, and until one year from the date of issue of the Certificate of Completion in the case of a Performance Bond.</w:t>
            </w:r>
          </w:p>
        </w:tc>
      </w:tr>
      <w:tr w14:paraId="3EAF7C99">
        <w:tblPrEx>
          <w:tblCellMar>
            <w:top w:w="0" w:type="dxa"/>
            <w:left w:w="108" w:type="dxa"/>
            <w:bottom w:w="0" w:type="dxa"/>
            <w:right w:w="108" w:type="dxa"/>
          </w:tblCellMar>
        </w:tblPrEx>
        <w:tc>
          <w:tcPr>
            <w:tcW w:w="2160" w:type="dxa"/>
            <w:tcBorders>
              <w:top w:val="nil"/>
              <w:left w:val="nil"/>
              <w:bottom w:val="nil"/>
              <w:right w:val="nil"/>
            </w:tcBorders>
          </w:tcPr>
          <w:p w14:paraId="33BECE0D">
            <w:pPr>
              <w:pStyle w:val="205"/>
              <w:numPr>
                <w:ilvl w:val="0"/>
                <w:numId w:val="65"/>
              </w:numPr>
              <w:tabs>
                <w:tab w:val="clear" w:pos="540"/>
                <w:tab w:val="clear" w:pos="360"/>
              </w:tabs>
              <w:spacing w:before="120" w:after="120"/>
              <w:ind w:left="360" w:hanging="360"/>
            </w:pPr>
            <w:bookmarkStart w:id="712" w:name="_Toc497228261"/>
            <w:bookmarkStart w:id="713" w:name="_Toc333923277"/>
            <w:bookmarkStart w:id="714" w:name="_Toc29906937"/>
            <w:r>
              <w:t>Dayworks</w:t>
            </w:r>
            <w:bookmarkEnd w:id="712"/>
            <w:bookmarkEnd w:id="713"/>
            <w:bookmarkEnd w:id="714"/>
          </w:p>
        </w:tc>
        <w:tc>
          <w:tcPr>
            <w:tcW w:w="6989" w:type="dxa"/>
            <w:gridSpan w:val="3"/>
            <w:tcBorders>
              <w:top w:val="nil"/>
              <w:left w:val="nil"/>
              <w:bottom w:val="nil"/>
              <w:right w:val="nil"/>
            </w:tcBorders>
          </w:tcPr>
          <w:p w14:paraId="39F38C75">
            <w:pPr>
              <w:numPr>
                <w:ilvl w:val="1"/>
                <w:numId w:val="65"/>
              </w:numPr>
              <w:suppressAutoHyphens/>
              <w:overflowPunct w:val="0"/>
              <w:autoSpaceDE w:val="0"/>
              <w:autoSpaceDN w:val="0"/>
              <w:adjustRightInd w:val="0"/>
              <w:spacing w:before="120" w:after="120"/>
              <w:ind w:right="36"/>
              <w:jc w:val="both"/>
              <w:textAlignment w:val="baseline"/>
            </w:pPr>
            <w:r>
              <w:t>If applicable, the Dayworks rates in the Contractor’s Bid shall be used only when the Project Manager has given written instructions in advance for additional work to be paid for in that way.</w:t>
            </w:r>
          </w:p>
          <w:p w14:paraId="4F604623">
            <w:pPr>
              <w:numPr>
                <w:ilvl w:val="1"/>
                <w:numId w:val="65"/>
              </w:numPr>
              <w:suppressAutoHyphens/>
              <w:overflowPunct w:val="0"/>
              <w:autoSpaceDE w:val="0"/>
              <w:autoSpaceDN w:val="0"/>
              <w:adjustRightInd w:val="0"/>
              <w:spacing w:before="120" w:after="120"/>
              <w:ind w:right="36"/>
              <w:jc w:val="both"/>
              <w:textAlignment w:val="baseline"/>
            </w:pPr>
            <w:r>
              <w:t>All work to be paid for as Dayworks shall be recorded by the Contractor on forms approved by the Project Manager.  Each completed form shall be verified and signed by the Project Manager within two days of the work being done.</w:t>
            </w:r>
          </w:p>
          <w:p w14:paraId="3B6F7A31">
            <w:pPr>
              <w:numPr>
                <w:ilvl w:val="1"/>
                <w:numId w:val="65"/>
              </w:numPr>
              <w:suppressAutoHyphens/>
              <w:overflowPunct w:val="0"/>
              <w:autoSpaceDE w:val="0"/>
              <w:autoSpaceDN w:val="0"/>
              <w:adjustRightInd w:val="0"/>
              <w:spacing w:before="120" w:after="120"/>
              <w:ind w:right="36"/>
              <w:jc w:val="both"/>
              <w:textAlignment w:val="baseline"/>
            </w:pPr>
            <w:r>
              <w:t>The Contractor shall be paid for Dayworks subject to obtaining signed Dayworks forms.</w:t>
            </w:r>
          </w:p>
        </w:tc>
      </w:tr>
      <w:tr w14:paraId="28997AD2">
        <w:tblPrEx>
          <w:tblCellMar>
            <w:top w:w="0" w:type="dxa"/>
            <w:left w:w="108" w:type="dxa"/>
            <w:bottom w:w="0" w:type="dxa"/>
            <w:right w:w="108" w:type="dxa"/>
          </w:tblCellMar>
        </w:tblPrEx>
        <w:tc>
          <w:tcPr>
            <w:tcW w:w="2160" w:type="dxa"/>
            <w:tcBorders>
              <w:top w:val="nil"/>
              <w:left w:val="nil"/>
              <w:bottom w:val="nil"/>
              <w:right w:val="nil"/>
            </w:tcBorders>
          </w:tcPr>
          <w:p w14:paraId="6D4BC867">
            <w:pPr>
              <w:pStyle w:val="205"/>
              <w:numPr>
                <w:ilvl w:val="0"/>
                <w:numId w:val="65"/>
              </w:numPr>
              <w:tabs>
                <w:tab w:val="clear" w:pos="540"/>
                <w:tab w:val="clear" w:pos="360"/>
              </w:tabs>
              <w:spacing w:before="120" w:after="120"/>
              <w:ind w:left="360" w:hanging="360"/>
            </w:pPr>
            <w:bookmarkStart w:id="715" w:name="_Toc29906938"/>
            <w:bookmarkStart w:id="716" w:name="_Toc497228262"/>
            <w:bookmarkStart w:id="717" w:name="_Toc333923278"/>
            <w:r>
              <w:t>Cost of Repairs</w:t>
            </w:r>
            <w:bookmarkEnd w:id="715"/>
            <w:bookmarkEnd w:id="716"/>
            <w:bookmarkEnd w:id="717"/>
          </w:p>
        </w:tc>
        <w:tc>
          <w:tcPr>
            <w:tcW w:w="6989" w:type="dxa"/>
            <w:gridSpan w:val="3"/>
            <w:tcBorders>
              <w:top w:val="nil"/>
              <w:left w:val="nil"/>
              <w:bottom w:val="nil"/>
              <w:right w:val="nil"/>
            </w:tcBorders>
          </w:tcPr>
          <w:p w14:paraId="0F541AEC">
            <w:pPr>
              <w:numPr>
                <w:ilvl w:val="1"/>
                <w:numId w:val="65"/>
              </w:numPr>
              <w:suppressAutoHyphens/>
              <w:overflowPunct w:val="0"/>
              <w:autoSpaceDE w:val="0"/>
              <w:autoSpaceDN w:val="0"/>
              <w:adjustRightInd w:val="0"/>
              <w:spacing w:before="120" w:after="120"/>
              <w:ind w:right="36"/>
              <w:jc w:val="both"/>
              <w:textAlignment w:val="baseline"/>
            </w:pPr>
            <w:r>
              <w:t>Loss or damage to the Works or Materials to be incorporated in the Works between the Start Date and the end of the Defects Correction periods shall be remedied by the Contractor at the Contractor’s cost if the loss or damage arises from the Contractor’s acts or omissions.</w:t>
            </w:r>
          </w:p>
        </w:tc>
      </w:tr>
      <w:tr w14:paraId="40B71C85">
        <w:tblPrEx>
          <w:tblCellMar>
            <w:top w:w="0" w:type="dxa"/>
            <w:left w:w="108" w:type="dxa"/>
            <w:bottom w:w="0" w:type="dxa"/>
            <w:right w:w="108" w:type="dxa"/>
          </w:tblCellMar>
        </w:tblPrEx>
        <w:tc>
          <w:tcPr>
            <w:tcW w:w="9149" w:type="dxa"/>
            <w:gridSpan w:val="4"/>
            <w:tcBorders>
              <w:top w:val="nil"/>
              <w:left w:val="nil"/>
              <w:bottom w:val="nil"/>
              <w:right w:val="nil"/>
            </w:tcBorders>
          </w:tcPr>
          <w:p w14:paraId="23098EC7">
            <w:pPr>
              <w:pStyle w:val="204"/>
              <w:spacing w:after="120"/>
            </w:pPr>
            <w:bookmarkStart w:id="718" w:name="_Toc29906939"/>
            <w:bookmarkStart w:id="719" w:name="_Toc497228263"/>
            <w:bookmarkStart w:id="720" w:name="_Toc333923279"/>
            <w:r>
              <w:t>E.  Finishing the Contract</w:t>
            </w:r>
            <w:bookmarkEnd w:id="718"/>
            <w:bookmarkEnd w:id="719"/>
            <w:bookmarkEnd w:id="720"/>
          </w:p>
        </w:tc>
      </w:tr>
      <w:tr w14:paraId="67CCD079">
        <w:tblPrEx>
          <w:tblCellMar>
            <w:top w:w="0" w:type="dxa"/>
            <w:left w:w="108" w:type="dxa"/>
            <w:bottom w:w="0" w:type="dxa"/>
            <w:right w:w="108" w:type="dxa"/>
          </w:tblCellMar>
        </w:tblPrEx>
        <w:trPr>
          <w:gridAfter w:val="1"/>
          <w:wAfter w:w="140" w:type="dxa"/>
        </w:trPr>
        <w:tc>
          <w:tcPr>
            <w:tcW w:w="2261" w:type="dxa"/>
            <w:gridSpan w:val="2"/>
          </w:tcPr>
          <w:p w14:paraId="4BCDE4F2">
            <w:pPr>
              <w:pStyle w:val="205"/>
              <w:numPr>
                <w:ilvl w:val="0"/>
                <w:numId w:val="65"/>
              </w:numPr>
              <w:tabs>
                <w:tab w:val="clear" w:pos="540"/>
                <w:tab w:val="clear" w:pos="360"/>
              </w:tabs>
              <w:spacing w:before="120" w:after="120"/>
              <w:ind w:left="360" w:hanging="360"/>
            </w:pPr>
            <w:bookmarkStart w:id="721" w:name="_Toc333923280"/>
            <w:bookmarkStart w:id="722" w:name="_Toc497228264"/>
            <w:bookmarkStart w:id="723" w:name="_Toc29906940"/>
            <w:r>
              <w:t>Completion</w:t>
            </w:r>
            <w:bookmarkEnd w:id="721"/>
            <w:bookmarkEnd w:id="722"/>
            <w:bookmarkEnd w:id="723"/>
          </w:p>
        </w:tc>
        <w:tc>
          <w:tcPr>
            <w:tcW w:w="6748" w:type="dxa"/>
          </w:tcPr>
          <w:p w14:paraId="34D4EE75">
            <w:pPr>
              <w:numPr>
                <w:ilvl w:val="1"/>
                <w:numId w:val="65"/>
              </w:numPr>
              <w:suppressAutoHyphens/>
              <w:overflowPunct w:val="0"/>
              <w:autoSpaceDE w:val="0"/>
              <w:autoSpaceDN w:val="0"/>
              <w:adjustRightInd w:val="0"/>
              <w:spacing w:before="120" w:after="120"/>
              <w:ind w:right="36"/>
              <w:jc w:val="both"/>
              <w:textAlignment w:val="baseline"/>
            </w:pPr>
            <w:r>
              <w:t>The Contractor shall request the Project Manager to issue a Certificate of Completion of the Works, and the Project Manager shall do so upon deciding that the whole of the Works is completed.</w:t>
            </w:r>
          </w:p>
        </w:tc>
      </w:tr>
      <w:tr w14:paraId="7C6D5006">
        <w:tblPrEx>
          <w:tblCellMar>
            <w:top w:w="0" w:type="dxa"/>
            <w:left w:w="108" w:type="dxa"/>
            <w:bottom w:w="0" w:type="dxa"/>
            <w:right w:w="108" w:type="dxa"/>
          </w:tblCellMar>
        </w:tblPrEx>
        <w:trPr>
          <w:gridAfter w:val="1"/>
          <w:wAfter w:w="140" w:type="dxa"/>
        </w:trPr>
        <w:tc>
          <w:tcPr>
            <w:tcW w:w="2261" w:type="dxa"/>
            <w:gridSpan w:val="2"/>
          </w:tcPr>
          <w:p w14:paraId="3766A738">
            <w:pPr>
              <w:pStyle w:val="205"/>
              <w:numPr>
                <w:ilvl w:val="0"/>
                <w:numId w:val="65"/>
              </w:numPr>
              <w:tabs>
                <w:tab w:val="clear" w:pos="540"/>
                <w:tab w:val="clear" w:pos="360"/>
              </w:tabs>
              <w:spacing w:before="120" w:after="120"/>
              <w:ind w:left="360" w:hanging="360"/>
            </w:pPr>
            <w:bookmarkStart w:id="724" w:name="_Toc333923281"/>
            <w:bookmarkStart w:id="725" w:name="_Toc29906941"/>
            <w:bookmarkStart w:id="726" w:name="_Toc497228265"/>
            <w:r>
              <w:t>Taking Over</w:t>
            </w:r>
            <w:bookmarkEnd w:id="724"/>
            <w:bookmarkEnd w:id="725"/>
            <w:bookmarkEnd w:id="726"/>
          </w:p>
        </w:tc>
        <w:tc>
          <w:tcPr>
            <w:tcW w:w="6748" w:type="dxa"/>
          </w:tcPr>
          <w:p w14:paraId="7829F372">
            <w:pPr>
              <w:numPr>
                <w:ilvl w:val="1"/>
                <w:numId w:val="65"/>
              </w:numPr>
              <w:suppressAutoHyphens/>
              <w:overflowPunct w:val="0"/>
              <w:autoSpaceDE w:val="0"/>
              <w:autoSpaceDN w:val="0"/>
              <w:adjustRightInd w:val="0"/>
              <w:spacing w:before="120" w:after="120"/>
              <w:ind w:right="36"/>
              <w:jc w:val="both"/>
              <w:textAlignment w:val="baseline"/>
            </w:pPr>
            <w:r>
              <w:t>The Employer shall take over the Site and the Works within seven days of the Project Manager’s issuing a certificate of Completion.</w:t>
            </w:r>
          </w:p>
        </w:tc>
      </w:tr>
      <w:tr w14:paraId="371A2262">
        <w:tblPrEx>
          <w:tblCellMar>
            <w:top w:w="0" w:type="dxa"/>
            <w:left w:w="108" w:type="dxa"/>
            <w:bottom w:w="0" w:type="dxa"/>
            <w:right w:w="108" w:type="dxa"/>
          </w:tblCellMar>
        </w:tblPrEx>
        <w:trPr>
          <w:gridAfter w:val="1"/>
          <w:wAfter w:w="140" w:type="dxa"/>
        </w:trPr>
        <w:tc>
          <w:tcPr>
            <w:tcW w:w="2261" w:type="dxa"/>
            <w:gridSpan w:val="2"/>
          </w:tcPr>
          <w:p w14:paraId="08A400E0">
            <w:pPr>
              <w:pStyle w:val="205"/>
              <w:numPr>
                <w:ilvl w:val="0"/>
                <w:numId w:val="65"/>
              </w:numPr>
              <w:tabs>
                <w:tab w:val="clear" w:pos="540"/>
                <w:tab w:val="clear" w:pos="360"/>
              </w:tabs>
              <w:spacing w:before="120" w:after="120"/>
              <w:ind w:left="360" w:hanging="360"/>
            </w:pPr>
            <w:bookmarkStart w:id="727" w:name="_Toc333923282"/>
            <w:bookmarkStart w:id="728" w:name="_Toc497228266"/>
            <w:bookmarkStart w:id="729" w:name="_Toc29906942"/>
            <w:r>
              <w:t>Final Account</w:t>
            </w:r>
            <w:bookmarkEnd w:id="727"/>
            <w:bookmarkEnd w:id="728"/>
            <w:bookmarkEnd w:id="729"/>
          </w:p>
        </w:tc>
        <w:tc>
          <w:tcPr>
            <w:tcW w:w="6748" w:type="dxa"/>
          </w:tcPr>
          <w:p w14:paraId="16C24D3F">
            <w:pPr>
              <w:numPr>
                <w:ilvl w:val="1"/>
                <w:numId w:val="65"/>
              </w:numPr>
              <w:suppressAutoHyphens/>
              <w:overflowPunct w:val="0"/>
              <w:autoSpaceDE w:val="0"/>
              <w:autoSpaceDN w:val="0"/>
              <w:adjustRightInd w:val="0"/>
              <w:spacing w:before="120" w:after="120"/>
              <w:ind w:right="36"/>
              <w:jc w:val="both"/>
              <w:textAlignment w:val="baseline"/>
            </w:pPr>
            <w:r>
              <w:t>The Contractor shall supply the Project Manager with a detailed account of the total amount that the Contractor considers payable under the Contract before the end of the Defects Liability Period. The Project Manager shall issue a Defects Liability Certificate and certify any final payment that is due to the Contractor within 56 days of receiving the Contractor’s account if it is correct and complete. If it is not, the Project Manager shall issue within 56 days a schedule that states the scope of the corrections or additions that are necessary. If the Final Account is still unsatisfactory after it has been resubmitted, the Project Manager shall decide on the amount payable to the Contractor and issue a payment certificate.</w:t>
            </w:r>
          </w:p>
        </w:tc>
      </w:tr>
      <w:tr w14:paraId="6CAF1BF5">
        <w:tblPrEx>
          <w:tblCellMar>
            <w:top w:w="0" w:type="dxa"/>
            <w:left w:w="108" w:type="dxa"/>
            <w:bottom w:w="0" w:type="dxa"/>
            <w:right w:w="108" w:type="dxa"/>
          </w:tblCellMar>
        </w:tblPrEx>
        <w:trPr>
          <w:gridAfter w:val="1"/>
          <w:wAfter w:w="140" w:type="dxa"/>
        </w:trPr>
        <w:tc>
          <w:tcPr>
            <w:tcW w:w="2261" w:type="dxa"/>
            <w:gridSpan w:val="2"/>
          </w:tcPr>
          <w:p w14:paraId="00A5E1CC">
            <w:pPr>
              <w:pStyle w:val="205"/>
              <w:numPr>
                <w:ilvl w:val="0"/>
                <w:numId w:val="65"/>
              </w:numPr>
              <w:tabs>
                <w:tab w:val="clear" w:pos="540"/>
                <w:tab w:val="clear" w:pos="360"/>
              </w:tabs>
              <w:spacing w:before="120" w:after="120"/>
              <w:ind w:left="360" w:hanging="360"/>
            </w:pPr>
            <w:bookmarkStart w:id="730" w:name="_Toc497228267"/>
            <w:bookmarkStart w:id="731" w:name="_Toc333923283"/>
            <w:bookmarkStart w:id="732" w:name="_Toc29906943"/>
            <w:r>
              <w:t>Operating and Maintenance Manuals</w:t>
            </w:r>
            <w:bookmarkEnd w:id="730"/>
            <w:bookmarkEnd w:id="731"/>
            <w:bookmarkEnd w:id="732"/>
          </w:p>
        </w:tc>
        <w:tc>
          <w:tcPr>
            <w:tcW w:w="6748" w:type="dxa"/>
          </w:tcPr>
          <w:p w14:paraId="76D3FA91">
            <w:pPr>
              <w:numPr>
                <w:ilvl w:val="1"/>
                <w:numId w:val="65"/>
              </w:numPr>
              <w:suppressAutoHyphens/>
              <w:overflowPunct w:val="0"/>
              <w:autoSpaceDE w:val="0"/>
              <w:autoSpaceDN w:val="0"/>
              <w:adjustRightInd w:val="0"/>
              <w:spacing w:before="120" w:after="120"/>
              <w:ind w:right="36"/>
              <w:jc w:val="both"/>
              <w:textAlignment w:val="baseline"/>
            </w:pPr>
            <w:r>
              <w:t xml:space="preserve">If “as built” Drawings and/or operating and maintenance manuals are required, the Contractor shall supply them by the dates </w:t>
            </w:r>
            <w:r>
              <w:rPr>
                <w:b/>
              </w:rPr>
              <w:t>stated in the PCC.</w:t>
            </w:r>
          </w:p>
          <w:p w14:paraId="3D407401">
            <w:pPr>
              <w:numPr>
                <w:ilvl w:val="1"/>
                <w:numId w:val="65"/>
              </w:numPr>
              <w:suppressAutoHyphens/>
              <w:overflowPunct w:val="0"/>
              <w:autoSpaceDE w:val="0"/>
              <w:autoSpaceDN w:val="0"/>
              <w:adjustRightInd w:val="0"/>
              <w:spacing w:before="120" w:after="120"/>
              <w:ind w:right="36"/>
              <w:jc w:val="both"/>
              <w:textAlignment w:val="baseline"/>
            </w:pPr>
            <w:r>
              <w:t xml:space="preserve">If the Contractor does not supply the Drawings and/or manuals by the dates </w:t>
            </w:r>
            <w:r>
              <w:rPr>
                <w:b/>
              </w:rPr>
              <w:t xml:space="preserve">stated in the PCC </w:t>
            </w:r>
            <w:r>
              <w:t>pursuant to GCC Sub-Clause 58.1</w:t>
            </w:r>
            <w:r>
              <w:rPr>
                <w:b/>
              </w:rPr>
              <w:t>,</w:t>
            </w:r>
            <w:r>
              <w:t xml:space="preserve"> or they do not receive the Project Manager’s approval, the Project Manager shall withhold the amount </w:t>
            </w:r>
            <w:r>
              <w:rPr>
                <w:b/>
              </w:rPr>
              <w:t xml:space="preserve">stated in the PCC </w:t>
            </w:r>
            <w:r>
              <w:t>from payments due to the Contractor.</w:t>
            </w:r>
          </w:p>
        </w:tc>
      </w:tr>
      <w:tr w14:paraId="002118DE">
        <w:tblPrEx>
          <w:tblCellMar>
            <w:top w:w="0" w:type="dxa"/>
            <w:left w:w="108" w:type="dxa"/>
            <w:bottom w:w="0" w:type="dxa"/>
            <w:right w:w="108" w:type="dxa"/>
          </w:tblCellMar>
        </w:tblPrEx>
        <w:trPr>
          <w:gridAfter w:val="1"/>
          <w:wAfter w:w="140" w:type="dxa"/>
          <w:trHeight w:val="1548" w:hRule="atLeast"/>
        </w:trPr>
        <w:tc>
          <w:tcPr>
            <w:tcW w:w="2261" w:type="dxa"/>
            <w:gridSpan w:val="2"/>
          </w:tcPr>
          <w:p w14:paraId="14D07ECB">
            <w:pPr>
              <w:pStyle w:val="205"/>
              <w:numPr>
                <w:ilvl w:val="0"/>
                <w:numId w:val="65"/>
              </w:numPr>
              <w:tabs>
                <w:tab w:val="clear" w:pos="540"/>
                <w:tab w:val="clear" w:pos="360"/>
              </w:tabs>
              <w:spacing w:before="120" w:after="120"/>
              <w:ind w:left="360" w:hanging="360"/>
            </w:pPr>
            <w:bookmarkStart w:id="733" w:name="_Toc497228268"/>
            <w:bookmarkStart w:id="734" w:name="_Toc29906944"/>
            <w:r>
              <w:t>Termination</w:t>
            </w:r>
            <w:bookmarkEnd w:id="733"/>
            <w:bookmarkEnd w:id="734"/>
          </w:p>
        </w:tc>
        <w:tc>
          <w:tcPr>
            <w:tcW w:w="6748" w:type="dxa"/>
            <w:vMerge w:val="restart"/>
          </w:tcPr>
          <w:p w14:paraId="1D9CDDBB">
            <w:pPr>
              <w:numPr>
                <w:ilvl w:val="1"/>
                <w:numId w:val="65"/>
              </w:numPr>
              <w:suppressAutoHyphens/>
              <w:overflowPunct w:val="0"/>
              <w:autoSpaceDE w:val="0"/>
              <w:autoSpaceDN w:val="0"/>
              <w:adjustRightInd w:val="0"/>
              <w:spacing w:before="120" w:after="120"/>
              <w:ind w:right="36"/>
              <w:jc w:val="both"/>
              <w:textAlignment w:val="baseline"/>
            </w:pPr>
            <w:r>
              <w:t>The Employer or the Contractor may terminate the Contract if the other party causes a fundamental breach of the Contract.</w:t>
            </w:r>
          </w:p>
          <w:p w14:paraId="25F31A50">
            <w:pPr>
              <w:numPr>
                <w:ilvl w:val="1"/>
                <w:numId w:val="65"/>
              </w:numPr>
              <w:suppressAutoHyphens/>
              <w:overflowPunct w:val="0"/>
              <w:autoSpaceDE w:val="0"/>
              <w:autoSpaceDN w:val="0"/>
              <w:adjustRightInd w:val="0"/>
              <w:spacing w:before="120" w:after="120"/>
              <w:ind w:right="36"/>
              <w:jc w:val="both"/>
              <w:textAlignment w:val="baseline"/>
            </w:pPr>
            <w:r>
              <w:t>Fundamental breaches of Contract shall include, but shall not be limited to, the following:</w:t>
            </w:r>
          </w:p>
          <w:p w14:paraId="7A453E8F">
            <w:pPr>
              <w:numPr>
                <w:ilvl w:val="0"/>
                <w:numId w:val="83"/>
              </w:numPr>
              <w:suppressAutoHyphens/>
              <w:overflowPunct w:val="0"/>
              <w:autoSpaceDE w:val="0"/>
              <w:autoSpaceDN w:val="0"/>
              <w:adjustRightInd w:val="0"/>
              <w:spacing w:before="120" w:after="120"/>
              <w:ind w:left="1152" w:hanging="576"/>
              <w:jc w:val="both"/>
              <w:textAlignment w:val="baseline"/>
            </w:pPr>
            <w:r>
              <w:t>the Contractor stops work for 28 days when no stoppage of work is shown on the current Program and the stoppage has not been authorized by the Project Manager;</w:t>
            </w:r>
          </w:p>
          <w:p w14:paraId="4D7DE970">
            <w:pPr>
              <w:numPr>
                <w:ilvl w:val="0"/>
                <w:numId w:val="83"/>
              </w:numPr>
              <w:suppressAutoHyphens/>
              <w:overflowPunct w:val="0"/>
              <w:autoSpaceDE w:val="0"/>
              <w:autoSpaceDN w:val="0"/>
              <w:adjustRightInd w:val="0"/>
              <w:spacing w:before="120" w:after="120"/>
              <w:ind w:left="1152" w:hanging="576"/>
              <w:jc w:val="both"/>
              <w:textAlignment w:val="baseline"/>
            </w:pPr>
            <w:r>
              <w:t>the Project Manager instructs the Contractor to delay the progress of the Works, and the instruction is not withdrawn within 28 days;</w:t>
            </w:r>
          </w:p>
          <w:p w14:paraId="72714055">
            <w:pPr>
              <w:numPr>
                <w:ilvl w:val="0"/>
                <w:numId w:val="83"/>
              </w:numPr>
              <w:suppressAutoHyphens/>
              <w:overflowPunct w:val="0"/>
              <w:autoSpaceDE w:val="0"/>
              <w:autoSpaceDN w:val="0"/>
              <w:adjustRightInd w:val="0"/>
              <w:spacing w:before="120" w:after="120"/>
              <w:ind w:left="1152" w:hanging="576"/>
              <w:jc w:val="both"/>
              <w:textAlignment w:val="baseline"/>
            </w:pPr>
            <w:r>
              <w:t>the Employer or the Contractor is made bankrupt or goes into liquidation other than for a reconstruction or amalgamation;</w:t>
            </w:r>
          </w:p>
          <w:p w14:paraId="7DBDE420">
            <w:pPr>
              <w:numPr>
                <w:ilvl w:val="0"/>
                <w:numId w:val="83"/>
              </w:numPr>
              <w:suppressAutoHyphens/>
              <w:overflowPunct w:val="0"/>
              <w:autoSpaceDE w:val="0"/>
              <w:autoSpaceDN w:val="0"/>
              <w:adjustRightInd w:val="0"/>
              <w:spacing w:before="120" w:after="120"/>
              <w:ind w:left="1152" w:hanging="576"/>
              <w:jc w:val="both"/>
              <w:textAlignment w:val="baseline"/>
            </w:pPr>
            <w:r>
              <w:t>a payment certified by the Project Manager is not paid by the Employer to the Contractor within 84 days of the date of the Project Manager’s certificate;</w:t>
            </w:r>
          </w:p>
          <w:p w14:paraId="78E5AB83">
            <w:pPr>
              <w:numPr>
                <w:ilvl w:val="0"/>
                <w:numId w:val="83"/>
              </w:numPr>
              <w:suppressAutoHyphens/>
              <w:overflowPunct w:val="0"/>
              <w:autoSpaceDE w:val="0"/>
              <w:autoSpaceDN w:val="0"/>
              <w:adjustRightInd w:val="0"/>
              <w:spacing w:before="120" w:after="120"/>
              <w:ind w:left="1152" w:hanging="576"/>
              <w:jc w:val="both"/>
              <w:textAlignment w:val="baseline"/>
            </w:pPr>
            <w:r>
              <w:t>the Project Manager gives Notice that failure to correct a particular Defect is a fundamental breach of Contract and the Contractor fails to correct it within a reasonable period of time determined by the Project Manager;</w:t>
            </w:r>
          </w:p>
          <w:p w14:paraId="1DF1C597">
            <w:pPr>
              <w:numPr>
                <w:ilvl w:val="0"/>
                <w:numId w:val="83"/>
              </w:numPr>
              <w:suppressAutoHyphens/>
              <w:overflowPunct w:val="0"/>
              <w:autoSpaceDE w:val="0"/>
              <w:autoSpaceDN w:val="0"/>
              <w:adjustRightInd w:val="0"/>
              <w:spacing w:before="120" w:after="120"/>
              <w:ind w:left="1152" w:hanging="576"/>
              <w:jc w:val="both"/>
              <w:textAlignment w:val="baseline"/>
              <w:rPr>
                <w:spacing w:val="-4"/>
              </w:rPr>
            </w:pPr>
            <w:r>
              <w:rPr>
                <w:spacing w:val="-4"/>
              </w:rPr>
              <w:t xml:space="preserve">the Contractor does not maintain a Security, which is required; </w:t>
            </w:r>
          </w:p>
          <w:p w14:paraId="5F35F537">
            <w:pPr>
              <w:numPr>
                <w:ilvl w:val="0"/>
                <w:numId w:val="83"/>
              </w:numPr>
              <w:suppressAutoHyphens/>
              <w:overflowPunct w:val="0"/>
              <w:autoSpaceDE w:val="0"/>
              <w:autoSpaceDN w:val="0"/>
              <w:adjustRightInd w:val="0"/>
              <w:spacing w:before="120" w:after="120"/>
              <w:ind w:left="1152" w:hanging="576"/>
              <w:jc w:val="both"/>
              <w:textAlignment w:val="baseline"/>
            </w:pPr>
            <w:r>
              <w:t xml:space="preserve">the Contractor has delayed the completion of the Works by the number of days for which the maximum amount of liquidated damages can be paid, as </w:t>
            </w:r>
            <w:r>
              <w:rPr>
                <w:b/>
              </w:rPr>
              <w:t>defined in the PCC</w:t>
            </w:r>
            <w:r>
              <w:t>; or</w:t>
            </w:r>
          </w:p>
          <w:p w14:paraId="340D2422">
            <w:pPr>
              <w:numPr>
                <w:ilvl w:val="0"/>
                <w:numId w:val="83"/>
              </w:numPr>
              <w:suppressAutoHyphens/>
              <w:overflowPunct w:val="0"/>
              <w:autoSpaceDE w:val="0"/>
              <w:autoSpaceDN w:val="0"/>
              <w:adjustRightInd w:val="0"/>
              <w:spacing w:before="120" w:after="120"/>
              <w:ind w:left="1152" w:hanging="576"/>
              <w:jc w:val="both"/>
              <w:textAlignment w:val="baseline"/>
            </w:pPr>
            <w:r>
              <w:t>if the Contractor, in the judgment of the Employer has engaged in Fraud and Corruption, as defined in   paragraph 1.16 of Appendix A to the GCC, in competing for or in executing the Contract, then the Employer may, after giving fourteen (14) days written notice to the Contractor, terminate the Contract and expel him from the Site.</w:t>
            </w:r>
          </w:p>
          <w:p w14:paraId="77300E6E">
            <w:pPr>
              <w:numPr>
                <w:ilvl w:val="1"/>
                <w:numId w:val="65"/>
              </w:numPr>
              <w:suppressAutoHyphens/>
              <w:overflowPunct w:val="0"/>
              <w:autoSpaceDE w:val="0"/>
              <w:autoSpaceDN w:val="0"/>
              <w:adjustRightInd w:val="0"/>
              <w:spacing w:before="120" w:after="120"/>
              <w:ind w:right="36"/>
              <w:jc w:val="both"/>
              <w:textAlignment w:val="baseline"/>
            </w:pPr>
            <w:r>
              <w:t>Notwithstanding the above, the Employer may terminate the Contract for convenience.</w:t>
            </w:r>
          </w:p>
          <w:p w14:paraId="09A68940">
            <w:pPr>
              <w:numPr>
                <w:ilvl w:val="1"/>
                <w:numId w:val="65"/>
              </w:numPr>
              <w:suppressAutoHyphens/>
              <w:overflowPunct w:val="0"/>
              <w:autoSpaceDE w:val="0"/>
              <w:autoSpaceDN w:val="0"/>
              <w:adjustRightInd w:val="0"/>
              <w:spacing w:before="120" w:after="120"/>
              <w:ind w:right="36"/>
              <w:jc w:val="both"/>
              <w:textAlignment w:val="baseline"/>
            </w:pPr>
            <w:r>
              <w:t>If the Contract is terminated, the Contractor shall stop work immediately, make the Site safe and secure, and leave the Site as soon as reasonably possible.</w:t>
            </w:r>
          </w:p>
          <w:p w14:paraId="54EC1652">
            <w:pPr>
              <w:numPr>
                <w:ilvl w:val="1"/>
                <w:numId w:val="65"/>
              </w:numPr>
              <w:suppressAutoHyphens/>
              <w:overflowPunct w:val="0"/>
              <w:autoSpaceDE w:val="0"/>
              <w:autoSpaceDN w:val="0"/>
              <w:adjustRightInd w:val="0"/>
              <w:spacing w:before="120" w:after="120"/>
              <w:ind w:right="36"/>
              <w:jc w:val="both"/>
              <w:textAlignment w:val="baseline"/>
            </w:pPr>
            <w:r>
              <w:t>When either party to the Contract gives notice of a breach of Contract to the Project Manager for a cause other than those listed under GCC Sub-Clause 59.2 above, the Project Manager shall decide whether the breach is fundamental or not.</w:t>
            </w:r>
          </w:p>
        </w:tc>
      </w:tr>
      <w:tr w14:paraId="7AEB1263">
        <w:tblPrEx>
          <w:tblCellMar>
            <w:top w:w="0" w:type="dxa"/>
            <w:left w:w="108" w:type="dxa"/>
            <w:bottom w:w="0" w:type="dxa"/>
            <w:right w:w="108" w:type="dxa"/>
          </w:tblCellMar>
        </w:tblPrEx>
        <w:trPr>
          <w:gridAfter w:val="1"/>
          <w:wAfter w:w="140" w:type="dxa"/>
        </w:trPr>
        <w:tc>
          <w:tcPr>
            <w:tcW w:w="2261" w:type="dxa"/>
            <w:gridSpan w:val="2"/>
          </w:tcPr>
          <w:p w14:paraId="10C39E4B">
            <w:pPr>
              <w:pStyle w:val="205"/>
              <w:tabs>
                <w:tab w:val="clear" w:pos="360"/>
              </w:tabs>
              <w:spacing w:before="120" w:after="120"/>
            </w:pPr>
          </w:p>
        </w:tc>
        <w:tc>
          <w:tcPr>
            <w:tcW w:w="6748" w:type="dxa"/>
            <w:vMerge w:val="continue"/>
          </w:tcPr>
          <w:p w14:paraId="3B9C6C14">
            <w:pPr>
              <w:numPr>
                <w:ilvl w:val="1"/>
                <w:numId w:val="65"/>
              </w:numPr>
              <w:suppressAutoHyphens/>
              <w:overflowPunct w:val="0"/>
              <w:autoSpaceDE w:val="0"/>
              <w:autoSpaceDN w:val="0"/>
              <w:adjustRightInd w:val="0"/>
              <w:spacing w:before="120" w:after="120"/>
              <w:ind w:right="36"/>
              <w:jc w:val="both"/>
              <w:textAlignment w:val="baseline"/>
            </w:pPr>
          </w:p>
        </w:tc>
      </w:tr>
      <w:tr w14:paraId="2771658F">
        <w:tblPrEx>
          <w:tblCellMar>
            <w:top w:w="0" w:type="dxa"/>
            <w:left w:w="108" w:type="dxa"/>
            <w:bottom w:w="0" w:type="dxa"/>
            <w:right w:w="108" w:type="dxa"/>
          </w:tblCellMar>
        </w:tblPrEx>
        <w:trPr>
          <w:gridAfter w:val="1"/>
          <w:wAfter w:w="140" w:type="dxa"/>
        </w:trPr>
        <w:tc>
          <w:tcPr>
            <w:tcW w:w="2261" w:type="dxa"/>
            <w:gridSpan w:val="2"/>
            <w:tcBorders>
              <w:left w:val="nil"/>
              <w:bottom w:val="nil"/>
              <w:right w:val="nil"/>
            </w:tcBorders>
          </w:tcPr>
          <w:p w14:paraId="272D4B30">
            <w:pPr>
              <w:pStyle w:val="205"/>
              <w:numPr>
                <w:ilvl w:val="0"/>
                <w:numId w:val="65"/>
              </w:numPr>
              <w:tabs>
                <w:tab w:val="clear" w:pos="540"/>
                <w:tab w:val="clear" w:pos="360"/>
              </w:tabs>
              <w:spacing w:before="120" w:after="120"/>
              <w:ind w:left="360" w:hanging="360"/>
            </w:pPr>
            <w:bookmarkStart w:id="735" w:name="_Toc497228269"/>
            <w:bookmarkStart w:id="736" w:name="_Toc333923285"/>
            <w:bookmarkStart w:id="737" w:name="_Toc29906945"/>
            <w:r>
              <w:t>Payment upon Termination</w:t>
            </w:r>
            <w:bookmarkEnd w:id="735"/>
            <w:bookmarkEnd w:id="736"/>
            <w:bookmarkEnd w:id="737"/>
          </w:p>
        </w:tc>
        <w:tc>
          <w:tcPr>
            <w:tcW w:w="6748" w:type="dxa"/>
            <w:tcBorders>
              <w:left w:val="nil"/>
              <w:bottom w:val="nil"/>
              <w:right w:val="nil"/>
            </w:tcBorders>
          </w:tcPr>
          <w:p w14:paraId="0FAA4795">
            <w:pPr>
              <w:numPr>
                <w:ilvl w:val="1"/>
                <w:numId w:val="65"/>
              </w:numPr>
              <w:suppressAutoHyphens/>
              <w:overflowPunct w:val="0"/>
              <w:autoSpaceDE w:val="0"/>
              <w:autoSpaceDN w:val="0"/>
              <w:adjustRightInd w:val="0"/>
              <w:spacing w:before="120" w:after="120"/>
              <w:ind w:right="36"/>
              <w:jc w:val="both"/>
              <w:textAlignment w:val="baseline"/>
            </w:pPr>
            <w:r>
              <w:t xml:space="preserve">If the Contract is terminated because of a fundamental breach of Contract by the Contractor, the Project Manager shall issue a certificate for the value of the work done and Materials ordered less advance payments received up to the date of the issue of the certificate and less the percentage to apply to the value of the work not completed, as </w:t>
            </w:r>
            <w:r>
              <w:rPr>
                <w:b/>
              </w:rPr>
              <w:t>specified in the PCC.</w:t>
            </w:r>
            <w:r>
              <w:t xml:space="preserve"> Additional Liquidated Damages shall not apply.  If the total amount due to the Employer exceeds any payment due to the Contractor, the difference shall be a debt payable to the Employer.</w:t>
            </w:r>
          </w:p>
          <w:p w14:paraId="1288DC20">
            <w:pPr>
              <w:numPr>
                <w:ilvl w:val="1"/>
                <w:numId w:val="65"/>
              </w:numPr>
              <w:suppressAutoHyphens/>
              <w:overflowPunct w:val="0"/>
              <w:autoSpaceDE w:val="0"/>
              <w:autoSpaceDN w:val="0"/>
              <w:adjustRightInd w:val="0"/>
              <w:spacing w:before="120" w:after="120"/>
              <w:ind w:right="36"/>
              <w:jc w:val="both"/>
              <w:textAlignment w:val="baseline"/>
            </w:pPr>
            <w:r>
              <w:t>If the Contract is terminated for the Employer’s convenience or because of a fundamental breach of Contract by the Employer, the Project Manager shall issue a certificate for the value of the work done, Materials ordered, the reasonable cost of removal of Equipment, repatriation of the Contractor’s personnel employed solely on the Works, and the Contractor’s costs of protecting and securing the Works, and less advance payments received up to the date of the certificate.</w:t>
            </w:r>
          </w:p>
        </w:tc>
      </w:tr>
      <w:tr w14:paraId="416F741A">
        <w:tblPrEx>
          <w:tblCellMar>
            <w:top w:w="0" w:type="dxa"/>
            <w:left w:w="108" w:type="dxa"/>
            <w:bottom w:w="0" w:type="dxa"/>
            <w:right w:w="108" w:type="dxa"/>
          </w:tblCellMar>
        </w:tblPrEx>
        <w:trPr>
          <w:gridAfter w:val="1"/>
          <w:wAfter w:w="140" w:type="dxa"/>
        </w:trPr>
        <w:tc>
          <w:tcPr>
            <w:tcW w:w="2261" w:type="dxa"/>
            <w:gridSpan w:val="2"/>
            <w:tcBorders>
              <w:top w:val="nil"/>
              <w:left w:val="nil"/>
              <w:bottom w:val="nil"/>
              <w:right w:val="nil"/>
            </w:tcBorders>
          </w:tcPr>
          <w:p w14:paraId="4451DFB0">
            <w:pPr>
              <w:pStyle w:val="205"/>
              <w:numPr>
                <w:ilvl w:val="0"/>
                <w:numId w:val="65"/>
              </w:numPr>
              <w:tabs>
                <w:tab w:val="clear" w:pos="540"/>
                <w:tab w:val="clear" w:pos="360"/>
              </w:tabs>
              <w:spacing w:before="120" w:after="120"/>
              <w:ind w:left="360" w:hanging="360"/>
            </w:pPr>
            <w:bookmarkStart w:id="738" w:name="_Toc29906946"/>
            <w:bookmarkStart w:id="739" w:name="_Toc333923286"/>
            <w:bookmarkStart w:id="740" w:name="_Toc497228270"/>
            <w:r>
              <w:t>Property</w:t>
            </w:r>
            <w:bookmarkEnd w:id="738"/>
            <w:bookmarkEnd w:id="739"/>
            <w:bookmarkEnd w:id="740"/>
          </w:p>
        </w:tc>
        <w:tc>
          <w:tcPr>
            <w:tcW w:w="6748" w:type="dxa"/>
            <w:tcBorders>
              <w:top w:val="nil"/>
              <w:left w:val="nil"/>
              <w:bottom w:val="nil"/>
              <w:right w:val="nil"/>
            </w:tcBorders>
          </w:tcPr>
          <w:p w14:paraId="13FF3A62">
            <w:pPr>
              <w:numPr>
                <w:ilvl w:val="1"/>
                <w:numId w:val="65"/>
              </w:numPr>
              <w:suppressAutoHyphens/>
              <w:overflowPunct w:val="0"/>
              <w:autoSpaceDE w:val="0"/>
              <w:autoSpaceDN w:val="0"/>
              <w:adjustRightInd w:val="0"/>
              <w:spacing w:before="120" w:after="120"/>
              <w:ind w:right="36"/>
              <w:jc w:val="both"/>
              <w:textAlignment w:val="baseline"/>
            </w:pPr>
            <w:r>
              <w:t>All Materials on the Site, Plant, Equipment, Temporary Works, and Works shall be deemed to be the property of the Employer if the Contract is terminated because of the Contractor’s default.</w:t>
            </w:r>
          </w:p>
        </w:tc>
      </w:tr>
      <w:tr w14:paraId="756E125A">
        <w:tblPrEx>
          <w:tblCellMar>
            <w:top w:w="0" w:type="dxa"/>
            <w:left w:w="108" w:type="dxa"/>
            <w:bottom w:w="0" w:type="dxa"/>
            <w:right w:w="108" w:type="dxa"/>
          </w:tblCellMar>
        </w:tblPrEx>
        <w:trPr>
          <w:gridAfter w:val="1"/>
          <w:wAfter w:w="140" w:type="dxa"/>
        </w:trPr>
        <w:tc>
          <w:tcPr>
            <w:tcW w:w="2261" w:type="dxa"/>
            <w:gridSpan w:val="2"/>
            <w:tcBorders>
              <w:top w:val="nil"/>
              <w:left w:val="nil"/>
              <w:bottom w:val="nil"/>
              <w:right w:val="nil"/>
            </w:tcBorders>
          </w:tcPr>
          <w:p w14:paraId="6BC5F39E">
            <w:pPr>
              <w:pStyle w:val="205"/>
              <w:numPr>
                <w:ilvl w:val="0"/>
                <w:numId w:val="65"/>
              </w:numPr>
              <w:tabs>
                <w:tab w:val="clear" w:pos="540"/>
                <w:tab w:val="clear" w:pos="360"/>
              </w:tabs>
              <w:spacing w:before="120" w:after="120"/>
              <w:ind w:left="360" w:hanging="360"/>
            </w:pPr>
            <w:bookmarkStart w:id="741" w:name="_Toc29906947"/>
            <w:bookmarkStart w:id="742" w:name="_Toc497228271"/>
            <w:bookmarkStart w:id="743" w:name="_Toc333923287"/>
            <w:r>
              <w:t>Release from Performance</w:t>
            </w:r>
            <w:bookmarkEnd w:id="741"/>
            <w:bookmarkEnd w:id="742"/>
            <w:bookmarkEnd w:id="743"/>
          </w:p>
        </w:tc>
        <w:tc>
          <w:tcPr>
            <w:tcW w:w="6748" w:type="dxa"/>
            <w:tcBorders>
              <w:top w:val="nil"/>
              <w:left w:val="nil"/>
              <w:bottom w:val="nil"/>
              <w:right w:val="nil"/>
            </w:tcBorders>
          </w:tcPr>
          <w:p w14:paraId="241FDD00">
            <w:pPr>
              <w:numPr>
                <w:ilvl w:val="1"/>
                <w:numId w:val="65"/>
              </w:numPr>
              <w:suppressAutoHyphens/>
              <w:overflowPunct w:val="0"/>
              <w:autoSpaceDE w:val="0"/>
              <w:autoSpaceDN w:val="0"/>
              <w:adjustRightInd w:val="0"/>
              <w:spacing w:before="120" w:after="120"/>
              <w:ind w:right="36"/>
              <w:jc w:val="both"/>
              <w:textAlignment w:val="baseline"/>
            </w:pPr>
            <w:r>
              <w:t>If the Contract is frustrated by the outbreak of war or by any other event entirely outside the control of either the Employer or the Contractor, the Project Manager shall certify that the Contract has been frustrated. The Contractor shall make the Site safe and stop work as quickly as possible after receiving this certificate and shall be paid for all work carried out before receiving it and for any work carried out afterwards to which a commitment was made.</w:t>
            </w:r>
          </w:p>
        </w:tc>
      </w:tr>
      <w:tr w14:paraId="09C13B0A">
        <w:tblPrEx>
          <w:tblCellMar>
            <w:top w:w="0" w:type="dxa"/>
            <w:left w:w="108" w:type="dxa"/>
            <w:bottom w:w="0" w:type="dxa"/>
            <w:right w:w="108" w:type="dxa"/>
          </w:tblCellMar>
        </w:tblPrEx>
        <w:trPr>
          <w:gridAfter w:val="1"/>
          <w:wAfter w:w="140" w:type="dxa"/>
        </w:trPr>
        <w:tc>
          <w:tcPr>
            <w:tcW w:w="2261" w:type="dxa"/>
            <w:gridSpan w:val="2"/>
            <w:tcBorders>
              <w:top w:val="nil"/>
              <w:left w:val="nil"/>
              <w:bottom w:val="nil"/>
              <w:right w:val="nil"/>
            </w:tcBorders>
          </w:tcPr>
          <w:p w14:paraId="1AC3003B">
            <w:pPr>
              <w:pStyle w:val="205"/>
              <w:numPr>
                <w:ilvl w:val="0"/>
                <w:numId w:val="65"/>
              </w:numPr>
              <w:tabs>
                <w:tab w:val="clear" w:pos="540"/>
                <w:tab w:val="clear" w:pos="360"/>
              </w:tabs>
              <w:spacing w:before="120" w:after="120"/>
              <w:ind w:left="360" w:hanging="360"/>
            </w:pPr>
            <w:bookmarkStart w:id="744" w:name="_Toc497748342"/>
            <w:bookmarkStart w:id="745" w:name="_Toc497228272"/>
            <w:bookmarkStart w:id="746" w:name="_Toc333923288"/>
            <w:bookmarkStart w:id="747" w:name="_Toc29906948"/>
            <w:bookmarkStart w:id="748" w:name="_Toc25233413"/>
            <w:r>
              <w:t>Suspension of Bank Loan or Credit</w:t>
            </w:r>
            <w:bookmarkEnd w:id="744"/>
            <w:bookmarkEnd w:id="745"/>
            <w:bookmarkEnd w:id="746"/>
            <w:bookmarkEnd w:id="747"/>
            <w:bookmarkEnd w:id="748"/>
          </w:p>
        </w:tc>
        <w:tc>
          <w:tcPr>
            <w:tcW w:w="6748" w:type="dxa"/>
            <w:tcBorders>
              <w:top w:val="nil"/>
              <w:left w:val="nil"/>
              <w:bottom w:val="nil"/>
              <w:right w:val="nil"/>
            </w:tcBorders>
          </w:tcPr>
          <w:p w14:paraId="45ECA2E3">
            <w:pPr>
              <w:numPr>
                <w:ilvl w:val="1"/>
                <w:numId w:val="65"/>
              </w:numPr>
              <w:suppressAutoHyphens/>
              <w:overflowPunct w:val="0"/>
              <w:autoSpaceDE w:val="0"/>
              <w:autoSpaceDN w:val="0"/>
              <w:adjustRightInd w:val="0"/>
              <w:spacing w:before="120" w:after="120"/>
              <w:ind w:right="36"/>
              <w:jc w:val="both"/>
              <w:textAlignment w:val="baseline"/>
            </w:pPr>
            <w:r>
              <w:t>In the event that the Bank suspends the Loan or Credit to the Employer, from which part of the payments to the Contractor are being made:</w:t>
            </w:r>
          </w:p>
          <w:p w14:paraId="2231B4EF">
            <w:pPr>
              <w:numPr>
                <w:ilvl w:val="0"/>
                <w:numId w:val="84"/>
              </w:numPr>
              <w:suppressAutoHyphens/>
              <w:overflowPunct w:val="0"/>
              <w:autoSpaceDE w:val="0"/>
              <w:autoSpaceDN w:val="0"/>
              <w:adjustRightInd w:val="0"/>
              <w:spacing w:before="120" w:after="120"/>
              <w:ind w:left="1152" w:hanging="576"/>
              <w:jc w:val="both"/>
              <w:textAlignment w:val="baseline"/>
            </w:pPr>
            <w:r>
              <w:t>The Employer is obligated to notify the Contractor of such suspension within 7 days of having received the Bank’s suspension notice.</w:t>
            </w:r>
          </w:p>
          <w:p w14:paraId="67F6FFD3">
            <w:pPr>
              <w:numPr>
                <w:ilvl w:val="0"/>
                <w:numId w:val="84"/>
              </w:numPr>
              <w:suppressAutoHyphens/>
              <w:overflowPunct w:val="0"/>
              <w:autoSpaceDE w:val="0"/>
              <w:autoSpaceDN w:val="0"/>
              <w:adjustRightInd w:val="0"/>
              <w:spacing w:before="120" w:after="120"/>
              <w:ind w:left="1152" w:hanging="576"/>
              <w:jc w:val="both"/>
              <w:textAlignment w:val="baseline"/>
            </w:pPr>
            <w:r>
              <w:t>If the Contractor has not received sums due to it within the 28 days for payment provided for in GCC Sub-Clause 43.1, the Contractor may immediately issue a 14-day termination notice</w:t>
            </w:r>
          </w:p>
        </w:tc>
      </w:tr>
    </w:tbl>
    <w:p w14:paraId="5502AC00">
      <w:pPr>
        <w:pStyle w:val="179"/>
        <w:spacing w:after="160"/>
        <w:ind w:left="1152" w:hanging="576"/>
        <w:jc w:val="both"/>
      </w:pPr>
    </w:p>
    <w:p w14:paraId="628D4CC5"/>
    <w:p w14:paraId="61C71A6D"/>
    <w:p w14:paraId="2E4DA0EA">
      <w:pPr>
        <w:pStyle w:val="179"/>
        <w:spacing w:after="160"/>
        <w:ind w:left="1152" w:hanging="576"/>
        <w:jc w:val="both"/>
        <w:rPr>
          <w:b/>
          <w:sz w:val="36"/>
          <w:szCs w:val="36"/>
        </w:rPr>
      </w:pPr>
      <w:r>
        <w:br w:type="page"/>
      </w:r>
      <w:r>
        <w:rPr>
          <w:b/>
          <w:sz w:val="36"/>
          <w:szCs w:val="36"/>
        </w:rPr>
        <w:t xml:space="preserve"> APPENDIX A</w:t>
      </w:r>
    </w:p>
    <w:p w14:paraId="7322F843">
      <w:pPr>
        <w:jc w:val="center"/>
        <w:rPr>
          <w:b/>
          <w:sz w:val="36"/>
          <w:szCs w:val="36"/>
        </w:rPr>
      </w:pPr>
    </w:p>
    <w:p w14:paraId="1F9B1894">
      <w:pPr>
        <w:jc w:val="center"/>
        <w:rPr>
          <w:b/>
          <w:sz w:val="36"/>
          <w:szCs w:val="36"/>
        </w:rPr>
      </w:pPr>
      <w:r>
        <w:rPr>
          <w:b/>
          <w:sz w:val="36"/>
          <w:szCs w:val="36"/>
        </w:rPr>
        <w:t>TO GENERAL CONDITIONS</w:t>
      </w:r>
    </w:p>
    <w:p w14:paraId="1C0AB185">
      <w:pPr>
        <w:jc w:val="center"/>
        <w:rPr>
          <w:b/>
          <w:sz w:val="36"/>
          <w:szCs w:val="36"/>
        </w:rPr>
      </w:pPr>
      <w:r>
        <w:rPr>
          <w:b/>
          <w:sz w:val="36"/>
          <w:szCs w:val="36"/>
        </w:rPr>
        <w:t>Bank’s Policy- Corrupt and Fraudulent Practices</w:t>
      </w:r>
    </w:p>
    <w:p w14:paraId="6149074B">
      <w:pPr>
        <w:rPr>
          <w:b/>
        </w:rPr>
      </w:pPr>
    </w:p>
    <w:p w14:paraId="49A9A921">
      <w:r>
        <w:rPr>
          <w:b/>
          <w:i/>
        </w:rPr>
        <w:t>(text in this Appendix shall not be modified)</w:t>
      </w:r>
    </w:p>
    <w:p w14:paraId="0CCA2B83">
      <w:pPr>
        <w:rPr>
          <w:b/>
        </w:rPr>
      </w:pPr>
    </w:p>
    <w:p w14:paraId="42F3EFDF">
      <w:pPr>
        <w:rPr>
          <w:b/>
        </w:rPr>
      </w:pPr>
    </w:p>
    <w:p w14:paraId="23460918">
      <w:pPr>
        <w:adjustRightInd w:val="0"/>
        <w:spacing w:after="120"/>
        <w:rPr>
          <w:b/>
        </w:rPr>
      </w:pPr>
      <w:r>
        <w:rPr>
          <w:b/>
        </w:rPr>
        <w:t>Guidelines for Procurement of Goods, Works, and Non-Consulting Services under IBRD Loans and IDA Credits &amp; Grants by World Bank Borrowers, dated January 2011:</w:t>
      </w:r>
    </w:p>
    <w:p w14:paraId="50D79158">
      <w:pPr>
        <w:adjustRightInd w:val="0"/>
        <w:spacing w:after="120"/>
        <w:ind w:left="540" w:hanging="540"/>
      </w:pPr>
      <w:r>
        <w:t>“</w:t>
      </w:r>
      <w:r>
        <w:rPr>
          <w:b/>
        </w:rPr>
        <w:t>Fraud and Corruption:</w:t>
      </w:r>
    </w:p>
    <w:p w14:paraId="78EFBC93">
      <w:pPr>
        <w:pStyle w:val="179"/>
        <w:spacing w:after="160"/>
        <w:ind w:left="576" w:hanging="576"/>
        <w:jc w:val="both"/>
        <w:rPr>
          <w:sz w:val="23"/>
          <w:szCs w:val="23"/>
        </w:rPr>
      </w:pPr>
      <w:r>
        <w:rPr>
          <w:sz w:val="23"/>
          <w:szCs w:val="23"/>
        </w:rPr>
        <w:t>1.16</w:t>
      </w:r>
      <w:r>
        <w:rPr>
          <w:sz w:val="23"/>
          <w:szCs w:val="23"/>
        </w:rPr>
        <w:tab/>
      </w:r>
      <w:r>
        <w:rPr>
          <w:sz w:val="23"/>
          <w:szCs w:val="23"/>
        </w:rPr>
        <w:t>It is the Bank’s policy to require that Borrowers (including beneficiaries of Bank loans), bidders, suppliers, contractors and their agents (whether declared or not), sub-contractors, sub-consultants, service providers or suppliers, and any personnel thereof, observe the highest standard of ethics during the procurement and execution of Bank-financed contracts.</w:t>
      </w:r>
      <w:r>
        <w:rPr>
          <w:rStyle w:val="28"/>
          <w:sz w:val="23"/>
          <w:szCs w:val="23"/>
        </w:rPr>
        <w:footnoteReference w:id="34"/>
      </w:r>
      <w:r>
        <w:rPr>
          <w:sz w:val="23"/>
          <w:szCs w:val="23"/>
        </w:rPr>
        <w:t xml:space="preserve"> In pursuance of this policy, the Bank: </w:t>
      </w:r>
    </w:p>
    <w:p w14:paraId="20224AEA">
      <w:pPr>
        <w:pStyle w:val="179"/>
        <w:spacing w:after="160"/>
        <w:ind w:left="1152" w:hanging="576"/>
        <w:jc w:val="both"/>
        <w:rPr>
          <w:sz w:val="23"/>
          <w:szCs w:val="23"/>
        </w:rPr>
      </w:pPr>
      <w:r>
        <w:rPr>
          <w:sz w:val="23"/>
          <w:szCs w:val="23"/>
        </w:rPr>
        <w:t>(a)</w:t>
      </w:r>
      <w:r>
        <w:rPr>
          <w:sz w:val="23"/>
          <w:szCs w:val="23"/>
        </w:rPr>
        <w:tab/>
      </w:r>
      <w:r>
        <w:rPr>
          <w:sz w:val="23"/>
          <w:szCs w:val="23"/>
        </w:rPr>
        <w:t xml:space="preserve">defines, for the purposes of this provision, the terms set forth below as follows: </w:t>
      </w:r>
    </w:p>
    <w:p w14:paraId="5EA0C20E">
      <w:pPr>
        <w:adjustRightInd w:val="0"/>
        <w:spacing w:after="160"/>
        <w:ind w:left="1728" w:hanging="576"/>
        <w:jc w:val="both"/>
      </w:pPr>
      <w:r>
        <w:t xml:space="preserve">(i) </w:t>
      </w:r>
      <w:r>
        <w:rPr>
          <w:sz w:val="23"/>
          <w:szCs w:val="23"/>
        </w:rPr>
        <w:t>“corrupt practice” is the offering, giving, receiving, or soliciting, directly or indirectly, of anything of value to influence improperly the actions of another party;</w:t>
      </w:r>
      <w:r>
        <w:rPr>
          <w:rStyle w:val="28"/>
        </w:rPr>
        <w:footnoteReference w:id="35"/>
      </w:r>
      <w:r>
        <w:t>;</w:t>
      </w:r>
    </w:p>
    <w:p w14:paraId="58418520">
      <w:pPr>
        <w:adjustRightInd w:val="0"/>
        <w:spacing w:after="160"/>
        <w:ind w:left="1728" w:hanging="576"/>
        <w:jc w:val="both"/>
      </w:pPr>
      <w:r>
        <w:t xml:space="preserve">(ii) </w:t>
      </w:r>
      <w:r>
        <w:tab/>
      </w:r>
      <w:r>
        <w:rPr>
          <w:sz w:val="23"/>
          <w:szCs w:val="23"/>
        </w:rPr>
        <w:t>“fraudulent practice” is any act or omission, including a misrepresentation, that knowingly or recklessly misleads, or attempts to mislead, a party to obtain a financial or other benefit or to avoid an obligation;</w:t>
      </w:r>
      <w:r>
        <w:rPr>
          <w:rStyle w:val="28"/>
        </w:rPr>
        <w:footnoteReference w:id="36"/>
      </w:r>
    </w:p>
    <w:p w14:paraId="649D07FF">
      <w:pPr>
        <w:adjustRightInd w:val="0"/>
        <w:spacing w:after="160"/>
        <w:ind w:left="1728" w:hanging="576"/>
        <w:jc w:val="both"/>
      </w:pPr>
      <w:r>
        <w:t>(iii)</w:t>
      </w:r>
      <w:r>
        <w:tab/>
      </w:r>
      <w:r>
        <w:rPr>
          <w:sz w:val="23"/>
          <w:szCs w:val="23"/>
        </w:rPr>
        <w:t>“collusive practice” is an arrangement between two or more parties designed to achieve an improper purpose, including to influence improperly the actions of another party;</w:t>
      </w:r>
      <w:r>
        <w:rPr>
          <w:rStyle w:val="28"/>
          <w:sz w:val="23"/>
          <w:szCs w:val="23"/>
        </w:rPr>
        <w:footnoteReference w:id="37"/>
      </w:r>
    </w:p>
    <w:p w14:paraId="7748A6A3">
      <w:pPr>
        <w:adjustRightInd w:val="0"/>
        <w:spacing w:after="160"/>
        <w:ind w:left="1728" w:hanging="576"/>
        <w:jc w:val="both"/>
      </w:pPr>
      <w:r>
        <w:t>(iv)</w:t>
      </w:r>
      <w:r>
        <w:tab/>
      </w:r>
      <w:r>
        <w:t>“</w:t>
      </w:r>
      <w:r>
        <w:rPr>
          <w:sz w:val="23"/>
          <w:szCs w:val="23"/>
        </w:rPr>
        <w:t>coercive</w:t>
      </w:r>
      <w:r>
        <w:t xml:space="preserve"> practice” is impairing or harming, or threatening to impair or harm, directly or indirectly, any party or the property of the party to influence improperly the actions of a party;</w:t>
      </w:r>
      <w:r>
        <w:rPr>
          <w:rStyle w:val="28"/>
        </w:rPr>
        <w:footnoteReference w:id="38"/>
      </w:r>
    </w:p>
    <w:p w14:paraId="392DB5B9">
      <w:pPr>
        <w:adjustRightInd w:val="0"/>
        <w:spacing w:after="160"/>
        <w:ind w:left="1728" w:hanging="576"/>
        <w:jc w:val="both"/>
        <w:rPr>
          <w:color w:val="000000"/>
        </w:rPr>
      </w:pPr>
      <w:r>
        <w:rPr>
          <w:bCs/>
          <w:color w:val="000000"/>
        </w:rPr>
        <w:t>(v)</w:t>
      </w:r>
      <w:r>
        <w:rPr>
          <w:bCs/>
          <w:color w:val="000000"/>
        </w:rPr>
        <w:tab/>
      </w:r>
      <w:r>
        <w:rPr>
          <w:bCs/>
          <w:color w:val="000000"/>
        </w:rPr>
        <w:t>“</w:t>
      </w:r>
      <w:r>
        <w:rPr>
          <w:sz w:val="23"/>
          <w:szCs w:val="23"/>
        </w:rPr>
        <w:t>obstructive</w:t>
      </w:r>
      <w:r>
        <w:rPr>
          <w:bCs/>
          <w:color w:val="000000"/>
        </w:rPr>
        <w:t xml:space="preserve"> practice” </w:t>
      </w:r>
      <w:r>
        <w:rPr>
          <w:color w:val="000000"/>
        </w:rPr>
        <w:t>is</w:t>
      </w:r>
    </w:p>
    <w:p w14:paraId="29A15373">
      <w:pPr>
        <w:adjustRightInd w:val="0"/>
        <w:spacing w:after="160"/>
        <w:ind w:left="2304" w:hanging="576"/>
        <w:jc w:val="both"/>
      </w:pPr>
      <w:r>
        <w:rPr>
          <w:bCs/>
          <w:color w:val="000000"/>
        </w:rPr>
        <w:t>(aa)</w:t>
      </w:r>
      <w:r>
        <w:tab/>
      </w:r>
      <w:r>
        <w:rPr>
          <w:color w:val="000000"/>
        </w:rPr>
        <w:t>deliberately destroying, falsifying, altering, or concealing of evidence material to the investigation or making false statements to investigators in order to materially impede a Bank investigation into allegations of a corrupt, fraudulent, coercive or collusive practice; and/or threatening, harassing or intimidating any party to prevent it from disclosing its knowledge of matters relevant to the investigation or from pursuing the investigation, or</w:t>
      </w:r>
    </w:p>
    <w:p w14:paraId="2D0B2311">
      <w:pPr>
        <w:adjustRightInd w:val="0"/>
        <w:spacing w:after="160"/>
        <w:ind w:left="2304" w:hanging="576"/>
        <w:jc w:val="both"/>
      </w:pPr>
      <w:r>
        <w:rPr>
          <w:bCs/>
          <w:color w:val="000000"/>
        </w:rPr>
        <w:t>(bb)</w:t>
      </w:r>
      <w:r>
        <w:rPr>
          <w:bCs/>
          <w:color w:val="000000"/>
        </w:rPr>
        <w:tab/>
      </w:r>
      <w:r>
        <w:rPr>
          <w:bCs/>
          <w:color w:val="000000"/>
        </w:rPr>
        <w:t>acts intended to materially impede the exercise of the Bank’s inspection and audit rights provided for under paragraph 1.16(e) below.</w:t>
      </w:r>
    </w:p>
    <w:p w14:paraId="1F4D172C">
      <w:pPr>
        <w:autoSpaceDE w:val="0"/>
        <w:autoSpaceDN w:val="0"/>
        <w:adjustRightInd w:val="0"/>
        <w:spacing w:after="160"/>
        <w:ind w:left="1152" w:hanging="576"/>
        <w:jc w:val="both"/>
      </w:pPr>
      <w:r>
        <w:t>(b)</w:t>
      </w:r>
      <w:r>
        <w:tab/>
      </w:r>
      <w:r>
        <w:t>will reject a proposal for award if it determines that the bidder recommended for award, or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6B7EBE36">
      <w:pPr>
        <w:autoSpaceDE w:val="0"/>
        <w:autoSpaceDN w:val="0"/>
        <w:adjustRightInd w:val="0"/>
        <w:spacing w:after="160"/>
        <w:ind w:left="1152" w:hanging="576"/>
        <w:jc w:val="both"/>
      </w:pPr>
      <w:r>
        <w:t>(c)</w:t>
      </w:r>
      <w:r>
        <w:tab/>
      </w:r>
      <w:r>
        <w:t>will declare misprocurement and cancel the portion of the loan allocated to a contract if it determines at any time that representatives of the Borrower or of a recipient of any part of the proceeds of the loan engaged in corrupt, fraudulent, collusive, coercive, or obstructive practices during the procurement or the implementation of the contract in question, without the Borrower having taken timely and appropriate action satisfactory to the Bank to address such practices when they occur, including by failing to inform the Bank in a timely manner at the time they knew of the practices;</w:t>
      </w:r>
    </w:p>
    <w:p w14:paraId="7854058A">
      <w:pPr>
        <w:autoSpaceDE w:val="0"/>
        <w:autoSpaceDN w:val="0"/>
        <w:adjustRightInd w:val="0"/>
        <w:spacing w:after="160"/>
        <w:ind w:left="1152" w:hanging="576"/>
        <w:jc w:val="both"/>
      </w:pPr>
      <w:r>
        <w:t>(d)</w:t>
      </w:r>
      <w:r>
        <w:tab/>
      </w:r>
      <w:r>
        <w:t>will sanction a firm or individual, at any time, in accordance with the prevailing Bank’s sanctions procedures,</w:t>
      </w:r>
      <w:r>
        <w:rPr>
          <w:rStyle w:val="28"/>
        </w:rPr>
        <w:footnoteReference w:id="39"/>
      </w:r>
      <w:r>
        <w:t xml:space="preserve"> including by publicly declaring such firm or individual ineligible, either indefinitely or for a stated period of time: (i) to be awarded a Bank-financed contract; and (ii) to be a nominated</w:t>
      </w:r>
      <w:r>
        <w:rPr>
          <w:rStyle w:val="28"/>
        </w:rPr>
        <w:footnoteReference w:id="40"/>
      </w:r>
      <w:r>
        <w:t xml:space="preserve"> sub-contractor, consultant, supplier, or service provider of an otherwise eligible firm being awarded a Bank-financed contract;</w:t>
      </w:r>
    </w:p>
    <w:p w14:paraId="4A657CF0">
      <w:pPr>
        <w:autoSpaceDE w:val="0"/>
        <w:autoSpaceDN w:val="0"/>
        <w:adjustRightInd w:val="0"/>
        <w:spacing w:after="160"/>
        <w:ind w:left="1152" w:hanging="576"/>
        <w:jc w:val="both"/>
      </w:pPr>
      <w:r>
        <w:t>(e)</w:t>
      </w:r>
      <w:r>
        <w:tab/>
      </w:r>
      <w:r>
        <w:t>will require that a clause be included in bidding documents and in contracts financed by a Bank loan, requiring bidders, suppliers and contractors, and their sub-contractors, agents, personnel, consultants, service providers, or suppliers, to permit the Bank to inspect all accounts, records, and other documents relating to the submission of bids and contract performance, and to have them audited by auditors appointed by the Bank.”</w:t>
      </w:r>
    </w:p>
    <w:p w14:paraId="3276DC21">
      <w:pPr>
        <w:autoSpaceDE w:val="0"/>
        <w:autoSpaceDN w:val="0"/>
        <w:adjustRightInd w:val="0"/>
        <w:spacing w:after="160"/>
        <w:ind w:left="1152" w:hanging="576"/>
        <w:jc w:val="both"/>
      </w:pPr>
    </w:p>
    <w:p w14:paraId="14E7A8C5">
      <w:pPr>
        <w:autoSpaceDE w:val="0"/>
        <w:autoSpaceDN w:val="0"/>
        <w:adjustRightInd w:val="0"/>
        <w:spacing w:after="160"/>
        <w:ind w:left="1152" w:hanging="576"/>
        <w:jc w:val="both"/>
      </w:pPr>
      <w:r>
        <w:br w:type="page"/>
      </w:r>
    </w:p>
    <w:p w14:paraId="16424BAF">
      <w:pPr>
        <w:jc w:val="center"/>
        <w:rPr>
          <w:b/>
          <w:sz w:val="36"/>
          <w:szCs w:val="36"/>
        </w:rPr>
      </w:pPr>
      <w:r>
        <w:rPr>
          <w:b/>
          <w:sz w:val="36"/>
          <w:szCs w:val="36"/>
        </w:rPr>
        <w:t>APPENDIX B</w:t>
      </w:r>
    </w:p>
    <w:p w14:paraId="085E424F">
      <w:pPr>
        <w:jc w:val="center"/>
        <w:rPr>
          <w:b/>
          <w:sz w:val="36"/>
          <w:szCs w:val="36"/>
        </w:rPr>
      </w:pPr>
    </w:p>
    <w:p w14:paraId="232279FD">
      <w:pPr>
        <w:spacing w:before="240" w:after="240"/>
        <w:jc w:val="center"/>
        <w:rPr>
          <w:b/>
          <w:sz w:val="36"/>
          <w:szCs w:val="36"/>
        </w:rPr>
      </w:pPr>
      <w:r>
        <w:rPr>
          <w:b/>
          <w:sz w:val="36"/>
          <w:szCs w:val="36"/>
        </w:rPr>
        <w:t xml:space="preserve">Environmental and Social (ES) </w:t>
      </w:r>
    </w:p>
    <w:p w14:paraId="7CAE959B">
      <w:pPr>
        <w:spacing w:before="240" w:after="240"/>
        <w:jc w:val="center"/>
        <w:rPr>
          <w:b/>
          <w:sz w:val="36"/>
          <w:szCs w:val="36"/>
        </w:rPr>
      </w:pPr>
      <w:r>
        <w:rPr>
          <w:b/>
          <w:sz w:val="36"/>
          <w:szCs w:val="36"/>
        </w:rPr>
        <w:t>Metrics for Progress Reports</w:t>
      </w:r>
    </w:p>
    <w:p w14:paraId="50AE4C13">
      <w:pPr>
        <w:spacing w:before="240" w:after="240"/>
        <w:rPr>
          <w:b/>
          <w:i/>
        </w:rPr>
      </w:pPr>
      <w:r>
        <w:rPr>
          <w:b/>
          <w:i/>
        </w:rPr>
        <w:t>[</w:t>
      </w:r>
      <w:r>
        <w:rPr>
          <w:rFonts w:eastAsia="Arial Narrow"/>
          <w:b/>
          <w:i/>
          <w:color w:val="000000"/>
          <w:lang w:val="en-GB"/>
        </w:rPr>
        <w:t>Note to Employer: the following metrics may be amended to reflect the specifics of the Contract. The Employer shall ensure that the metrics provided are appropriate for the Works and impacts/key issues identified in the environmental and social assessment</w:t>
      </w:r>
      <w:r>
        <w:rPr>
          <w:b/>
          <w:i/>
        </w:rPr>
        <w:t>]</w:t>
      </w:r>
    </w:p>
    <w:p w14:paraId="49A95CFA">
      <w:pPr>
        <w:pStyle w:val="195"/>
        <w:numPr>
          <w:ilvl w:val="0"/>
          <w:numId w:val="0"/>
        </w:numPr>
        <w:ind w:left="360" w:hanging="360"/>
        <w:rPr>
          <w:rFonts w:ascii="Times New Roman" w:hAnsi="Times New Roman"/>
          <w:i/>
          <w:szCs w:val="24"/>
        </w:rPr>
      </w:pPr>
      <w:r>
        <w:rPr>
          <w:rFonts w:ascii="Times New Roman" w:hAnsi="Times New Roman"/>
          <w:i/>
          <w:szCs w:val="24"/>
        </w:rPr>
        <w:t>Metrics for regular reporting:</w:t>
      </w:r>
    </w:p>
    <w:p w14:paraId="0160C821">
      <w:pPr>
        <w:pStyle w:val="197"/>
        <w:numPr>
          <w:ilvl w:val="0"/>
          <w:numId w:val="85"/>
        </w:numPr>
        <w:rPr>
          <w:rFonts w:ascii="Times New Roman" w:hAnsi="Times New Roman"/>
          <w:i/>
          <w:szCs w:val="24"/>
        </w:rPr>
      </w:pPr>
      <w:r>
        <w:rPr>
          <w:rFonts w:ascii="Times New Roman" w:hAnsi="Times New Roman"/>
          <w:i/>
          <w:szCs w:val="24"/>
        </w:rPr>
        <w:t>environmental incidents or non-compliances with contract requirements, including contamination, pollution or damage to ground or water supplies;</w:t>
      </w:r>
    </w:p>
    <w:p w14:paraId="78EA3D47">
      <w:pPr>
        <w:pStyle w:val="197"/>
        <w:tabs>
          <w:tab w:val="clear" w:pos="360"/>
        </w:tabs>
        <w:ind w:hanging="360"/>
        <w:rPr>
          <w:rFonts w:ascii="Times New Roman" w:hAnsi="Times New Roman"/>
          <w:i/>
          <w:szCs w:val="24"/>
        </w:rPr>
      </w:pPr>
      <w:r>
        <w:rPr>
          <w:rFonts w:ascii="Times New Roman" w:hAnsi="Times New Roman"/>
          <w:i/>
          <w:szCs w:val="24"/>
        </w:rPr>
        <w:t xml:space="preserve">health and safety incidents, accidents, injuries that require treatment and all fatalities; </w:t>
      </w:r>
    </w:p>
    <w:p w14:paraId="4D3DBBD6">
      <w:pPr>
        <w:pStyle w:val="197"/>
        <w:tabs>
          <w:tab w:val="clear" w:pos="360"/>
        </w:tabs>
        <w:ind w:hanging="360"/>
        <w:rPr>
          <w:rFonts w:ascii="Times New Roman" w:hAnsi="Times New Roman"/>
          <w:i/>
          <w:szCs w:val="24"/>
        </w:rPr>
      </w:pPr>
      <w:r>
        <w:rPr>
          <w:rFonts w:ascii="Times New Roman" w:hAnsi="Times New Roman"/>
          <w:i/>
          <w:szCs w:val="24"/>
        </w:rPr>
        <w:t>interactions with regulators:  identify agency, dates, subjects, outcomes (report the negative if none);</w:t>
      </w:r>
    </w:p>
    <w:p w14:paraId="545BED76">
      <w:pPr>
        <w:pStyle w:val="197"/>
        <w:tabs>
          <w:tab w:val="clear" w:pos="360"/>
        </w:tabs>
        <w:ind w:hanging="360"/>
        <w:rPr>
          <w:rFonts w:ascii="Times New Roman" w:hAnsi="Times New Roman"/>
          <w:i/>
          <w:szCs w:val="24"/>
        </w:rPr>
      </w:pPr>
      <w:r>
        <w:rPr>
          <w:rFonts w:ascii="Times New Roman" w:hAnsi="Times New Roman"/>
          <w:i/>
          <w:szCs w:val="24"/>
        </w:rPr>
        <w:t xml:space="preserve">status of all permits and agreements: </w:t>
      </w:r>
    </w:p>
    <w:p w14:paraId="65B1B735">
      <w:pPr>
        <w:pStyle w:val="196"/>
        <w:numPr>
          <w:ilvl w:val="0"/>
          <w:numId w:val="86"/>
        </w:numPr>
        <w:rPr>
          <w:rFonts w:ascii="Times New Roman" w:hAnsi="Times New Roman"/>
        </w:rPr>
      </w:pPr>
      <w:r>
        <w:rPr>
          <w:rFonts w:ascii="Times New Roman" w:hAnsi="Times New Roman"/>
        </w:rPr>
        <w:t>work permits: number required, number received, actions taken for those not received;</w:t>
      </w:r>
    </w:p>
    <w:p w14:paraId="6DCE694F">
      <w:pPr>
        <w:pStyle w:val="196"/>
        <w:numPr>
          <w:ilvl w:val="0"/>
          <w:numId w:val="86"/>
        </w:numPr>
        <w:rPr>
          <w:rFonts w:ascii="Times New Roman" w:hAnsi="Times New Roman"/>
        </w:rPr>
      </w:pPr>
      <w:r>
        <w:rPr>
          <w:rFonts w:ascii="Times New Roman" w:hAnsi="Times New Roman"/>
        </w:rPr>
        <w:t xml:space="preserve">status of permits and consents: </w:t>
      </w:r>
    </w:p>
    <w:p w14:paraId="22AADB9C">
      <w:pPr>
        <w:pStyle w:val="198"/>
        <w:tabs>
          <w:tab w:val="clear" w:pos="360"/>
        </w:tabs>
        <w:ind w:hanging="360"/>
        <w:rPr>
          <w:rFonts w:ascii="Times New Roman" w:hAnsi="Times New Roman"/>
          <w:i/>
          <w:szCs w:val="24"/>
        </w:rPr>
      </w:pPr>
      <w:r>
        <w:rPr>
          <w:rFonts w:ascii="Times New Roman" w:hAnsi="Times New Roman"/>
          <w:i/>
          <w:szCs w:val="24"/>
        </w:rPr>
        <w:t>list areas/facilities with permits required (quarries, asphalt &amp; batch plants), dates of application, dates issued (actions to follow up if not issued), dates submitted to resident engineer (or equivalent), status of area (waiting for permits, working, abandoned without reclamation, decommissioning plan being implemented, etc.);</w:t>
      </w:r>
    </w:p>
    <w:p w14:paraId="0FB7B655">
      <w:pPr>
        <w:pStyle w:val="198"/>
        <w:tabs>
          <w:tab w:val="clear" w:pos="360"/>
        </w:tabs>
        <w:ind w:hanging="360"/>
        <w:rPr>
          <w:rFonts w:ascii="Times New Roman" w:hAnsi="Times New Roman"/>
          <w:i/>
          <w:szCs w:val="24"/>
        </w:rPr>
      </w:pPr>
      <w:r>
        <w:rPr>
          <w:rFonts w:ascii="Times New Roman" w:hAnsi="Times New Roman"/>
          <w:i/>
          <w:szCs w:val="24"/>
        </w:rPr>
        <w:t>list areas with landowner agreements required (borrow and spoil areas, camp sites), dates of agreements, dates submitted to resident engineer (or equivalent);</w:t>
      </w:r>
    </w:p>
    <w:p w14:paraId="15DA995F">
      <w:pPr>
        <w:pStyle w:val="198"/>
        <w:tabs>
          <w:tab w:val="clear" w:pos="360"/>
        </w:tabs>
        <w:spacing w:after="120"/>
        <w:ind w:hanging="360"/>
        <w:rPr>
          <w:rFonts w:ascii="Times New Roman" w:hAnsi="Times New Roman"/>
          <w:i/>
          <w:szCs w:val="24"/>
        </w:rPr>
      </w:pPr>
      <w:r>
        <w:rPr>
          <w:rFonts w:ascii="Times New Roman" w:hAnsi="Times New Roman"/>
          <w:i/>
          <w:szCs w:val="24"/>
        </w:rPr>
        <w:t>identify major activities undertaken in each area in the reporting period and highlights of environmental and social protection (land clearing, boundary marking, topsoil salvage, traffic management, decommissioning planning, decommissioning implementation);</w:t>
      </w:r>
    </w:p>
    <w:p w14:paraId="7E3A97B7">
      <w:pPr>
        <w:pStyle w:val="198"/>
        <w:tabs>
          <w:tab w:val="clear" w:pos="360"/>
        </w:tabs>
        <w:spacing w:after="120"/>
        <w:ind w:hanging="360"/>
        <w:rPr>
          <w:rFonts w:ascii="Times New Roman" w:hAnsi="Times New Roman"/>
          <w:i/>
          <w:szCs w:val="24"/>
        </w:rPr>
      </w:pPr>
      <w:r>
        <w:rPr>
          <w:rFonts w:ascii="Times New Roman" w:hAnsi="Times New Roman"/>
          <w:i/>
          <w:szCs w:val="24"/>
        </w:rPr>
        <w:t>for quarries: status of relocation and compensation (completed, or details of activities and current status in the reporting period).</w:t>
      </w:r>
    </w:p>
    <w:p w14:paraId="28DB4F41">
      <w:pPr>
        <w:pStyle w:val="197"/>
        <w:tabs>
          <w:tab w:val="clear" w:pos="360"/>
        </w:tabs>
        <w:ind w:hanging="360"/>
        <w:rPr>
          <w:rFonts w:ascii="Times New Roman" w:hAnsi="Times New Roman"/>
          <w:i/>
          <w:szCs w:val="24"/>
        </w:rPr>
      </w:pPr>
      <w:r>
        <w:rPr>
          <w:rFonts w:ascii="Times New Roman" w:hAnsi="Times New Roman"/>
          <w:i/>
          <w:szCs w:val="24"/>
        </w:rPr>
        <w:t xml:space="preserve">health and safety supervision: </w:t>
      </w:r>
    </w:p>
    <w:p w14:paraId="007C2930">
      <w:pPr>
        <w:pStyle w:val="196"/>
        <w:rPr>
          <w:rFonts w:ascii="Times New Roman" w:hAnsi="Times New Roman"/>
        </w:rPr>
      </w:pPr>
      <w:r>
        <w:rPr>
          <w:rFonts w:ascii="Times New Roman" w:hAnsi="Times New Roman"/>
        </w:rPr>
        <w:t>safety officer: number days worked, number of full inspections &amp; partial inspections, reports to construction/project management;</w:t>
      </w:r>
    </w:p>
    <w:p w14:paraId="3644CF3C">
      <w:pPr>
        <w:pStyle w:val="196"/>
        <w:rPr>
          <w:rFonts w:ascii="Times New Roman" w:hAnsi="Times New Roman"/>
        </w:rPr>
      </w:pPr>
      <w:r>
        <w:rPr>
          <w:rFonts w:ascii="Times New Roman" w:hAnsi="Times New Roman"/>
        </w:rPr>
        <w:t>number of workers, work hours, metric of PPE use (percentage of workers with full personal protection equipment (PPE), partial, etc.), worker violations observed (by type of violation, PPE or otherwise), warnings given, repeat warnings given, follow-up actions taken (if any);</w:t>
      </w:r>
    </w:p>
    <w:p w14:paraId="08CEFE81">
      <w:pPr>
        <w:pStyle w:val="197"/>
        <w:tabs>
          <w:tab w:val="clear" w:pos="360"/>
        </w:tabs>
        <w:ind w:hanging="360"/>
        <w:rPr>
          <w:rFonts w:ascii="Times New Roman" w:hAnsi="Times New Roman"/>
          <w:i/>
          <w:szCs w:val="24"/>
        </w:rPr>
      </w:pPr>
      <w:r>
        <w:rPr>
          <w:rFonts w:ascii="Times New Roman" w:hAnsi="Times New Roman"/>
          <w:i/>
          <w:szCs w:val="24"/>
        </w:rPr>
        <w:t>worker accommodations:</w:t>
      </w:r>
    </w:p>
    <w:p w14:paraId="0806414E">
      <w:pPr>
        <w:pStyle w:val="196"/>
        <w:numPr>
          <w:ilvl w:val="0"/>
          <w:numId w:val="0"/>
        </w:numPr>
        <w:ind w:left="1080"/>
        <w:rPr>
          <w:rFonts w:ascii="Times New Roman" w:hAnsi="Times New Roman"/>
        </w:rPr>
      </w:pPr>
      <w:r>
        <w:rPr>
          <w:rFonts w:ascii="Times New Roman" w:hAnsi="Times New Roman"/>
        </w:rPr>
        <w:t xml:space="preserve">i. number of expats housed in accommodations, number of locals; </w:t>
      </w:r>
    </w:p>
    <w:p w14:paraId="730407C7">
      <w:pPr>
        <w:pStyle w:val="196"/>
        <w:numPr>
          <w:ilvl w:val="0"/>
          <w:numId w:val="0"/>
        </w:numPr>
        <w:ind w:left="1080"/>
        <w:rPr>
          <w:rFonts w:ascii="Times New Roman" w:hAnsi="Times New Roman"/>
        </w:rPr>
      </w:pPr>
      <w:r>
        <w:rPr>
          <w:rFonts w:ascii="Times New Roman" w:hAnsi="Times New Roman"/>
        </w:rPr>
        <w:t xml:space="preserve">ii. date of last inspection, and highlights of inspection including status of accommodations’ compliance with national and local law and good practice, including sanitation, space, etc.; </w:t>
      </w:r>
    </w:p>
    <w:p w14:paraId="7CAB5134">
      <w:pPr>
        <w:pStyle w:val="196"/>
        <w:rPr>
          <w:rFonts w:ascii="Times New Roman" w:hAnsi="Times New Roman"/>
        </w:rPr>
      </w:pPr>
      <w:r>
        <w:rPr>
          <w:rFonts w:ascii="Times New Roman" w:hAnsi="Times New Roman"/>
        </w:rPr>
        <w:t>actions taken to recommend/require improved conditions, or to improve conditions.</w:t>
      </w:r>
    </w:p>
    <w:p w14:paraId="53573818">
      <w:pPr>
        <w:pStyle w:val="197"/>
        <w:tabs>
          <w:tab w:val="clear" w:pos="360"/>
        </w:tabs>
        <w:ind w:hanging="360"/>
        <w:rPr>
          <w:rFonts w:ascii="Times New Roman" w:hAnsi="Times New Roman"/>
          <w:i/>
          <w:szCs w:val="24"/>
        </w:rPr>
      </w:pPr>
      <w:r>
        <w:rPr>
          <w:rFonts w:eastAsia="Arial Narrow"/>
          <w:i/>
          <w:color w:val="000000"/>
          <w:lang w:val="en-GB"/>
        </w:rPr>
        <w:t>Health services</w:t>
      </w:r>
      <w:r>
        <w:rPr>
          <w:rFonts w:ascii="Times New Roman" w:hAnsi="Times New Roman"/>
          <w:i/>
          <w:szCs w:val="24"/>
        </w:rPr>
        <w:t>: provider of health services, information and/or training, location of clinic, number of non-safety disease or illness treatments and diagnoses (no names to be provided);</w:t>
      </w:r>
    </w:p>
    <w:p w14:paraId="540FC277">
      <w:pPr>
        <w:pStyle w:val="197"/>
        <w:tabs>
          <w:tab w:val="clear" w:pos="360"/>
        </w:tabs>
        <w:ind w:hanging="360"/>
        <w:rPr>
          <w:rFonts w:ascii="Times New Roman" w:hAnsi="Times New Roman"/>
          <w:i/>
          <w:szCs w:val="24"/>
        </w:rPr>
      </w:pPr>
      <w:r>
        <w:rPr>
          <w:rFonts w:ascii="Times New Roman" w:hAnsi="Times New Roman"/>
          <w:i/>
          <w:szCs w:val="24"/>
        </w:rPr>
        <w:t>gender (for expats and locals separately): number of female workers, percentage of workforce, gender issues raised and dealt with (cross-reference grievances or other sections as needed);</w:t>
      </w:r>
    </w:p>
    <w:p w14:paraId="7BA42F96">
      <w:pPr>
        <w:pStyle w:val="197"/>
        <w:tabs>
          <w:tab w:val="clear" w:pos="360"/>
        </w:tabs>
        <w:ind w:hanging="360"/>
        <w:rPr>
          <w:rFonts w:ascii="Times New Roman" w:hAnsi="Times New Roman"/>
          <w:i/>
          <w:szCs w:val="24"/>
        </w:rPr>
      </w:pPr>
      <w:r>
        <w:rPr>
          <w:rFonts w:ascii="Times New Roman" w:hAnsi="Times New Roman"/>
          <w:i/>
          <w:szCs w:val="24"/>
        </w:rPr>
        <w:t>training:</w:t>
      </w:r>
    </w:p>
    <w:p w14:paraId="64C27DF5">
      <w:pPr>
        <w:pStyle w:val="196"/>
        <w:numPr>
          <w:ilvl w:val="0"/>
          <w:numId w:val="0"/>
        </w:numPr>
        <w:ind w:left="1080"/>
        <w:rPr>
          <w:rFonts w:ascii="Times New Roman" w:hAnsi="Times New Roman"/>
        </w:rPr>
      </w:pPr>
      <w:r>
        <w:rPr>
          <w:rFonts w:ascii="Times New Roman" w:hAnsi="Times New Roman"/>
        </w:rPr>
        <w:t>i. number of new workers, number receiving induction training, dates of induction training;</w:t>
      </w:r>
    </w:p>
    <w:p w14:paraId="14671292">
      <w:pPr>
        <w:pStyle w:val="196"/>
        <w:numPr>
          <w:ilvl w:val="0"/>
          <w:numId w:val="0"/>
        </w:numPr>
        <w:ind w:left="720"/>
        <w:rPr>
          <w:rFonts w:ascii="Times New Roman" w:hAnsi="Times New Roman"/>
        </w:rPr>
      </w:pPr>
      <w:r>
        <w:rPr>
          <w:rFonts w:ascii="Times New Roman" w:hAnsi="Times New Roman"/>
        </w:rPr>
        <w:t>ii. number and dates of toolbox talks, number of workers receiving Occupational Health and Safety (OHS), environmental and social training;</w:t>
      </w:r>
    </w:p>
    <w:p w14:paraId="51403A76">
      <w:pPr>
        <w:pStyle w:val="196"/>
        <w:numPr>
          <w:ilvl w:val="0"/>
          <w:numId w:val="86"/>
        </w:numPr>
        <w:rPr>
          <w:rFonts w:ascii="Times New Roman" w:hAnsi="Times New Roman"/>
        </w:rPr>
      </w:pPr>
      <w:r>
        <w:rPr>
          <w:rFonts w:ascii="Times New Roman" w:hAnsi="Times New Roman"/>
        </w:rPr>
        <w:t>number and dates of communicable diseases (including STDs) sensitization and/or training, no. workers receiving training (in the reporting period and in the past); same questions for gender sensitization, flag person training.</w:t>
      </w:r>
    </w:p>
    <w:p w14:paraId="280FAF63">
      <w:pPr>
        <w:pStyle w:val="196"/>
        <w:numPr>
          <w:ilvl w:val="0"/>
          <w:numId w:val="86"/>
        </w:numPr>
        <w:rPr>
          <w:rFonts w:ascii="Times New Roman" w:hAnsi="Times New Roman"/>
        </w:rPr>
      </w:pPr>
      <w:r>
        <w:rPr>
          <w:rFonts w:ascii="Times New Roman" w:hAnsi="Times New Roman"/>
        </w:rPr>
        <w:t>number and date of SEA and SH prevention sensitization and/or training events, including number of workers receiving training on Code of Conduct for Contractor’s Personnel (in the reporting period and in the past), etc.</w:t>
      </w:r>
    </w:p>
    <w:p w14:paraId="7CC83FBA">
      <w:pPr>
        <w:pStyle w:val="196"/>
        <w:numPr>
          <w:ilvl w:val="0"/>
          <w:numId w:val="0"/>
        </w:numPr>
        <w:ind w:left="1080"/>
        <w:rPr>
          <w:rFonts w:ascii="Times New Roman" w:hAnsi="Times New Roman"/>
        </w:rPr>
      </w:pPr>
    </w:p>
    <w:p w14:paraId="2941CFD0">
      <w:pPr>
        <w:pStyle w:val="197"/>
        <w:tabs>
          <w:tab w:val="clear" w:pos="360"/>
        </w:tabs>
        <w:ind w:hanging="360"/>
        <w:rPr>
          <w:rFonts w:ascii="Times New Roman" w:hAnsi="Times New Roman"/>
          <w:i/>
          <w:szCs w:val="24"/>
        </w:rPr>
      </w:pPr>
      <w:r>
        <w:rPr>
          <w:rFonts w:ascii="Times New Roman" w:hAnsi="Times New Roman"/>
          <w:i/>
          <w:szCs w:val="24"/>
        </w:rPr>
        <w:t>environmental and social supervision:</w:t>
      </w:r>
    </w:p>
    <w:p w14:paraId="5CCE212C">
      <w:pPr>
        <w:numPr>
          <w:ilvl w:val="0"/>
          <w:numId w:val="87"/>
        </w:numPr>
      </w:pPr>
      <w:r>
        <w:t>environmentalist: days worked, areas inspected and numbers of inspections of each (road section, work camp, accommodations, quarries, borrow areas, spoil areas, swamps, forest crossings, etc.), highlights of activities/findings (including violations of environmental and/or social best practices, actions taken), reports to environmental and/or social specialist/construction/site management;</w:t>
      </w:r>
    </w:p>
    <w:p w14:paraId="6ADB812E">
      <w:pPr>
        <w:pStyle w:val="196"/>
        <w:numPr>
          <w:ilvl w:val="0"/>
          <w:numId w:val="86"/>
        </w:numPr>
        <w:rPr>
          <w:rFonts w:ascii="Times New Roman" w:hAnsi="Times New Roman"/>
        </w:rPr>
      </w:pPr>
      <w:r>
        <w:rPr>
          <w:rFonts w:ascii="Times New Roman" w:hAnsi="Times New Roman"/>
        </w:rPr>
        <w:t>sociologist: days worked, number of partial and full site inspections (by area: road section, work camp, accommodations, quarries, borrow areas, spoil areas, clinic, HIV/AIDS center, community centers, etc.), highlights of activities (including violations of environmental and/or social requirements observed, actions taken), reports to environmental and/or social specialist/construction/site management; and</w:t>
      </w:r>
    </w:p>
    <w:p w14:paraId="01F7A6A5">
      <w:pPr>
        <w:pStyle w:val="196"/>
        <w:numPr>
          <w:ilvl w:val="0"/>
          <w:numId w:val="86"/>
        </w:numPr>
        <w:rPr>
          <w:rFonts w:ascii="Times New Roman" w:hAnsi="Times New Roman"/>
        </w:rPr>
      </w:pPr>
      <w:r>
        <w:rPr>
          <w:rFonts w:ascii="Times New Roman" w:hAnsi="Times New Roman"/>
        </w:rPr>
        <w:t>community liaison person(s): days worked (hours community center open), number of people met, highlights of activities (issues raised, etc.), reports to environmental and/or social specialist /construction/site management.</w:t>
      </w:r>
    </w:p>
    <w:p w14:paraId="14C0AED5">
      <w:pPr>
        <w:pStyle w:val="197"/>
        <w:tabs>
          <w:tab w:val="clear" w:pos="360"/>
        </w:tabs>
        <w:ind w:hanging="360"/>
        <w:rPr>
          <w:rFonts w:ascii="Times New Roman" w:hAnsi="Times New Roman"/>
        </w:rPr>
      </w:pPr>
      <w:r>
        <w:rPr>
          <w:rFonts w:ascii="Times New Roman" w:hAnsi="Times New Roman"/>
          <w:i/>
        </w:rPr>
        <w:t>Grievances:</w:t>
      </w:r>
      <w:r>
        <w:rPr>
          <w:rFonts w:ascii="Times New Roman" w:hAnsi="Times New Roman"/>
        </w:rPr>
        <w:t xml:space="preserve"> list new grievances (e.g. number of allegations of SEA and SH) received in the reporting period and number of unresolved past grievances by date received, complainant’s age and sex, how received, to whom referred to for action, resolution and date (if completed), data resolution reported to complainant, any required follow-up (Cross-reference other sections as needed</w:t>
      </w:r>
      <w:r>
        <w:rPr>
          <w:rFonts w:ascii="Times New Roman" w:hAnsi="Times New Roman"/>
          <w:szCs w:val="24"/>
        </w:rPr>
        <w:t>.</w:t>
      </w:r>
    </w:p>
    <w:p w14:paraId="3EFFDF46">
      <w:pPr>
        <w:pStyle w:val="196"/>
        <w:numPr>
          <w:ilvl w:val="0"/>
          <w:numId w:val="0"/>
        </w:numPr>
        <w:ind w:left="1080"/>
        <w:rPr>
          <w:rFonts w:ascii="Times New Roman" w:hAnsi="Times New Roman"/>
        </w:rPr>
      </w:pPr>
      <w:r>
        <w:rPr>
          <w:rFonts w:ascii="Times New Roman" w:hAnsi="Times New Roman"/>
        </w:rPr>
        <w:t>i. Worker grievances;</w:t>
      </w:r>
    </w:p>
    <w:p w14:paraId="79254C41">
      <w:pPr>
        <w:pStyle w:val="196"/>
        <w:numPr>
          <w:ilvl w:val="0"/>
          <w:numId w:val="0"/>
        </w:numPr>
        <w:ind w:left="1080"/>
        <w:rPr>
          <w:rFonts w:ascii="Times New Roman" w:hAnsi="Times New Roman"/>
        </w:rPr>
      </w:pPr>
      <w:r>
        <w:rPr>
          <w:rFonts w:ascii="Times New Roman" w:hAnsi="Times New Roman"/>
        </w:rPr>
        <w:t>ii. Community grievances</w:t>
      </w:r>
    </w:p>
    <w:p w14:paraId="26EB52ED">
      <w:pPr>
        <w:pStyle w:val="197"/>
        <w:tabs>
          <w:tab w:val="clear" w:pos="360"/>
        </w:tabs>
        <w:ind w:hanging="360"/>
        <w:rPr>
          <w:rFonts w:ascii="Times New Roman" w:hAnsi="Times New Roman"/>
          <w:i/>
          <w:szCs w:val="24"/>
        </w:rPr>
      </w:pPr>
      <w:r>
        <w:rPr>
          <w:rFonts w:eastAsia="Arial Narrow"/>
          <w:i/>
          <w:color w:val="000000"/>
          <w:lang w:val="en-GB"/>
        </w:rPr>
        <w:t>Traffic, road safety and vehicles/equipment</w:t>
      </w:r>
      <w:r>
        <w:rPr>
          <w:rFonts w:ascii="Times New Roman" w:hAnsi="Times New Roman"/>
          <w:i/>
          <w:szCs w:val="24"/>
        </w:rPr>
        <w:t>:</w:t>
      </w:r>
    </w:p>
    <w:p w14:paraId="2CD90492">
      <w:pPr>
        <w:pStyle w:val="176"/>
        <w:numPr>
          <w:ilvl w:val="0"/>
          <w:numId w:val="88"/>
        </w:numPr>
        <w:spacing w:before="120" w:after="120" w:line="276" w:lineRule="auto"/>
        <w:rPr>
          <w:rFonts w:eastAsia="Arial Narrow"/>
          <w:color w:val="000000"/>
          <w:lang w:val="en-GB"/>
        </w:rPr>
      </w:pPr>
      <w:r>
        <w:rPr>
          <w:rFonts w:eastAsia="Arial Narrow"/>
          <w:color w:val="000000"/>
          <w:lang w:val="en-GB"/>
        </w:rPr>
        <w:t>traffic and road safety incidents and accidents involving project vehicles &amp; equipment: provide date, location, damage, cause, follow-up;</w:t>
      </w:r>
    </w:p>
    <w:p w14:paraId="1C9130E7">
      <w:pPr>
        <w:pStyle w:val="176"/>
        <w:spacing w:before="120" w:after="120" w:line="276" w:lineRule="auto"/>
        <w:rPr>
          <w:rFonts w:eastAsia="Arial Narrow"/>
          <w:color w:val="000000"/>
          <w:lang w:val="en-GB"/>
        </w:rPr>
      </w:pPr>
    </w:p>
    <w:p w14:paraId="090DDBEC">
      <w:pPr>
        <w:pStyle w:val="176"/>
        <w:numPr>
          <w:ilvl w:val="0"/>
          <w:numId w:val="88"/>
        </w:numPr>
        <w:spacing w:before="120" w:after="120" w:line="276" w:lineRule="auto"/>
      </w:pPr>
      <w:r>
        <w:rPr>
          <w:rFonts w:eastAsia="Arial Narrow"/>
          <w:color w:val="000000"/>
          <w:lang w:val="en-GB"/>
        </w:rPr>
        <w:t>traffic and road safety incidents and accidents involving non-project vehicles or property (also reported under immediate metrics): provide date, location, damage, cause, follow-up</w:t>
      </w:r>
      <w:r>
        <w:t xml:space="preserve">; </w:t>
      </w:r>
    </w:p>
    <w:p w14:paraId="73BAA394">
      <w:pPr>
        <w:pStyle w:val="176"/>
      </w:pPr>
    </w:p>
    <w:p w14:paraId="5A226378">
      <w:pPr>
        <w:pStyle w:val="176"/>
        <w:spacing w:before="120" w:after="120" w:line="276" w:lineRule="auto"/>
      </w:pPr>
    </w:p>
    <w:p w14:paraId="744ED26D">
      <w:pPr>
        <w:pStyle w:val="176"/>
        <w:numPr>
          <w:ilvl w:val="0"/>
          <w:numId w:val="88"/>
        </w:numPr>
        <w:spacing w:before="120" w:after="120" w:line="276" w:lineRule="auto"/>
      </w:pPr>
      <w:r>
        <w:t>overall condition of vehicles/equipment (subjective judgment by environmentalist); non-routine repairs and maintenance needed to improve safety and/or environmental performance (to control smoke, etc.).</w:t>
      </w:r>
    </w:p>
    <w:p w14:paraId="0EEB85A7">
      <w:pPr>
        <w:pStyle w:val="197"/>
        <w:tabs>
          <w:tab w:val="clear" w:pos="360"/>
        </w:tabs>
        <w:ind w:hanging="360"/>
        <w:rPr>
          <w:rFonts w:ascii="Times New Roman" w:hAnsi="Times New Roman"/>
          <w:i/>
          <w:szCs w:val="24"/>
        </w:rPr>
      </w:pPr>
      <w:r>
        <w:rPr>
          <w:rFonts w:ascii="Times New Roman" w:hAnsi="Times New Roman"/>
          <w:i/>
          <w:szCs w:val="24"/>
        </w:rPr>
        <w:t>Environmental mitigations and issues (what has been done):</w:t>
      </w:r>
    </w:p>
    <w:p w14:paraId="7C731A6D">
      <w:pPr>
        <w:pStyle w:val="196"/>
        <w:numPr>
          <w:ilvl w:val="0"/>
          <w:numId w:val="89"/>
        </w:numPr>
        <w:rPr>
          <w:rFonts w:ascii="Times New Roman" w:hAnsi="Times New Roman"/>
        </w:rPr>
      </w:pPr>
      <w:r>
        <w:rPr>
          <w:rFonts w:ascii="Times New Roman" w:hAnsi="Times New Roman"/>
        </w:rPr>
        <w:t>dust: number of working bowsers, number of waterings/day, number of complaints, warnings given by environmentalist, actions taken to resolve; highlights of quarry dust control (covers, sprays, operational status); % of rock/spoil lorries with covers, actions taken for uncovered vehicles;</w:t>
      </w:r>
    </w:p>
    <w:p w14:paraId="66C9C1BB">
      <w:pPr>
        <w:pStyle w:val="196"/>
        <w:numPr>
          <w:ilvl w:val="0"/>
          <w:numId w:val="89"/>
        </w:numPr>
        <w:rPr>
          <w:rFonts w:ascii="Times New Roman" w:hAnsi="Times New Roman"/>
        </w:rPr>
      </w:pPr>
      <w:r>
        <w:rPr>
          <w:rFonts w:ascii="Times New Roman" w:hAnsi="Times New Roman"/>
        </w:rPr>
        <w:t>erosion control: controls implemented by location, status of water crossings, environmentalist inspections and results, actions taken to resolve issues, emergency repairs needed to control erosion/sedimentation;</w:t>
      </w:r>
    </w:p>
    <w:p w14:paraId="6519FFC5">
      <w:pPr>
        <w:pStyle w:val="196"/>
        <w:numPr>
          <w:ilvl w:val="0"/>
          <w:numId w:val="89"/>
        </w:numPr>
        <w:rPr>
          <w:rFonts w:ascii="Times New Roman" w:hAnsi="Times New Roman"/>
        </w:rPr>
      </w:pPr>
      <w:r>
        <w:rPr>
          <w:rFonts w:ascii="Times New Roman" w:hAnsi="Times New Roman"/>
        </w:rPr>
        <w:t>quarries, borrow areas, spoil areas, asphalt plants, batch plants: identify major activities undertaken in the reporting period at each, and highlights of environmental and social protection: land clearing, boundary marking, topsoil salvage, traffic management, decommissioning planning, decommissioning implementation;</w:t>
      </w:r>
    </w:p>
    <w:p w14:paraId="3176046E">
      <w:pPr>
        <w:pStyle w:val="196"/>
        <w:numPr>
          <w:ilvl w:val="0"/>
          <w:numId w:val="89"/>
        </w:numPr>
        <w:rPr>
          <w:rFonts w:ascii="Times New Roman" w:hAnsi="Times New Roman"/>
        </w:rPr>
      </w:pPr>
      <w:r>
        <w:rPr>
          <w:rFonts w:ascii="Times New Roman" w:hAnsi="Times New Roman"/>
        </w:rPr>
        <w:t>blasting: number of blasts (and locations), status of implementation of blasting plan (including notices, evacuations, etc.), incidents of off-site damage or complaints (cross-reference other sections as needed);</w:t>
      </w:r>
    </w:p>
    <w:p w14:paraId="1794BDF7">
      <w:pPr>
        <w:pStyle w:val="196"/>
        <w:numPr>
          <w:ilvl w:val="0"/>
          <w:numId w:val="89"/>
        </w:numPr>
        <w:rPr>
          <w:rFonts w:ascii="Times New Roman" w:hAnsi="Times New Roman"/>
        </w:rPr>
      </w:pPr>
      <w:r>
        <w:rPr>
          <w:rFonts w:ascii="Times New Roman" w:hAnsi="Times New Roman"/>
        </w:rPr>
        <w:t>spill cleanups, if any:  material spilled, location, amount, actions taken, material disposal (report all spills that result in water or soil contamination;</w:t>
      </w:r>
    </w:p>
    <w:p w14:paraId="40486394">
      <w:pPr>
        <w:pStyle w:val="196"/>
        <w:numPr>
          <w:ilvl w:val="0"/>
          <w:numId w:val="89"/>
        </w:numPr>
        <w:rPr>
          <w:rFonts w:ascii="Times New Roman" w:hAnsi="Times New Roman"/>
        </w:rPr>
      </w:pPr>
      <w:r>
        <w:rPr>
          <w:rFonts w:ascii="Times New Roman" w:hAnsi="Times New Roman"/>
        </w:rPr>
        <w:t>waste management: types and quantities generated and managed, including amount taken offsite (and by whom) or reused/recycled/disposed on-site;</w:t>
      </w:r>
    </w:p>
    <w:p w14:paraId="3420FD1B">
      <w:pPr>
        <w:pStyle w:val="196"/>
        <w:numPr>
          <w:ilvl w:val="0"/>
          <w:numId w:val="89"/>
        </w:numPr>
        <w:rPr>
          <w:rFonts w:ascii="Times New Roman" w:hAnsi="Times New Roman"/>
        </w:rPr>
      </w:pPr>
      <w:r>
        <w:rPr>
          <w:rFonts w:ascii="Times New Roman" w:hAnsi="Times New Roman"/>
        </w:rPr>
        <w:t>details of tree plantings and other mitigations required undertaken in the reporting period;</w:t>
      </w:r>
    </w:p>
    <w:p w14:paraId="709AD490">
      <w:pPr>
        <w:pStyle w:val="196"/>
        <w:numPr>
          <w:ilvl w:val="0"/>
          <w:numId w:val="89"/>
        </w:numPr>
        <w:rPr>
          <w:rFonts w:ascii="Times New Roman" w:hAnsi="Times New Roman"/>
        </w:rPr>
      </w:pPr>
      <w:r>
        <w:rPr>
          <w:rFonts w:ascii="Times New Roman" w:hAnsi="Times New Roman"/>
        </w:rPr>
        <w:t>details of water and swamp protection mitigations required undertaken in the reporting period.</w:t>
      </w:r>
    </w:p>
    <w:p w14:paraId="7ED99DC2">
      <w:pPr>
        <w:pStyle w:val="197"/>
        <w:tabs>
          <w:tab w:val="clear" w:pos="360"/>
        </w:tabs>
        <w:ind w:hanging="360"/>
        <w:rPr>
          <w:rFonts w:ascii="Times New Roman" w:hAnsi="Times New Roman"/>
          <w:i/>
          <w:szCs w:val="24"/>
        </w:rPr>
      </w:pPr>
      <w:r>
        <w:rPr>
          <w:rFonts w:ascii="Times New Roman" w:hAnsi="Times New Roman"/>
          <w:i/>
          <w:szCs w:val="24"/>
        </w:rPr>
        <w:t>compliance:</w:t>
      </w:r>
    </w:p>
    <w:p w14:paraId="7D8608A5">
      <w:pPr>
        <w:pStyle w:val="196"/>
        <w:numPr>
          <w:ilvl w:val="0"/>
          <w:numId w:val="90"/>
        </w:numPr>
        <w:rPr>
          <w:rFonts w:ascii="Times New Roman" w:hAnsi="Times New Roman"/>
        </w:rPr>
      </w:pPr>
      <w:r>
        <w:rPr>
          <w:rFonts w:ascii="Times New Roman" w:hAnsi="Times New Roman"/>
        </w:rPr>
        <w:t>compliance status for conditions of all relevant consents/permits, for the Work, including quarries, etc.): statement of compliance or listing of issues and actions taken (or to be taken) to reach compliance;</w:t>
      </w:r>
    </w:p>
    <w:p w14:paraId="1A0694CF">
      <w:pPr>
        <w:pStyle w:val="196"/>
        <w:numPr>
          <w:ilvl w:val="0"/>
          <w:numId w:val="91"/>
        </w:numPr>
        <w:rPr>
          <w:rFonts w:ascii="Times New Roman" w:hAnsi="Times New Roman"/>
        </w:rPr>
      </w:pPr>
      <w:r>
        <w:rPr>
          <w:rFonts w:ascii="Times New Roman" w:hAnsi="Times New Roman"/>
        </w:rPr>
        <w:t>compliance status of C-ESMP/ESIP requirements: statement of compliance or listing of issues and actions taken (or to be taken) to reach compliance</w:t>
      </w:r>
    </w:p>
    <w:p w14:paraId="09878E36">
      <w:pPr>
        <w:pStyle w:val="196"/>
        <w:numPr>
          <w:ilvl w:val="0"/>
          <w:numId w:val="91"/>
        </w:numPr>
        <w:rPr>
          <w:rFonts w:ascii="Times New Roman" w:hAnsi="Times New Roman"/>
        </w:rPr>
      </w:pPr>
      <w:r>
        <w:rPr>
          <w:rFonts w:ascii="Times New Roman" w:hAnsi="Times New Roman"/>
        </w:rPr>
        <w:t>compliance status of SEA and SH prevention and response action plan: statement of compliance or listing of issues and actions taken (or to be taken) to reach compliance</w:t>
      </w:r>
    </w:p>
    <w:p w14:paraId="30676C42">
      <w:pPr>
        <w:pStyle w:val="196"/>
        <w:numPr>
          <w:ilvl w:val="0"/>
          <w:numId w:val="91"/>
        </w:numPr>
        <w:rPr>
          <w:rFonts w:ascii="Times New Roman" w:hAnsi="Times New Roman"/>
        </w:rPr>
      </w:pPr>
      <w:r>
        <w:rPr>
          <w:rFonts w:ascii="Times New Roman" w:hAnsi="Times New Roman"/>
        </w:rPr>
        <w:t>compliance status of Health and Safety Management Plan re: statement of compliance or listing of issues and actions taken (or to be taken) to reach compliance</w:t>
      </w:r>
    </w:p>
    <w:p w14:paraId="0AB0F420">
      <w:pPr>
        <w:pStyle w:val="196"/>
        <w:numPr>
          <w:ilvl w:val="0"/>
          <w:numId w:val="91"/>
        </w:numPr>
        <w:rPr>
          <w:rFonts w:ascii="Times New Roman" w:hAnsi="Times New Roman"/>
        </w:rPr>
      </w:pPr>
      <w:r>
        <w:rPr>
          <w:rFonts w:ascii="Times New Roman" w:hAnsi="Times New Roman"/>
        </w:rPr>
        <w:t>other unresolved issues from previous reporting periods related to environmental and social: continued violations, continued failure of equipment, continued lack of vehicle covers, spills not dealt with, continued compensation or blasting issues, etc.  Cross-reference other sections as needed.</w:t>
      </w:r>
    </w:p>
    <w:p w14:paraId="0B446C6C">
      <w:pPr>
        <w:pStyle w:val="196"/>
        <w:numPr>
          <w:ilvl w:val="0"/>
          <w:numId w:val="0"/>
        </w:numPr>
        <w:ind w:left="1080" w:hanging="360"/>
        <w:rPr>
          <w:rFonts w:ascii="Times New Roman" w:hAnsi="Times New Roman"/>
        </w:rPr>
      </w:pPr>
      <w:r>
        <w:rPr>
          <w:rFonts w:ascii="Times New Roman" w:hAnsi="Times New Roman"/>
        </w:rPr>
        <w:br w:type="page"/>
      </w:r>
    </w:p>
    <w:p w14:paraId="00625ADB">
      <w:pPr>
        <w:pStyle w:val="196"/>
        <w:numPr>
          <w:ilvl w:val="0"/>
          <w:numId w:val="0"/>
        </w:numPr>
        <w:ind w:left="1080" w:hanging="360"/>
        <w:rPr>
          <w:rFonts w:ascii="Times New Roman" w:hAnsi="Times New Roman"/>
        </w:rPr>
      </w:pPr>
    </w:p>
    <w:p w14:paraId="1066492F">
      <w:pPr>
        <w:jc w:val="center"/>
        <w:rPr>
          <w:b/>
          <w:sz w:val="36"/>
          <w:szCs w:val="36"/>
        </w:rPr>
      </w:pPr>
      <w:bookmarkStart w:id="749" w:name="_Hlk31715280"/>
      <w:bookmarkStart w:id="750" w:name="_Hlk59638876"/>
      <w:bookmarkStart w:id="751" w:name="_Hlk54535042"/>
      <w:r>
        <w:rPr>
          <w:b/>
          <w:sz w:val="36"/>
          <w:szCs w:val="36"/>
        </w:rPr>
        <w:t xml:space="preserve">APPENDIX C </w:t>
      </w:r>
    </w:p>
    <w:p w14:paraId="3F125801">
      <w:pPr>
        <w:jc w:val="center"/>
        <w:rPr>
          <w:b/>
          <w:sz w:val="36"/>
          <w:szCs w:val="36"/>
        </w:rPr>
      </w:pPr>
      <w:r>
        <w:rPr>
          <w:b/>
          <w:sz w:val="36"/>
          <w:szCs w:val="36"/>
        </w:rPr>
        <w:t>Sexual Exploitation and Abuse (SEA) and/or Sexual Harassment (SH) Performance Declaration for Subcontractors</w:t>
      </w:r>
      <w:bookmarkEnd w:id="749"/>
    </w:p>
    <w:p w14:paraId="3DC70697">
      <w:pPr>
        <w:spacing w:before="120" w:after="120" w:line="264" w:lineRule="exact"/>
        <w:contextualSpacing/>
        <w:rPr>
          <w:bCs/>
          <w:i/>
          <w:spacing w:val="6"/>
          <w:sz w:val="22"/>
          <w:szCs w:val="22"/>
        </w:rPr>
      </w:pPr>
    </w:p>
    <w:p w14:paraId="17549BBC">
      <w:pPr>
        <w:spacing w:before="120" w:after="120" w:line="264" w:lineRule="exact"/>
        <w:contextualSpacing/>
        <w:rPr>
          <w:i/>
          <w:iCs/>
          <w:spacing w:val="-6"/>
          <w:sz w:val="22"/>
          <w:szCs w:val="22"/>
        </w:rPr>
      </w:pPr>
      <w:r>
        <w:rPr>
          <w:bCs/>
          <w:i/>
          <w:spacing w:val="6"/>
          <w:sz w:val="22"/>
          <w:szCs w:val="22"/>
        </w:rPr>
        <w:t>[</w:t>
      </w:r>
      <w:r>
        <w:rPr>
          <w:i/>
          <w:iCs/>
          <w:spacing w:val="-6"/>
          <w:sz w:val="22"/>
          <w:szCs w:val="22"/>
        </w:rPr>
        <w:t>The following table shall be filled in by each subcontractor proposed by the Contractor, that was not named in the Contract]</w:t>
      </w:r>
    </w:p>
    <w:p w14:paraId="23E73CB6">
      <w:pPr>
        <w:spacing w:before="120" w:after="120" w:line="264" w:lineRule="exact"/>
        <w:jc w:val="right"/>
        <w:rPr>
          <w:spacing w:val="-4"/>
          <w:sz w:val="22"/>
          <w:szCs w:val="22"/>
        </w:rPr>
      </w:pPr>
      <w:r>
        <w:rPr>
          <w:spacing w:val="-4"/>
          <w:sz w:val="22"/>
          <w:szCs w:val="22"/>
        </w:rPr>
        <w:t xml:space="preserve">Subcontractor’s Name: </w:t>
      </w:r>
      <w:r>
        <w:rPr>
          <w:i/>
          <w:iCs/>
          <w:spacing w:val="-6"/>
          <w:sz w:val="22"/>
          <w:szCs w:val="22"/>
        </w:rPr>
        <w:t>[insert full name]</w:t>
      </w:r>
      <w:r>
        <w:rPr>
          <w:i/>
          <w:iCs/>
          <w:spacing w:val="-6"/>
          <w:sz w:val="22"/>
          <w:szCs w:val="22"/>
        </w:rPr>
        <w:br w:type="textWrapping"/>
      </w:r>
      <w:r>
        <w:rPr>
          <w:spacing w:val="-4"/>
          <w:sz w:val="22"/>
          <w:szCs w:val="22"/>
        </w:rPr>
        <w:t xml:space="preserve">Date: </w:t>
      </w:r>
      <w:r>
        <w:rPr>
          <w:i/>
          <w:iCs/>
          <w:spacing w:val="-6"/>
          <w:sz w:val="22"/>
          <w:szCs w:val="22"/>
        </w:rPr>
        <w:t>[insert day, month, year]</w:t>
      </w:r>
      <w:r>
        <w:rPr>
          <w:i/>
          <w:iCs/>
          <w:spacing w:val="-6"/>
          <w:sz w:val="22"/>
          <w:szCs w:val="22"/>
        </w:rPr>
        <w:br w:type="textWrapping"/>
      </w:r>
      <w:r>
        <w:rPr>
          <w:spacing w:val="-4"/>
          <w:sz w:val="22"/>
          <w:szCs w:val="22"/>
        </w:rPr>
        <w:t xml:space="preserve">Contract reference </w:t>
      </w:r>
      <w:r>
        <w:rPr>
          <w:i/>
          <w:iCs/>
          <w:spacing w:val="-6"/>
          <w:sz w:val="22"/>
          <w:szCs w:val="22"/>
        </w:rPr>
        <w:t>[insert contract reference]</w:t>
      </w:r>
      <w:r>
        <w:rPr>
          <w:i/>
          <w:iCs/>
          <w:spacing w:val="-6"/>
          <w:sz w:val="22"/>
          <w:szCs w:val="22"/>
        </w:rPr>
        <w:br w:type="textWrapping"/>
      </w:r>
      <w:r>
        <w:rPr>
          <w:spacing w:val="-4"/>
          <w:sz w:val="22"/>
          <w:szCs w:val="22"/>
        </w:rPr>
        <w:t xml:space="preserve">Page </w:t>
      </w:r>
      <w:r>
        <w:rPr>
          <w:i/>
          <w:iCs/>
          <w:spacing w:val="-6"/>
          <w:sz w:val="22"/>
          <w:szCs w:val="22"/>
        </w:rPr>
        <w:t xml:space="preserve">[insert page number] </w:t>
      </w:r>
      <w:r>
        <w:rPr>
          <w:spacing w:val="-4"/>
          <w:sz w:val="22"/>
          <w:szCs w:val="22"/>
        </w:rPr>
        <w:t xml:space="preserve">of </w:t>
      </w:r>
      <w:r>
        <w:rPr>
          <w:i/>
          <w:iCs/>
          <w:spacing w:val="-6"/>
          <w:sz w:val="22"/>
          <w:szCs w:val="22"/>
        </w:rPr>
        <w:t xml:space="preserve">[insert total number] </w:t>
      </w:r>
      <w:r>
        <w:rPr>
          <w:spacing w:val="-4"/>
          <w:sz w:val="22"/>
          <w:szCs w:val="22"/>
        </w:rPr>
        <w:t>pages</w:t>
      </w:r>
    </w:p>
    <w:p w14:paraId="7910DB8B">
      <w:pPr>
        <w:rPr>
          <w:i/>
          <w:color w:val="000000" w:themeColor="text1"/>
          <w14:textFill>
            <w14:solidFill>
              <w14:schemeClr w14:val="tx1"/>
            </w14:solidFill>
          </w14:textFill>
        </w:rPr>
      </w:pPr>
    </w:p>
    <w:tbl>
      <w:tblPr>
        <w:tblStyle w:val="12"/>
        <w:tblW w:w="9389" w:type="dxa"/>
        <w:tblInd w:w="3" w:type="dxa"/>
        <w:tblLayout w:type="fixed"/>
        <w:tblCellMar>
          <w:top w:w="0" w:type="dxa"/>
          <w:left w:w="0" w:type="dxa"/>
          <w:bottom w:w="0" w:type="dxa"/>
          <w:right w:w="0" w:type="dxa"/>
        </w:tblCellMar>
      </w:tblPr>
      <w:tblGrid>
        <w:gridCol w:w="9389"/>
      </w:tblGrid>
      <w:tr w14:paraId="108282DA">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16C36400">
            <w:pPr>
              <w:spacing w:before="120" w:after="120"/>
              <w:jc w:val="center"/>
              <w:rPr>
                <w:b/>
                <w:spacing w:val="-4"/>
                <w:sz w:val="22"/>
                <w:szCs w:val="22"/>
              </w:rPr>
            </w:pPr>
            <w:r>
              <w:rPr>
                <w:b/>
                <w:spacing w:val="-4"/>
                <w:sz w:val="22"/>
                <w:szCs w:val="22"/>
              </w:rPr>
              <w:t xml:space="preserve">SEA and/or SH Declaration </w:t>
            </w:r>
          </w:p>
          <w:p w14:paraId="60E01B41">
            <w:pPr>
              <w:spacing w:before="120" w:after="120"/>
              <w:jc w:val="center"/>
              <w:rPr>
                <w:spacing w:val="-4"/>
                <w:sz w:val="22"/>
                <w:szCs w:val="22"/>
              </w:rPr>
            </w:pPr>
          </w:p>
        </w:tc>
      </w:tr>
      <w:tr w14:paraId="607562C7">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79E2B0CB">
            <w:pPr>
              <w:spacing w:before="120" w:after="120"/>
              <w:ind w:left="892" w:hanging="826"/>
              <w:rPr>
                <w:spacing w:val="-4"/>
                <w:sz w:val="22"/>
                <w:szCs w:val="22"/>
              </w:rPr>
            </w:pPr>
            <w:r>
              <w:rPr>
                <w:spacing w:val="-4"/>
                <w:sz w:val="22"/>
                <w:szCs w:val="22"/>
              </w:rPr>
              <w:t>We:</w:t>
            </w:r>
          </w:p>
          <w:p w14:paraId="08A56684">
            <w:pPr>
              <w:spacing w:before="120" w:after="120"/>
              <w:ind w:left="621" w:right="128" w:hanging="540"/>
              <w:rPr>
                <w:rFonts w:eastAsia="MS Mincho"/>
                <w:spacing w:val="-2"/>
                <w:sz w:val="22"/>
              </w:rPr>
            </w:pPr>
            <w:r>
              <w:rPr>
                <w:rFonts w:eastAsia="MS Mincho"/>
                <w:spacing w:val="-2"/>
                <w:sz w:val="22"/>
                <w:szCs w:val="22"/>
              </w:rPr>
              <w:sym w:font="Wingdings" w:char="F0A8"/>
            </w:r>
            <w:r>
              <w:rPr>
                <w:rFonts w:eastAsia="MS Mincho"/>
                <w:spacing w:val="-2"/>
                <w:sz w:val="22"/>
                <w:szCs w:val="22"/>
              </w:rPr>
              <w:t xml:space="preserve">  (a) have not been subject to disqualification by the Bank for non-compliance with SEA/ SH obligations.</w:t>
            </w:r>
          </w:p>
          <w:p w14:paraId="4C5A98B7">
            <w:pPr>
              <w:spacing w:before="120" w:after="120"/>
              <w:ind w:left="81" w:right="128" w:hanging="15"/>
              <w:rPr>
                <w:spacing w:val="-6"/>
                <w:sz w:val="22"/>
                <w:szCs w:val="22"/>
              </w:rPr>
            </w:pPr>
            <w:r>
              <w:rPr>
                <w:rFonts w:eastAsia="MS Mincho"/>
                <w:spacing w:val="-2"/>
                <w:sz w:val="22"/>
                <w:szCs w:val="22"/>
              </w:rPr>
              <w:sym w:font="Wingdings" w:char="F0A8"/>
            </w:r>
            <w:r>
              <w:rPr>
                <w:rFonts w:eastAsia="MS Mincho"/>
                <w:spacing w:val="-2"/>
                <w:sz w:val="22"/>
                <w:szCs w:val="22"/>
              </w:rPr>
              <w:t xml:space="preserve">  (b) are subject to disqualification by the Bank for non-compliance with SEA/ SH obligations.</w:t>
            </w:r>
          </w:p>
          <w:p w14:paraId="4AA17840">
            <w:pPr>
              <w:spacing w:before="120" w:after="120"/>
              <w:ind w:left="621" w:right="128" w:hanging="540"/>
              <w:rPr>
                <w:color w:val="000000" w:themeColor="text1"/>
                <w:sz w:val="22"/>
                <w:szCs w:val="22"/>
                <w14:textFill>
                  <w14:solidFill>
                    <w14:schemeClr w14:val="tx1"/>
                  </w14:solidFill>
                </w14:textFill>
              </w:rPr>
            </w:pPr>
            <w:r>
              <w:rPr>
                <w:rFonts w:eastAsia="MS Mincho"/>
                <w:spacing w:val="-2"/>
                <w:sz w:val="22"/>
                <w:szCs w:val="22"/>
              </w:rPr>
              <w:sym w:font="Wingdings" w:char="F0A8"/>
            </w:r>
            <w:r>
              <w:rPr>
                <w:rFonts w:eastAsia="MS Mincho"/>
                <w:spacing w:val="-2"/>
                <w:sz w:val="22"/>
                <w:szCs w:val="22"/>
              </w:rPr>
              <w:t xml:space="preserve">  (c) had been subject to disqualification by the Bank for non-compliance with SEA/ SH obligations</w:t>
            </w:r>
            <w:r>
              <w:rPr>
                <w:rFonts w:eastAsia="MS Mincho"/>
                <w:spacing w:val="-2"/>
                <w:sz w:val="22"/>
              </w:rPr>
              <w:t xml:space="preserve">. </w:t>
            </w:r>
            <w:r>
              <w:rPr>
                <w:color w:val="000000" w:themeColor="text1"/>
                <w:sz w:val="22"/>
                <w:szCs w:val="22"/>
                <w14:textFill>
                  <w14:solidFill>
                    <w14:schemeClr w14:val="tx1"/>
                  </w14:solidFill>
                </w14:textFill>
              </w:rPr>
              <w:t xml:space="preserve">An arbitral award on the disqualification case has been made in our favor. </w:t>
            </w:r>
          </w:p>
          <w:p w14:paraId="2F8F0BF0">
            <w:pPr>
              <w:spacing w:before="120" w:after="120"/>
              <w:ind w:left="621" w:right="128" w:hanging="540"/>
              <w:rPr>
                <w:color w:val="000000" w:themeColor="text1"/>
                <w:sz w:val="22"/>
                <w:szCs w:val="22"/>
                <w14:textFill>
                  <w14:solidFill>
                    <w14:schemeClr w14:val="tx1"/>
                  </w14:solidFill>
                </w14:textFill>
              </w:rPr>
            </w:pPr>
            <w:r>
              <w:rPr>
                <w:rFonts w:eastAsia="MS Mincho"/>
                <w:spacing w:val="-2"/>
                <w:sz w:val="22"/>
                <w:szCs w:val="22"/>
              </w:rPr>
              <w:sym w:font="Wingdings" w:char="F0A8"/>
            </w:r>
            <w:r>
              <w:rPr>
                <w:rFonts w:eastAsia="MS Mincho"/>
                <w:spacing w:val="-2"/>
                <w:sz w:val="22"/>
                <w:szCs w:val="22"/>
              </w:rPr>
              <w:t xml:space="preserve">  (d)</w:t>
            </w:r>
            <w:r>
              <w:rPr>
                <w:spacing w:val="-4"/>
                <w:sz w:val="22"/>
                <w:szCs w:val="22"/>
              </w:rPr>
              <w:tab/>
            </w:r>
            <w:r>
              <w:rPr>
                <w:color w:val="000000" w:themeColor="text1"/>
                <w:sz w:val="22"/>
                <w:szCs w:val="22"/>
                <w14:textFill>
                  <w14:solidFill>
                    <w14:schemeClr w14:val="tx1"/>
                  </w14:solidFill>
                </w14:textFill>
              </w:rPr>
              <w:t xml:space="preserve">had been subject to disqualification by the Bank for non-compliance with SEA/ SH obligations </w:t>
            </w:r>
            <w:r>
              <w:rPr>
                <w:sz w:val="22"/>
                <w:szCs w:val="22"/>
              </w:rPr>
              <w:t>for a period of two years.</w:t>
            </w:r>
            <w:r>
              <w:rPr>
                <w:sz w:val="22"/>
              </w:rPr>
              <w:t xml:space="preserve"> </w:t>
            </w:r>
            <w:r>
              <w:rPr>
                <w:color w:val="000000" w:themeColor="text1"/>
                <w:sz w:val="22"/>
                <w:szCs w:val="22"/>
                <w14:textFill>
                  <w14:solidFill>
                    <w14:schemeClr w14:val="tx1"/>
                  </w14:solidFill>
                </w14:textFill>
              </w:rPr>
              <w:t xml:space="preserve">We have subsequently demonstrated that we have adequate capacity and commitment to comply with SEA /SH obligations. </w:t>
            </w:r>
          </w:p>
          <w:p w14:paraId="1DC9C41E">
            <w:pPr>
              <w:tabs>
                <w:tab w:val="right" w:pos="9000"/>
              </w:tabs>
              <w:spacing w:before="120" w:after="120"/>
              <w:ind w:left="712" w:hanging="646"/>
              <w:rPr>
                <w:spacing w:val="-4"/>
                <w:sz w:val="22"/>
                <w:szCs w:val="22"/>
              </w:rPr>
            </w:pPr>
            <w:r>
              <w:rPr>
                <w:rFonts w:eastAsia="MS Mincho"/>
                <w:spacing w:val="-2"/>
                <w:sz w:val="22"/>
                <w:szCs w:val="22"/>
              </w:rPr>
              <w:sym w:font="Wingdings" w:char="F0A8"/>
            </w:r>
            <w:r>
              <w:rPr>
                <w:color w:val="000000" w:themeColor="text1"/>
                <w:sz w:val="22"/>
                <w:szCs w:val="22"/>
                <w14:textFill>
                  <w14:solidFill>
                    <w14:schemeClr w14:val="tx1"/>
                  </w14:solidFill>
                </w14:textFill>
              </w:rPr>
              <w:t xml:space="preserve">  </w:t>
            </w:r>
            <w:r>
              <w:rPr>
                <w:rFonts w:eastAsia="MS Mincho"/>
                <w:spacing w:val="-2"/>
                <w:sz w:val="22"/>
                <w:szCs w:val="22"/>
              </w:rPr>
              <w:t xml:space="preserve">(e) </w:t>
            </w:r>
            <w:r>
              <w:rPr>
                <w:color w:val="000000" w:themeColor="text1"/>
                <w:sz w:val="22"/>
                <w:szCs w:val="22"/>
                <w14:textFill>
                  <w14:solidFill>
                    <w14:schemeClr w14:val="tx1"/>
                  </w14:solidFill>
                </w14:textFill>
              </w:rPr>
              <w:t xml:space="preserve">had been subject to disqualification by the Bank for non-compliance with SEA/ SH obligations </w:t>
            </w:r>
            <w:r>
              <w:rPr>
                <w:sz w:val="22"/>
                <w:szCs w:val="22"/>
              </w:rPr>
              <w:t>for a</w:t>
            </w:r>
            <w:r>
              <w:rPr>
                <w:sz w:val="22"/>
              </w:rPr>
              <w:t xml:space="preserve"> period</w:t>
            </w:r>
            <w:r>
              <w:rPr>
                <w:sz w:val="22"/>
                <w:szCs w:val="22"/>
              </w:rPr>
              <w:t xml:space="preserve"> of two years</w:t>
            </w:r>
            <w:r>
              <w:rPr>
                <w:color w:val="000000" w:themeColor="text1"/>
                <w:sz w:val="22"/>
                <w:szCs w:val="22"/>
                <w14:textFill>
                  <w14:solidFill>
                    <w14:schemeClr w14:val="tx1"/>
                  </w14:solidFill>
                </w14:textFill>
              </w:rPr>
              <w:t xml:space="preserve">. We have attached specific evidence demonstrating that we have adequate capacity and commitment to comply with SEA and SH obligations. </w:t>
            </w:r>
          </w:p>
        </w:tc>
      </w:tr>
      <w:tr w14:paraId="5302F37F">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125B48C2">
            <w:pPr>
              <w:spacing w:before="120" w:after="120"/>
              <w:ind w:left="82"/>
              <w:rPr>
                <w:b/>
                <w:bCs/>
                <w:sz w:val="22"/>
                <w:szCs w:val="22"/>
              </w:rPr>
            </w:pPr>
            <w:r>
              <w:rPr>
                <w:b/>
                <w:bCs/>
                <w:color w:val="000000" w:themeColor="text1"/>
                <w:sz w:val="22"/>
                <w:szCs w:val="22"/>
                <w14:textFill>
                  <w14:solidFill>
                    <w14:schemeClr w14:val="tx1"/>
                  </w14:solidFill>
                </w14:textFill>
              </w:rPr>
              <w:t>[</w:t>
            </w:r>
            <w:r>
              <w:rPr>
                <w:b/>
                <w:bCs/>
                <w:i/>
                <w:iCs/>
                <w:sz w:val="22"/>
                <w:szCs w:val="22"/>
              </w:rPr>
              <w:t>If (c) above is applicable</w:t>
            </w:r>
            <w:r>
              <w:rPr>
                <w:b/>
                <w:bCs/>
                <w:sz w:val="22"/>
                <w:szCs w:val="22"/>
              </w:rPr>
              <w:t xml:space="preserve">, </w:t>
            </w:r>
            <w:r>
              <w:rPr>
                <w:b/>
                <w:bCs/>
                <w:i/>
                <w:iCs/>
                <w:sz w:val="22"/>
                <w:szCs w:val="22"/>
              </w:rPr>
              <w:t>attach evidence of an arbitral award reversing the findings on the issues underlying the disqualification.]</w:t>
            </w:r>
          </w:p>
        </w:tc>
      </w:tr>
      <w:tr w14:paraId="5A35215C">
        <w:tblPrEx>
          <w:tblCellMar>
            <w:top w:w="0" w:type="dxa"/>
            <w:left w:w="0" w:type="dxa"/>
            <w:bottom w:w="0" w:type="dxa"/>
            <w:right w:w="0" w:type="dxa"/>
          </w:tblCellMar>
        </w:tblPrEx>
        <w:tc>
          <w:tcPr>
            <w:tcW w:w="9389" w:type="dxa"/>
            <w:tcBorders>
              <w:top w:val="single" w:color="auto" w:sz="2" w:space="0"/>
              <w:left w:val="single" w:color="auto" w:sz="2" w:space="0"/>
              <w:bottom w:val="single" w:color="auto" w:sz="2" w:space="0"/>
              <w:right w:val="single" w:color="auto" w:sz="2" w:space="0"/>
            </w:tcBorders>
          </w:tcPr>
          <w:p w14:paraId="334431BE">
            <w:pPr>
              <w:spacing w:before="120" w:after="120"/>
              <w:jc w:val="center"/>
              <w:rPr>
                <w:sz w:val="22"/>
                <w:szCs w:val="22"/>
              </w:rPr>
            </w:pPr>
            <w:r>
              <w:rPr>
                <w:b/>
                <w:i/>
                <w:iCs/>
                <w:sz w:val="22"/>
                <w:szCs w:val="22"/>
              </w:rPr>
              <w:t>[If (d) or ( e) above are applicable, provide the following information:]</w:t>
            </w:r>
          </w:p>
        </w:tc>
      </w:tr>
      <w:tr w14:paraId="16740036">
        <w:tblPrEx>
          <w:tblCellMar>
            <w:top w:w="0" w:type="dxa"/>
            <w:left w:w="0" w:type="dxa"/>
            <w:bottom w:w="0" w:type="dxa"/>
            <w:right w:w="0" w:type="dxa"/>
          </w:tblCellMar>
        </w:tblPrEx>
        <w:trPr>
          <w:trHeight w:val="643" w:hRule="atLeast"/>
        </w:trPr>
        <w:tc>
          <w:tcPr>
            <w:tcW w:w="9389" w:type="dxa"/>
            <w:tcBorders>
              <w:top w:val="single" w:color="auto" w:sz="2" w:space="0"/>
              <w:left w:val="single" w:color="auto" w:sz="2" w:space="0"/>
              <w:bottom w:val="single" w:color="auto" w:sz="2" w:space="0"/>
              <w:right w:val="single" w:color="auto" w:sz="2" w:space="0"/>
            </w:tcBorders>
          </w:tcPr>
          <w:p w14:paraId="434DB05F">
            <w:pPr>
              <w:spacing w:before="120" w:after="120"/>
              <w:ind w:left="82"/>
              <w:rPr>
                <w:sz w:val="22"/>
                <w:szCs w:val="22"/>
              </w:rPr>
            </w:pPr>
            <w:r>
              <w:rPr>
                <w:sz w:val="22"/>
                <w:szCs w:val="22"/>
              </w:rPr>
              <w:t>Period of disqualification: From: _______________ To: ________________</w:t>
            </w:r>
          </w:p>
        </w:tc>
      </w:tr>
      <w:tr w14:paraId="1DE26FFF">
        <w:tblPrEx>
          <w:tblCellMar>
            <w:top w:w="0" w:type="dxa"/>
            <w:left w:w="0" w:type="dxa"/>
            <w:bottom w:w="0" w:type="dxa"/>
            <w:right w:w="0" w:type="dxa"/>
          </w:tblCellMar>
        </w:tblPrEx>
        <w:trPr>
          <w:trHeight w:val="535" w:hRule="atLeast"/>
        </w:trPr>
        <w:tc>
          <w:tcPr>
            <w:tcW w:w="9389" w:type="dxa"/>
            <w:tcBorders>
              <w:top w:val="single" w:color="auto" w:sz="2" w:space="0"/>
              <w:left w:val="single" w:color="auto" w:sz="2" w:space="0"/>
              <w:bottom w:val="single" w:color="auto" w:sz="2" w:space="0"/>
              <w:right w:val="single" w:color="auto" w:sz="2" w:space="0"/>
            </w:tcBorders>
          </w:tcPr>
          <w:p w14:paraId="7B38C6F8">
            <w:pPr>
              <w:spacing w:before="120" w:after="120"/>
              <w:ind w:left="82"/>
              <w:rPr>
                <w:sz w:val="22"/>
                <w:szCs w:val="22"/>
              </w:rPr>
            </w:pPr>
            <w:r>
              <w:rPr>
                <w:sz w:val="22"/>
                <w:szCs w:val="22"/>
              </w:rPr>
              <w:t xml:space="preserve">If previously provided on another Bank financed works contract, details of evidence </w:t>
            </w:r>
            <w:r>
              <w:rPr>
                <w:color w:val="000000" w:themeColor="text1"/>
                <w:sz w:val="22"/>
                <w:szCs w:val="22"/>
                <w14:textFill>
                  <w14:solidFill>
                    <w14:schemeClr w14:val="tx1"/>
                  </w14:solidFill>
                </w14:textFill>
              </w:rPr>
              <w:t>that demonstrated adequate capacity and commitment to comply with SEA/</w:t>
            </w:r>
            <w:r>
              <w:rPr>
                <w:sz w:val="22"/>
                <w:szCs w:val="22"/>
              </w:rPr>
              <w:t>SH obligations (</w:t>
            </w:r>
            <w:r>
              <w:rPr>
                <w:b/>
                <w:sz w:val="22"/>
                <w:szCs w:val="22"/>
              </w:rPr>
              <w:t>as per (d) above)</w:t>
            </w:r>
          </w:p>
          <w:p w14:paraId="4C361081">
            <w:pPr>
              <w:spacing w:before="120" w:after="120"/>
              <w:ind w:left="720"/>
              <w:rPr>
                <w:sz w:val="22"/>
                <w:szCs w:val="22"/>
              </w:rPr>
            </w:pPr>
            <w:r>
              <w:rPr>
                <w:sz w:val="22"/>
                <w:szCs w:val="22"/>
              </w:rPr>
              <w:t>Name of Employer: ___________________________________________</w:t>
            </w:r>
          </w:p>
          <w:p w14:paraId="5123FACE">
            <w:pPr>
              <w:spacing w:before="120" w:after="120"/>
              <w:ind w:left="720"/>
              <w:rPr>
                <w:sz w:val="22"/>
                <w:szCs w:val="22"/>
              </w:rPr>
            </w:pPr>
            <w:r>
              <w:rPr>
                <w:sz w:val="22"/>
                <w:szCs w:val="22"/>
              </w:rPr>
              <w:t>Name of Project: _____________________________________</w:t>
            </w:r>
          </w:p>
          <w:p w14:paraId="6C5997C9">
            <w:pPr>
              <w:spacing w:before="120" w:after="120"/>
              <w:ind w:left="720"/>
              <w:rPr>
                <w:sz w:val="22"/>
                <w:szCs w:val="22"/>
              </w:rPr>
            </w:pPr>
            <w:r>
              <w:rPr>
                <w:sz w:val="22"/>
                <w:szCs w:val="22"/>
              </w:rPr>
              <w:t xml:space="preserve">Contract description: _____________________________________________________ </w:t>
            </w:r>
          </w:p>
          <w:p w14:paraId="4420E9E3">
            <w:pPr>
              <w:spacing w:before="120" w:after="120"/>
              <w:ind w:left="720"/>
              <w:rPr>
                <w:sz w:val="22"/>
                <w:szCs w:val="22"/>
              </w:rPr>
            </w:pPr>
            <w:r>
              <w:rPr>
                <w:sz w:val="22"/>
                <w:szCs w:val="22"/>
              </w:rPr>
              <w:t>Brief summary of evidence provided: ________________________________________</w:t>
            </w:r>
          </w:p>
          <w:p w14:paraId="3DB98AA6">
            <w:pPr>
              <w:spacing w:before="120" w:after="120"/>
              <w:ind w:left="720"/>
              <w:rPr>
                <w:sz w:val="22"/>
                <w:szCs w:val="22"/>
              </w:rPr>
            </w:pPr>
            <w:r>
              <w:rPr>
                <w:sz w:val="22"/>
                <w:szCs w:val="22"/>
              </w:rPr>
              <w:t>______________________________________________________________________</w:t>
            </w:r>
          </w:p>
          <w:p w14:paraId="1208CC56">
            <w:pPr>
              <w:spacing w:before="120" w:after="120"/>
              <w:ind w:left="720"/>
              <w:rPr>
                <w:sz w:val="22"/>
                <w:szCs w:val="22"/>
              </w:rPr>
            </w:pPr>
            <w:r>
              <w:rPr>
                <w:sz w:val="22"/>
                <w:szCs w:val="22"/>
              </w:rPr>
              <w:t>Contact Information: (Tel, email, name of contact person): _______________________</w:t>
            </w:r>
          </w:p>
          <w:p w14:paraId="7693C466">
            <w:pPr>
              <w:spacing w:before="120" w:after="120"/>
              <w:ind w:left="720"/>
              <w:rPr>
                <w:sz w:val="22"/>
              </w:rPr>
            </w:pPr>
            <w:r>
              <w:rPr>
                <w:sz w:val="22"/>
                <w:szCs w:val="22"/>
              </w:rPr>
              <w:t>______________________________________________________________________</w:t>
            </w:r>
          </w:p>
        </w:tc>
      </w:tr>
      <w:tr w14:paraId="42E70676">
        <w:tblPrEx>
          <w:tblCellMar>
            <w:top w:w="0" w:type="dxa"/>
            <w:left w:w="0" w:type="dxa"/>
            <w:bottom w:w="0" w:type="dxa"/>
            <w:right w:w="0" w:type="dxa"/>
          </w:tblCellMar>
        </w:tblPrEx>
        <w:trPr>
          <w:trHeight w:val="535" w:hRule="atLeast"/>
        </w:trPr>
        <w:tc>
          <w:tcPr>
            <w:tcW w:w="9389" w:type="dxa"/>
            <w:tcBorders>
              <w:top w:val="single" w:color="auto" w:sz="2" w:space="0"/>
              <w:left w:val="single" w:color="auto" w:sz="2" w:space="0"/>
              <w:bottom w:val="single" w:color="auto" w:sz="2" w:space="0"/>
              <w:right w:val="single" w:color="auto" w:sz="2" w:space="0"/>
            </w:tcBorders>
          </w:tcPr>
          <w:p w14:paraId="12EF55B1">
            <w:pPr>
              <w:spacing w:before="120" w:after="120"/>
              <w:ind w:left="82"/>
              <w:rPr>
                <w:sz w:val="22"/>
                <w:szCs w:val="22"/>
              </w:rPr>
            </w:pPr>
            <w:r>
              <w:rPr>
                <w:sz w:val="22"/>
                <w:szCs w:val="22"/>
              </w:rPr>
              <w:t xml:space="preserve">As an alternative to the evidence under (d), other evidence </w:t>
            </w:r>
            <w:r>
              <w:rPr>
                <w:color w:val="000000" w:themeColor="text1"/>
                <w:sz w:val="22"/>
                <w:szCs w:val="22"/>
                <w14:textFill>
                  <w14:solidFill>
                    <w14:schemeClr w14:val="tx1"/>
                  </w14:solidFill>
                </w14:textFill>
              </w:rPr>
              <w:t>demonstrating adequate capacity and commitment to comply with SEA/SH obligations (</w:t>
            </w:r>
            <w:r>
              <w:rPr>
                <w:b/>
                <w:sz w:val="22"/>
                <w:szCs w:val="22"/>
              </w:rPr>
              <w:t>as per (e) above) )</w:t>
            </w:r>
            <w:r>
              <w:rPr>
                <w:i/>
                <w:sz w:val="22"/>
                <w:szCs w:val="22"/>
              </w:rPr>
              <w:t xml:space="preserve"> [attach details as appropriate].</w:t>
            </w:r>
          </w:p>
          <w:p w14:paraId="02B728CB">
            <w:pPr>
              <w:spacing w:before="120" w:after="120"/>
              <w:rPr>
                <w:sz w:val="22"/>
                <w:szCs w:val="22"/>
              </w:rPr>
            </w:pPr>
          </w:p>
          <w:p w14:paraId="47A49DC8">
            <w:pPr>
              <w:spacing w:before="120" w:after="120"/>
              <w:rPr>
                <w:sz w:val="22"/>
                <w:szCs w:val="22"/>
              </w:rPr>
            </w:pPr>
            <w:r>
              <w:rPr>
                <w:sz w:val="22"/>
                <w:szCs w:val="22"/>
              </w:rPr>
              <w:t>___________________________________________________________________________</w:t>
            </w:r>
          </w:p>
          <w:p w14:paraId="1145D7AE">
            <w:pPr>
              <w:spacing w:before="120" w:after="120"/>
              <w:rPr>
                <w:sz w:val="22"/>
                <w:szCs w:val="22"/>
              </w:rPr>
            </w:pPr>
            <w:r>
              <w:rPr>
                <w:sz w:val="22"/>
                <w:szCs w:val="22"/>
              </w:rPr>
              <w:t>____________________________________________________________________________</w:t>
            </w:r>
          </w:p>
          <w:p w14:paraId="3F6FE668">
            <w:pPr>
              <w:spacing w:before="120" w:after="120"/>
              <w:rPr>
                <w:sz w:val="22"/>
                <w:szCs w:val="22"/>
              </w:rPr>
            </w:pPr>
          </w:p>
        </w:tc>
      </w:tr>
    </w:tbl>
    <w:p w14:paraId="33EFBF2D">
      <w:pPr>
        <w:rPr>
          <w:i/>
          <w:color w:val="000000" w:themeColor="text1"/>
          <w14:textFill>
            <w14:solidFill>
              <w14:schemeClr w14:val="tx1"/>
            </w14:solidFill>
          </w14:textFill>
        </w:rPr>
      </w:pPr>
    </w:p>
    <w:p w14:paraId="0F85E0D1">
      <w:pPr>
        <w:tabs>
          <w:tab w:val="left" w:pos="6120"/>
        </w:tabs>
        <w:spacing w:before="240" w:after="120"/>
        <w:rPr>
          <w:iCs/>
          <w:color w:val="000000" w:themeColor="text1"/>
          <w14:textFill>
            <w14:solidFill>
              <w14:schemeClr w14:val="tx1"/>
            </w14:solidFill>
          </w14:textFill>
        </w:rPr>
      </w:pPr>
      <w:r>
        <w:rPr>
          <w:iCs/>
          <w:color w:val="000000" w:themeColor="text1"/>
          <w14:textFill>
            <w14:solidFill>
              <w14:schemeClr w14:val="tx1"/>
            </w14:solidFill>
          </w14:textFill>
        </w:rPr>
        <w:t>Name of the Subcontractor</w:t>
      </w:r>
      <w:r>
        <w:rPr>
          <w:iCs/>
          <w:color w:val="000000" w:themeColor="text1"/>
          <w:u w:val="single"/>
          <w14:textFill>
            <w14:solidFill>
              <w14:schemeClr w14:val="tx1"/>
            </w14:solidFill>
          </w14:textFill>
        </w:rPr>
        <w:tab/>
      </w:r>
    </w:p>
    <w:p w14:paraId="1E0E5FA2">
      <w:pPr>
        <w:tabs>
          <w:tab w:val="left" w:pos="6120"/>
        </w:tabs>
        <w:spacing w:before="240" w:after="120"/>
        <w:rPr>
          <w:iCs/>
          <w:color w:val="000000" w:themeColor="text1"/>
          <w:u w:val="single"/>
          <w14:textFill>
            <w14:solidFill>
              <w14:schemeClr w14:val="tx1"/>
            </w14:solidFill>
          </w14:textFill>
        </w:rPr>
      </w:pPr>
      <w:r>
        <w:rPr>
          <w:iCs/>
          <w:color w:val="000000" w:themeColor="text1"/>
          <w14:textFill>
            <w14:solidFill>
              <w14:schemeClr w14:val="tx1"/>
            </w14:solidFill>
          </w14:textFill>
        </w:rPr>
        <w:t>Name of the person duly authorized to sign on behalf of the Subcontractor</w:t>
      </w:r>
      <w:r>
        <w:rPr>
          <w:iCs/>
          <w:color w:val="000000" w:themeColor="text1"/>
          <w:u w:val="single"/>
          <w14:textFill>
            <w14:solidFill>
              <w14:schemeClr w14:val="tx1"/>
            </w14:solidFill>
          </w14:textFill>
        </w:rPr>
        <w:tab/>
      </w:r>
      <w:r>
        <w:rPr>
          <w:iCs/>
          <w:color w:val="000000" w:themeColor="text1"/>
          <w:u w:val="single"/>
          <w14:textFill>
            <w14:solidFill>
              <w14:schemeClr w14:val="tx1"/>
            </w14:solidFill>
          </w14:textFill>
        </w:rPr>
        <w:t>_______</w:t>
      </w:r>
    </w:p>
    <w:p w14:paraId="28779C0D">
      <w:pPr>
        <w:tabs>
          <w:tab w:val="left" w:pos="6120"/>
        </w:tabs>
        <w:spacing w:before="240" w:after="120"/>
        <w:rPr>
          <w:iCs/>
          <w:color w:val="000000" w:themeColor="text1"/>
          <w14:textFill>
            <w14:solidFill>
              <w14:schemeClr w14:val="tx1"/>
            </w14:solidFill>
          </w14:textFill>
        </w:rPr>
      </w:pPr>
      <w:r>
        <w:rPr>
          <w:iCs/>
          <w:color w:val="000000" w:themeColor="text1"/>
          <w14:textFill>
            <w14:solidFill>
              <w14:schemeClr w14:val="tx1"/>
            </w14:solidFill>
          </w14:textFill>
        </w:rPr>
        <w:t>Title of the person signing on behalf of the Subcontractor</w:t>
      </w:r>
      <w:r>
        <w:rPr>
          <w:iCs/>
          <w:color w:val="000000" w:themeColor="text1"/>
          <w:u w:val="single"/>
          <w14:textFill>
            <w14:solidFill>
              <w14:schemeClr w14:val="tx1"/>
            </w14:solidFill>
          </w14:textFill>
        </w:rPr>
        <w:tab/>
      </w:r>
      <w:r>
        <w:rPr>
          <w:iCs/>
          <w:color w:val="000000" w:themeColor="text1"/>
          <w:u w:val="single"/>
          <w14:textFill>
            <w14:solidFill>
              <w14:schemeClr w14:val="tx1"/>
            </w14:solidFill>
          </w14:textFill>
        </w:rPr>
        <w:t>______________________</w:t>
      </w:r>
    </w:p>
    <w:p w14:paraId="0FAA5C2B">
      <w:pPr>
        <w:tabs>
          <w:tab w:val="left" w:pos="6120"/>
        </w:tabs>
        <w:spacing w:before="240" w:after="120"/>
        <w:rPr>
          <w:iCs/>
          <w:color w:val="000000" w:themeColor="text1"/>
          <w14:textFill>
            <w14:solidFill>
              <w14:schemeClr w14:val="tx1"/>
            </w14:solidFill>
          </w14:textFill>
        </w:rPr>
      </w:pPr>
      <w:r>
        <w:rPr>
          <w:iCs/>
          <w:color w:val="000000" w:themeColor="text1"/>
          <w14:textFill>
            <w14:solidFill>
              <w14:schemeClr w14:val="tx1"/>
            </w14:solidFill>
          </w14:textFill>
        </w:rPr>
        <w:t>Signature of the person named above</w:t>
      </w:r>
      <w:r>
        <w:rPr>
          <w:iCs/>
          <w:color w:val="000000" w:themeColor="text1"/>
          <w:u w:val="single"/>
          <w14:textFill>
            <w14:solidFill>
              <w14:schemeClr w14:val="tx1"/>
            </w14:solidFill>
          </w14:textFill>
        </w:rPr>
        <w:tab/>
      </w:r>
      <w:r>
        <w:rPr>
          <w:iCs/>
          <w:color w:val="000000" w:themeColor="text1"/>
          <w:u w:val="single"/>
          <w14:textFill>
            <w14:solidFill>
              <w14:schemeClr w14:val="tx1"/>
            </w14:solidFill>
          </w14:textFill>
        </w:rPr>
        <w:t>______________________</w:t>
      </w:r>
    </w:p>
    <w:p w14:paraId="159E8F00">
      <w:pPr>
        <w:tabs>
          <w:tab w:val="left" w:pos="6120"/>
        </w:tabs>
        <w:spacing w:before="240" w:after="240"/>
        <w:rPr>
          <w:iCs/>
          <w:color w:val="000000" w:themeColor="text1"/>
          <w14:textFill>
            <w14:solidFill>
              <w14:schemeClr w14:val="tx1"/>
            </w14:solidFill>
          </w14:textFill>
        </w:rPr>
      </w:pPr>
      <w:r>
        <w:rPr>
          <w:iCs/>
          <w:color w:val="000000" w:themeColor="text1"/>
          <w14:textFill>
            <w14:solidFill>
              <w14:schemeClr w14:val="tx1"/>
            </w14:solidFill>
          </w14:textFill>
        </w:rPr>
        <w:t>Date signed ________________________________ day of ___________________, _____</w:t>
      </w:r>
    </w:p>
    <w:p w14:paraId="7EE0C15F">
      <w:pPr>
        <w:spacing w:after="120"/>
        <w:rPr>
          <w:iCs/>
          <w:color w:val="000000" w:themeColor="text1"/>
          <w14:textFill>
            <w14:solidFill>
              <w14:schemeClr w14:val="tx1"/>
            </w14:solidFill>
          </w14:textFill>
        </w:rPr>
      </w:pPr>
      <w:r>
        <w:rPr>
          <w:iCs/>
          <w:color w:val="000000" w:themeColor="text1"/>
          <w14:textFill>
            <w14:solidFill>
              <w14:schemeClr w14:val="tx1"/>
            </w14:solidFill>
          </w14:textFill>
        </w:rPr>
        <w:t>Countersignature of authorized representative of the Contractor:</w:t>
      </w:r>
    </w:p>
    <w:p w14:paraId="0F675991">
      <w:pPr>
        <w:spacing w:after="120"/>
        <w:rPr>
          <w:iCs/>
          <w:color w:val="000000" w:themeColor="text1"/>
          <w14:textFill>
            <w14:solidFill>
              <w14:schemeClr w14:val="tx1"/>
            </w14:solidFill>
          </w14:textFill>
        </w:rPr>
      </w:pPr>
      <w:r>
        <w:rPr>
          <w:iCs/>
          <w:color w:val="000000" w:themeColor="text1"/>
          <w14:textFill>
            <w14:solidFill>
              <w14:schemeClr w14:val="tx1"/>
            </w14:solidFill>
          </w14:textFill>
        </w:rPr>
        <w:t>Signature: ________________________________________________________</w:t>
      </w:r>
    </w:p>
    <w:bookmarkEnd w:id="750"/>
    <w:p w14:paraId="31086260">
      <w:pPr>
        <w:pStyle w:val="196"/>
        <w:numPr>
          <w:ilvl w:val="0"/>
          <w:numId w:val="0"/>
        </w:numPr>
        <w:ind w:left="1080" w:hanging="360"/>
        <w:rPr>
          <w:rFonts w:ascii="Times New Roman" w:hAnsi="Times New Roman"/>
        </w:rPr>
      </w:pPr>
      <w:r>
        <w:rPr>
          <w:iCs/>
          <w:color w:val="000000" w:themeColor="text1"/>
          <w14:textFill>
            <w14:solidFill>
              <w14:schemeClr w14:val="tx1"/>
            </w14:solidFill>
          </w14:textFill>
        </w:rPr>
        <w:t>Date signed ________________________________ day of ___________________, _____</w:t>
      </w:r>
      <w:bookmarkEnd w:id="751"/>
    </w:p>
    <w:p w14:paraId="48607024">
      <w:pPr>
        <w:pStyle w:val="196"/>
        <w:numPr>
          <w:ilvl w:val="0"/>
          <w:numId w:val="0"/>
        </w:numPr>
        <w:ind w:left="1080" w:hanging="360"/>
        <w:rPr>
          <w:rFonts w:ascii="Times New Roman" w:hAnsi="Times New Roman"/>
        </w:rPr>
      </w:pPr>
    </w:p>
    <w:p w14:paraId="3D6973AA">
      <w:pPr>
        <w:pStyle w:val="196"/>
        <w:numPr>
          <w:ilvl w:val="0"/>
          <w:numId w:val="0"/>
        </w:numPr>
        <w:ind w:left="1080" w:hanging="360"/>
        <w:rPr>
          <w:rFonts w:ascii="Times New Roman" w:hAnsi="Times New Roman"/>
        </w:rPr>
      </w:pPr>
    </w:p>
    <w:p w14:paraId="78D9D221">
      <w:pPr>
        <w:pStyle w:val="196"/>
        <w:numPr>
          <w:ilvl w:val="0"/>
          <w:numId w:val="0"/>
        </w:numPr>
        <w:sectPr>
          <w:headerReference r:id="rId34" w:type="first"/>
          <w:headerReference r:id="rId33" w:type="default"/>
          <w:pgSz w:w="12240" w:h="15840"/>
          <w:pgMar w:top="1440" w:right="1440" w:bottom="1440" w:left="1800" w:header="720" w:footer="720" w:gutter="0"/>
          <w:paperSrc w:first="15" w:other="15"/>
          <w:cols w:space="720" w:num="1"/>
          <w:titlePg/>
        </w:sectPr>
      </w:pPr>
    </w:p>
    <w:p w14:paraId="1E3F8F49">
      <w:pPr>
        <w:pStyle w:val="196"/>
        <w:numPr>
          <w:ilvl w:val="0"/>
          <w:numId w:val="0"/>
        </w:numPr>
        <w:ind w:left="1080"/>
      </w:pPr>
    </w:p>
    <w:p w14:paraId="07689547">
      <w:pPr>
        <w:pStyle w:val="54"/>
      </w:pPr>
      <w:bookmarkStart w:id="752" w:name="_Toc87070118"/>
      <w:bookmarkStart w:id="753" w:name="_Toc178543296"/>
      <w:r>
        <w:t xml:space="preserve">Section IX.  </w:t>
      </w:r>
      <w:r>
        <w:rPr>
          <w:iCs/>
        </w:rPr>
        <w:t xml:space="preserve">Particular </w:t>
      </w:r>
      <w:r>
        <w:t>Conditions of Contract</w:t>
      </w:r>
      <w:bookmarkEnd w:id="752"/>
      <w:bookmarkEnd w:id="753"/>
    </w:p>
    <w:p w14:paraId="52336948"/>
    <w:p w14:paraId="195ADA9B">
      <w:pPr>
        <w:jc w:val="both"/>
      </w:pPr>
      <w:r>
        <w:rPr>
          <w:i/>
        </w:rPr>
        <w:t xml:space="preserve"> </w:t>
      </w:r>
    </w:p>
    <w:p w14:paraId="4D8131EB"/>
    <w:p w14:paraId="7064D464"/>
    <w:tbl>
      <w:tblPr>
        <w:tblStyle w:val="12"/>
        <w:tblW w:w="921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604"/>
        <w:gridCol w:w="7614"/>
      </w:tblGrid>
      <w:tr w14:paraId="7756B3A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Pr>
        <w:tc>
          <w:tcPr>
            <w:tcW w:w="9218" w:type="dxa"/>
            <w:gridSpan w:val="2"/>
            <w:tcBorders>
              <w:top w:val="single" w:color="auto" w:sz="6" w:space="0"/>
              <w:left w:val="single" w:color="auto" w:sz="6" w:space="0"/>
              <w:bottom w:val="single" w:color="auto" w:sz="6" w:space="0"/>
              <w:right w:val="single" w:color="auto" w:sz="6" w:space="0"/>
            </w:tcBorders>
          </w:tcPr>
          <w:p w14:paraId="6735003B">
            <w:pPr>
              <w:tabs>
                <w:tab w:val="left" w:pos="556"/>
              </w:tabs>
              <w:spacing w:before="120" w:after="200"/>
              <w:ind w:left="562" w:right="-72" w:hanging="562"/>
              <w:jc w:val="center"/>
              <w:rPr>
                <w:b/>
                <w:sz w:val="28"/>
              </w:rPr>
            </w:pPr>
            <w:r>
              <w:rPr>
                <w:b/>
                <w:sz w:val="28"/>
              </w:rPr>
              <w:t>A. General</w:t>
            </w:r>
          </w:p>
        </w:tc>
      </w:tr>
      <w:tr w14:paraId="339F283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543797F6">
            <w:pPr>
              <w:rPr>
                <w:b/>
              </w:rPr>
            </w:pPr>
            <w:r>
              <w:rPr>
                <w:b/>
              </w:rPr>
              <w:t>GCC 1.1 (d)</w:t>
            </w:r>
          </w:p>
        </w:tc>
        <w:tc>
          <w:tcPr>
            <w:tcW w:w="7614" w:type="dxa"/>
            <w:tcBorders>
              <w:top w:val="single" w:color="auto" w:sz="6" w:space="0"/>
              <w:left w:val="single" w:color="auto" w:sz="6" w:space="0"/>
              <w:bottom w:val="single" w:color="auto" w:sz="6" w:space="0"/>
              <w:right w:val="single" w:color="auto" w:sz="6" w:space="0"/>
            </w:tcBorders>
          </w:tcPr>
          <w:p w14:paraId="73CDA77C">
            <w:pPr>
              <w:tabs>
                <w:tab w:val="left" w:pos="556"/>
              </w:tabs>
              <w:spacing w:after="200"/>
              <w:ind w:left="556" w:right="2" w:hanging="556"/>
            </w:pPr>
            <w:r>
              <w:t xml:space="preserve">The financing institution is: </w:t>
            </w:r>
            <w:r>
              <w:rPr>
                <w:b/>
              </w:rPr>
              <w:t>International Development Association (IDA</w:t>
            </w:r>
          </w:p>
        </w:tc>
      </w:tr>
      <w:tr w14:paraId="7117BFB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BD5F295">
            <w:pPr>
              <w:rPr>
                <w:b/>
              </w:rPr>
            </w:pPr>
            <w:r>
              <w:rPr>
                <w:b/>
              </w:rPr>
              <w:t>GCC 1.1 (r)</w:t>
            </w:r>
          </w:p>
        </w:tc>
        <w:tc>
          <w:tcPr>
            <w:tcW w:w="7614" w:type="dxa"/>
            <w:tcBorders>
              <w:top w:val="single" w:color="auto" w:sz="6" w:space="0"/>
              <w:left w:val="single" w:color="auto" w:sz="6" w:space="0"/>
              <w:bottom w:val="single" w:color="auto" w:sz="6" w:space="0"/>
              <w:right w:val="single" w:color="auto" w:sz="6" w:space="0"/>
            </w:tcBorders>
          </w:tcPr>
          <w:p w14:paraId="59C837F6">
            <w:pPr>
              <w:tabs>
                <w:tab w:val="left" w:pos="556"/>
              </w:tabs>
              <w:spacing w:after="200"/>
              <w:ind w:left="556" w:right="2" w:hanging="556"/>
            </w:pPr>
            <w:r>
              <w:t xml:space="preserve">The Employer is </w:t>
            </w:r>
            <w:r>
              <w:rPr>
                <w:b/>
              </w:rPr>
              <w:t>Wajir Water and Sewerage Company ltd.</w:t>
            </w:r>
          </w:p>
        </w:tc>
      </w:tr>
      <w:tr w14:paraId="5C24612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3721D5A6">
            <w:pPr>
              <w:rPr>
                <w:b/>
              </w:rPr>
            </w:pPr>
            <w:r>
              <w:rPr>
                <w:b/>
              </w:rPr>
              <w:t>GCC 1.1 (v)</w:t>
            </w:r>
          </w:p>
        </w:tc>
        <w:tc>
          <w:tcPr>
            <w:tcW w:w="7614" w:type="dxa"/>
            <w:tcBorders>
              <w:top w:val="single" w:color="auto" w:sz="6" w:space="0"/>
              <w:left w:val="single" w:color="auto" w:sz="6" w:space="0"/>
              <w:bottom w:val="single" w:color="auto" w:sz="6" w:space="0"/>
              <w:right w:val="single" w:color="auto" w:sz="6" w:space="0"/>
            </w:tcBorders>
          </w:tcPr>
          <w:p w14:paraId="2D8B623B">
            <w:pPr>
              <w:spacing w:after="200"/>
              <w:ind w:right="2"/>
              <w:rPr>
                <w:b/>
                <w:i/>
                <w:highlight w:val="none"/>
              </w:rPr>
            </w:pPr>
            <w:r>
              <w:t>The Intended Completion Date for the whole of the Works shall be:</w:t>
            </w:r>
            <w:r>
              <w:rPr>
                <w:highlight w:val="none"/>
              </w:rPr>
              <w:t xml:space="preserve"> </w:t>
            </w:r>
            <w:r>
              <w:rPr>
                <w:rFonts w:hint="default"/>
                <w:b/>
                <w:i/>
                <w:highlight w:val="none"/>
                <w:lang w:val="en-US"/>
              </w:rPr>
              <w:t>8</w:t>
            </w:r>
            <w:r>
              <w:rPr>
                <w:b/>
                <w:i/>
                <w:highlight w:val="none"/>
              </w:rPr>
              <w:t xml:space="preserve"> </w:t>
            </w:r>
          </w:p>
          <w:p w14:paraId="3E3A42E0">
            <w:pPr>
              <w:spacing w:after="200"/>
              <w:ind w:right="2"/>
              <w:rPr>
                <w:rFonts w:hint="default"/>
                <w:i/>
                <w:highlight w:val="yellow"/>
                <w:lang w:val="en-US"/>
              </w:rPr>
            </w:pPr>
            <w:r>
              <w:rPr>
                <w:b/>
                <w:i/>
                <w:highlight w:val="none"/>
              </w:rPr>
              <w:t>Months (3</w:t>
            </w:r>
            <w:r>
              <w:rPr>
                <w:rFonts w:hint="default"/>
                <w:b/>
                <w:i/>
                <w:highlight w:val="none"/>
                <w:lang w:val="en-US"/>
              </w:rPr>
              <w:t>4</w:t>
            </w:r>
            <w:r>
              <w:rPr>
                <w:b/>
                <w:i/>
                <w:highlight w:val="none"/>
              </w:rPr>
              <w:t xml:space="preserve">weeks) Construction and </w:t>
            </w:r>
            <w:r>
              <w:rPr>
                <w:rFonts w:hint="default"/>
                <w:b/>
                <w:i/>
                <w:highlight w:val="none"/>
                <w:lang w:val="en-US"/>
              </w:rPr>
              <w:t>12</w:t>
            </w:r>
            <w:r>
              <w:rPr>
                <w:b/>
                <w:i/>
                <w:highlight w:val="none"/>
              </w:rPr>
              <w:t xml:space="preserve"> Months </w:t>
            </w:r>
            <w:r>
              <w:rPr>
                <w:rFonts w:hint="default"/>
                <w:b/>
                <w:i/>
                <w:highlight w:val="none"/>
                <w:lang w:val="en-US"/>
              </w:rPr>
              <w:t xml:space="preserve">DLP </w:t>
            </w:r>
            <w:r>
              <w:rPr>
                <w:b/>
                <w:i/>
                <w:highlight w:val="none"/>
              </w:rPr>
              <w:t>(5</w:t>
            </w:r>
            <w:r>
              <w:rPr>
                <w:rFonts w:hint="default"/>
                <w:b/>
                <w:i/>
                <w:highlight w:val="none"/>
                <w:lang w:val="en-US"/>
              </w:rPr>
              <w:t>6</w:t>
            </w:r>
            <w:r>
              <w:rPr>
                <w:b/>
                <w:i/>
                <w:highlight w:val="none"/>
              </w:rPr>
              <w:t xml:space="preserve"> weeks)</w:t>
            </w:r>
            <w:r>
              <w:rPr>
                <w:rFonts w:hint="default"/>
                <w:b/>
                <w:i/>
                <w:highlight w:val="none"/>
                <w:lang w:val="en-US"/>
              </w:rPr>
              <w:t>.</w:t>
            </w:r>
          </w:p>
        </w:tc>
      </w:tr>
      <w:tr w14:paraId="603242C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AB087A2">
            <w:pPr>
              <w:rPr>
                <w:b/>
              </w:rPr>
            </w:pPr>
            <w:r>
              <w:rPr>
                <w:b/>
              </w:rPr>
              <w:t>GCC 1.1 (y)</w:t>
            </w:r>
          </w:p>
        </w:tc>
        <w:tc>
          <w:tcPr>
            <w:tcW w:w="7614" w:type="dxa"/>
            <w:tcBorders>
              <w:top w:val="single" w:color="auto" w:sz="6" w:space="0"/>
              <w:left w:val="single" w:color="auto" w:sz="6" w:space="0"/>
              <w:bottom w:val="single" w:color="auto" w:sz="6" w:space="0"/>
              <w:right w:val="single" w:color="auto" w:sz="6" w:space="0"/>
            </w:tcBorders>
          </w:tcPr>
          <w:p w14:paraId="35AFC173">
            <w:pPr>
              <w:tabs>
                <w:tab w:val="left" w:pos="556"/>
              </w:tabs>
              <w:spacing w:after="200"/>
              <w:ind w:right="2"/>
              <w:rPr>
                <w:i/>
              </w:rPr>
            </w:pPr>
            <w:r>
              <w:t xml:space="preserve">The Project Manager is </w:t>
            </w:r>
          </w:p>
          <w:p w14:paraId="329D2608">
            <w:pPr>
              <w:tabs>
                <w:tab w:val="left" w:pos="556"/>
              </w:tabs>
              <w:spacing w:after="200"/>
              <w:ind w:right="2"/>
              <w:rPr>
                <w:b/>
                <w:bCs/>
                <w:i/>
                <w:szCs w:val="20"/>
              </w:rPr>
            </w:pPr>
            <w:r>
              <w:rPr>
                <w:b/>
                <w:bCs/>
                <w:i/>
                <w:szCs w:val="20"/>
              </w:rPr>
              <w:t>The Technical Manager, Wajir Water &amp; Sewerage Co. Ltd.</w:t>
            </w:r>
          </w:p>
          <w:p w14:paraId="51C8BECC">
            <w:pPr>
              <w:tabs>
                <w:tab w:val="right" w:pos="7254"/>
              </w:tabs>
              <w:rPr>
                <w:b/>
                <w:bCs/>
                <w:szCs w:val="20"/>
                <w:lang w:val="en-GB"/>
              </w:rPr>
            </w:pPr>
            <w:r>
              <w:rPr>
                <w:szCs w:val="20"/>
                <w:lang w:val="en-GB"/>
              </w:rPr>
              <w:t xml:space="preserve">Street/Bldg.: WAJWASCO Office Block. </w:t>
            </w:r>
            <w:r>
              <w:rPr>
                <w:rFonts w:hint="default"/>
                <w:szCs w:val="20"/>
                <w:lang w:val="en-US"/>
              </w:rPr>
              <w:t>Along Wajir High School</w:t>
            </w:r>
            <w:r>
              <w:rPr>
                <w:szCs w:val="20"/>
                <w:lang w:val="en-GB"/>
              </w:rPr>
              <w:t xml:space="preserve"> Road</w:t>
            </w:r>
          </w:p>
          <w:p w14:paraId="1D4C734D">
            <w:pPr>
              <w:tabs>
                <w:tab w:val="right" w:pos="7254"/>
              </w:tabs>
              <w:rPr>
                <w:b/>
                <w:szCs w:val="20"/>
                <w:lang w:val="en-GB"/>
              </w:rPr>
            </w:pPr>
          </w:p>
          <w:p w14:paraId="18F006A0">
            <w:pPr>
              <w:spacing w:line="259" w:lineRule="auto"/>
              <w:rPr>
                <w:rFonts w:hint="default"/>
                <w:color w:val="000000"/>
                <w:szCs w:val="22"/>
                <w:lang w:val="en-US" w:bidi="en-US"/>
              </w:rPr>
            </w:pPr>
            <w:r>
              <w:rPr>
                <w:szCs w:val="20"/>
                <w:lang w:val="en-GB"/>
              </w:rPr>
              <w:t xml:space="preserve">Telephone: </w:t>
            </w:r>
            <w:r>
              <w:rPr>
                <w:color w:val="000000"/>
                <w:szCs w:val="22"/>
                <w:lang w:bidi="en-US"/>
              </w:rPr>
              <w:t>+254 7</w:t>
            </w:r>
            <w:r>
              <w:rPr>
                <w:rFonts w:hint="default"/>
                <w:color w:val="000000"/>
                <w:szCs w:val="22"/>
                <w:lang w:val="en-US" w:bidi="en-US"/>
              </w:rPr>
              <w:t>10968680</w:t>
            </w:r>
          </w:p>
          <w:p w14:paraId="4B3ADDB3">
            <w:pPr>
              <w:tabs>
                <w:tab w:val="right" w:pos="7254"/>
              </w:tabs>
              <w:rPr>
                <w:szCs w:val="20"/>
                <w:lang w:val="en-GB"/>
              </w:rPr>
            </w:pPr>
            <w:r>
              <w:rPr>
                <w:szCs w:val="20"/>
                <w:lang w:val="en-GB"/>
              </w:rPr>
              <w:t xml:space="preserve">Electronic mail address: </w:t>
            </w:r>
          </w:p>
          <w:p w14:paraId="615049F6">
            <w:pPr>
              <w:tabs>
                <w:tab w:val="left" w:pos="556"/>
              </w:tabs>
              <w:spacing w:after="200"/>
              <w:ind w:right="2"/>
            </w:pPr>
            <w:r>
              <w:fldChar w:fldCharType="begin"/>
            </w:r>
            <w:r>
              <w:instrText xml:space="preserve"> HYPERLINK "mailto:wajwasco@gmail.com" </w:instrText>
            </w:r>
            <w:r>
              <w:fldChar w:fldCharType="separate"/>
            </w:r>
            <w:r>
              <w:rPr>
                <w:color w:val="0000FF"/>
                <w:szCs w:val="22"/>
                <w:u w:val="single"/>
                <w:lang w:bidi="en-US"/>
              </w:rPr>
              <w:t>wajwasco@gmail.com</w:t>
            </w:r>
            <w:r>
              <w:rPr>
                <w:color w:val="0000FF"/>
                <w:szCs w:val="22"/>
                <w:u w:val="single"/>
                <w:lang w:bidi="en-US"/>
              </w:rPr>
              <w:fldChar w:fldCharType="end"/>
            </w:r>
          </w:p>
        </w:tc>
      </w:tr>
      <w:tr w14:paraId="341C627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0339838D">
            <w:pPr>
              <w:rPr>
                <w:b/>
              </w:rPr>
            </w:pPr>
            <w:r>
              <w:rPr>
                <w:b/>
              </w:rPr>
              <w:t>GCC 1.1 (aa)</w:t>
            </w:r>
          </w:p>
        </w:tc>
        <w:tc>
          <w:tcPr>
            <w:tcW w:w="7614" w:type="dxa"/>
            <w:tcBorders>
              <w:top w:val="single" w:color="auto" w:sz="6" w:space="0"/>
              <w:left w:val="single" w:color="auto" w:sz="6" w:space="0"/>
              <w:bottom w:val="single" w:color="auto" w:sz="6" w:space="0"/>
              <w:right w:val="single" w:color="auto" w:sz="6" w:space="0"/>
            </w:tcBorders>
          </w:tcPr>
          <w:p w14:paraId="507859DD">
            <w:pPr>
              <w:spacing w:after="200"/>
              <w:ind w:right="2"/>
            </w:pPr>
            <w:r>
              <w:t xml:space="preserve">The Site is located in: </w:t>
            </w:r>
            <w:r>
              <w:rPr>
                <w:b/>
                <w:bCs/>
              </w:rPr>
              <w:t>Wajir town in Wajir County, Kenya.</w:t>
            </w:r>
          </w:p>
        </w:tc>
      </w:tr>
      <w:tr w14:paraId="72C2037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3FFAE871">
            <w:pPr>
              <w:rPr>
                <w:b/>
              </w:rPr>
            </w:pPr>
            <w:r>
              <w:rPr>
                <w:b/>
              </w:rPr>
              <w:t>GCC 1.1 (dd)</w:t>
            </w:r>
          </w:p>
        </w:tc>
        <w:tc>
          <w:tcPr>
            <w:tcW w:w="7614" w:type="dxa"/>
            <w:tcBorders>
              <w:top w:val="single" w:color="auto" w:sz="6" w:space="0"/>
              <w:left w:val="single" w:color="auto" w:sz="6" w:space="0"/>
              <w:bottom w:val="single" w:color="auto" w:sz="6" w:space="0"/>
              <w:right w:val="single" w:color="auto" w:sz="6" w:space="0"/>
            </w:tcBorders>
          </w:tcPr>
          <w:p w14:paraId="46A2F1F9">
            <w:pPr>
              <w:pStyle w:val="176"/>
              <w:numPr>
                <w:numId w:val="0"/>
              </w:numPr>
              <w:spacing w:after="200"/>
              <w:ind w:right="-72" w:rightChars="0"/>
              <w:rPr>
                <w:highlight w:val="none"/>
              </w:rPr>
            </w:pPr>
            <w:r>
              <w:t>The Start Date shall be:</w:t>
            </w:r>
            <w:r>
              <w:rPr>
                <w:b/>
                <w:bCs/>
              </w:rPr>
              <w:t xml:space="preserve"> </w:t>
            </w:r>
            <w:r>
              <w:rPr>
                <w:b/>
                <w:bCs/>
                <w:sz w:val="24"/>
                <w:szCs w:val="24"/>
                <w:highlight w:val="none"/>
                <w:lang w:val="en-GB"/>
              </w:rPr>
              <w:t>Seven (7) Days</w:t>
            </w:r>
            <w:r>
              <w:rPr>
                <w:sz w:val="24"/>
                <w:szCs w:val="24"/>
                <w:highlight w:val="none"/>
                <w:lang w:val="en-GB"/>
              </w:rPr>
              <w:t xml:space="preserve"> after Date of Contract signing</w:t>
            </w:r>
          </w:p>
          <w:p w14:paraId="075F5840">
            <w:pPr>
              <w:tabs>
                <w:tab w:val="left" w:pos="556"/>
              </w:tabs>
              <w:spacing w:after="200"/>
              <w:ind w:right="2"/>
            </w:pPr>
          </w:p>
        </w:tc>
      </w:tr>
      <w:tr w14:paraId="2B9F988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180B183D">
            <w:pPr>
              <w:rPr>
                <w:b/>
              </w:rPr>
            </w:pPr>
            <w:r>
              <w:rPr>
                <w:b/>
              </w:rPr>
              <w:t>GCC 1.1 (hh)</w:t>
            </w:r>
          </w:p>
        </w:tc>
        <w:tc>
          <w:tcPr>
            <w:tcW w:w="7614" w:type="dxa"/>
            <w:tcBorders>
              <w:top w:val="single" w:color="auto" w:sz="6" w:space="0"/>
              <w:left w:val="single" w:color="auto" w:sz="6" w:space="0"/>
              <w:bottom w:val="single" w:color="auto" w:sz="6" w:space="0"/>
              <w:right w:val="single" w:color="auto" w:sz="6" w:space="0"/>
            </w:tcBorders>
          </w:tcPr>
          <w:p w14:paraId="4468F121">
            <w:pPr>
              <w:spacing w:after="200"/>
              <w:ind w:right="2"/>
            </w:pPr>
            <w:r>
              <w:t>The Works consist of;</w:t>
            </w:r>
          </w:p>
          <w:p w14:paraId="1104B777">
            <w:pPr>
              <w:spacing w:after="200"/>
              <w:ind w:right="2"/>
              <w:rPr>
                <w:lang w:val="en-GB"/>
              </w:rPr>
            </w:pPr>
            <w:r>
              <w:rPr>
                <w:lang w:val="en-GB"/>
              </w:rPr>
              <w:t>Construction of.</w:t>
            </w:r>
          </w:p>
          <w:p w14:paraId="28068185">
            <w:pPr>
              <w:numPr>
                <w:ilvl w:val="3"/>
                <w:numId w:val="92"/>
              </w:numPr>
              <w:spacing w:after="200"/>
              <w:ind w:right="2"/>
              <w:rPr>
                <w:lang w:val="en-GB"/>
              </w:rPr>
            </w:pPr>
            <w:r>
              <w:rPr>
                <w:lang w:val="en-GB"/>
              </w:rPr>
              <w:t>Tanker discharge bay (1nr),</w:t>
            </w:r>
          </w:p>
          <w:p w14:paraId="1C60DC74">
            <w:pPr>
              <w:numPr>
                <w:ilvl w:val="3"/>
                <w:numId w:val="92"/>
              </w:numPr>
              <w:spacing w:after="200"/>
              <w:ind w:right="2"/>
              <w:rPr>
                <w:lang w:val="en-GB"/>
              </w:rPr>
            </w:pPr>
            <w:r>
              <w:rPr>
                <w:lang w:val="en-GB"/>
              </w:rPr>
              <w:t>Coarse and fine screens unit (each1nr),</w:t>
            </w:r>
          </w:p>
          <w:p w14:paraId="1370A002">
            <w:pPr>
              <w:numPr>
                <w:ilvl w:val="3"/>
                <w:numId w:val="92"/>
              </w:numPr>
              <w:spacing w:after="200"/>
              <w:ind w:right="2"/>
              <w:rPr>
                <w:lang w:val="en-GB"/>
              </w:rPr>
            </w:pPr>
            <w:r>
              <w:rPr>
                <w:lang w:val="en-GB"/>
              </w:rPr>
              <w:t>Mixed sludge holding basins (6nr),</w:t>
            </w:r>
          </w:p>
          <w:p w14:paraId="7CFF1BD4">
            <w:pPr>
              <w:numPr>
                <w:ilvl w:val="3"/>
                <w:numId w:val="92"/>
              </w:numPr>
              <w:spacing w:after="200"/>
              <w:ind w:right="2"/>
              <w:rPr>
                <w:lang w:val="en-GB"/>
              </w:rPr>
            </w:pPr>
            <w:r>
              <w:rPr>
                <w:lang w:val="en-GB"/>
              </w:rPr>
              <w:t>Mixed sludge pumping stations (2nr),</w:t>
            </w:r>
          </w:p>
          <w:p w14:paraId="3489A1F4">
            <w:pPr>
              <w:numPr>
                <w:ilvl w:val="3"/>
                <w:numId w:val="92"/>
              </w:numPr>
              <w:spacing w:after="200"/>
              <w:ind w:right="2"/>
              <w:rPr>
                <w:lang w:val="en-GB"/>
              </w:rPr>
            </w:pPr>
            <w:r>
              <w:rPr>
                <w:lang w:val="en-GB"/>
              </w:rPr>
              <w:t>Sludge drying beds (13nr),</w:t>
            </w:r>
          </w:p>
          <w:p w14:paraId="613B21B9">
            <w:pPr>
              <w:numPr>
                <w:ilvl w:val="3"/>
                <w:numId w:val="92"/>
              </w:numPr>
              <w:spacing w:after="200"/>
              <w:ind w:right="2"/>
              <w:rPr>
                <w:lang w:val="en-GB"/>
              </w:rPr>
            </w:pPr>
            <w:r>
              <w:rPr>
                <w:lang w:val="en-GB"/>
              </w:rPr>
              <w:t>Biosolids drying slabs (40nr)</w:t>
            </w:r>
          </w:p>
          <w:p w14:paraId="416747C8">
            <w:pPr>
              <w:numPr>
                <w:ilvl w:val="3"/>
                <w:numId w:val="92"/>
              </w:numPr>
              <w:spacing w:after="200"/>
              <w:ind w:right="2"/>
              <w:rPr>
                <w:lang w:val="en-GB"/>
              </w:rPr>
            </w:pPr>
            <w:r>
              <w:rPr>
                <w:lang w:val="en-GB"/>
              </w:rPr>
              <w:t>Primary Anaerobic Ponds. (2nr in parallel)</w:t>
            </w:r>
          </w:p>
          <w:p w14:paraId="6E05DA5F">
            <w:pPr>
              <w:numPr>
                <w:ilvl w:val="3"/>
                <w:numId w:val="92"/>
              </w:numPr>
              <w:spacing w:after="200"/>
              <w:ind w:right="2"/>
              <w:rPr>
                <w:lang w:val="en-GB"/>
              </w:rPr>
            </w:pPr>
            <w:r>
              <w:rPr>
                <w:lang w:val="en-GB"/>
              </w:rPr>
              <w:t>Secondary Anaerobic Ponds. (2nr in parallel)</w:t>
            </w:r>
          </w:p>
          <w:p w14:paraId="3239976D">
            <w:pPr>
              <w:numPr>
                <w:ilvl w:val="3"/>
                <w:numId w:val="92"/>
              </w:numPr>
              <w:spacing w:after="200"/>
              <w:ind w:right="2"/>
              <w:rPr>
                <w:lang w:val="en-GB"/>
              </w:rPr>
            </w:pPr>
            <w:r>
              <w:rPr>
                <w:lang w:val="en-GB"/>
              </w:rPr>
              <w:t>Facultative Ponds 2nr in parallel,</w:t>
            </w:r>
          </w:p>
          <w:p w14:paraId="15917CC0">
            <w:pPr>
              <w:numPr>
                <w:ilvl w:val="3"/>
                <w:numId w:val="92"/>
              </w:numPr>
              <w:spacing w:after="200"/>
              <w:ind w:right="2"/>
              <w:rPr>
                <w:lang w:val="en-GB"/>
              </w:rPr>
            </w:pPr>
            <w:r>
              <w:rPr>
                <w:lang w:val="en-GB"/>
              </w:rPr>
              <w:t>Maturation Ponds 2nr in series,</w:t>
            </w:r>
          </w:p>
          <w:p w14:paraId="4E7923CE">
            <w:pPr>
              <w:numPr>
                <w:ilvl w:val="3"/>
                <w:numId w:val="92"/>
              </w:numPr>
              <w:spacing w:after="200"/>
              <w:ind w:right="2"/>
              <w:rPr>
                <w:lang w:val="en-GB"/>
              </w:rPr>
            </w:pPr>
            <w:r>
              <w:rPr>
                <w:lang w:val="en-GB"/>
              </w:rPr>
              <w:t>Constructed Wetlands (4nr in parallel)</w:t>
            </w:r>
          </w:p>
          <w:p w14:paraId="0DA66F78">
            <w:pPr>
              <w:numPr>
                <w:ilvl w:val="3"/>
                <w:numId w:val="92"/>
              </w:numPr>
              <w:spacing w:after="200"/>
              <w:ind w:right="2"/>
              <w:rPr>
                <w:lang w:val="en-GB"/>
              </w:rPr>
            </w:pPr>
            <w:r>
              <w:rPr>
                <w:lang w:val="en-GB"/>
              </w:rPr>
              <w:t>Conveyance pipeline (varied sizes)</w:t>
            </w:r>
          </w:p>
          <w:p w14:paraId="66D17771">
            <w:pPr>
              <w:numPr>
                <w:ilvl w:val="3"/>
                <w:numId w:val="92"/>
              </w:numPr>
              <w:spacing w:after="200"/>
              <w:ind w:right="2"/>
              <w:rPr>
                <w:lang w:val="en-GB"/>
              </w:rPr>
            </w:pPr>
            <w:r>
              <w:rPr>
                <w:lang w:val="en-GB"/>
              </w:rPr>
              <w:t>Incinerator shed and equipment (1nr),</w:t>
            </w:r>
          </w:p>
          <w:p w14:paraId="0CE026A9">
            <w:pPr>
              <w:numPr>
                <w:ilvl w:val="3"/>
                <w:numId w:val="92"/>
              </w:numPr>
              <w:spacing w:after="200"/>
              <w:ind w:right="2"/>
              <w:rPr>
                <w:lang w:val="en-GB"/>
              </w:rPr>
            </w:pPr>
            <w:r>
              <w:rPr>
                <w:lang w:val="en-GB"/>
              </w:rPr>
              <w:t>Operations building (1nr),</w:t>
            </w:r>
          </w:p>
          <w:p w14:paraId="6BB27F80">
            <w:pPr>
              <w:numPr>
                <w:ilvl w:val="3"/>
                <w:numId w:val="92"/>
              </w:numPr>
              <w:spacing w:after="200"/>
              <w:ind w:right="2"/>
              <w:rPr>
                <w:lang w:val="en-GB"/>
              </w:rPr>
            </w:pPr>
            <w:r>
              <w:rPr>
                <w:lang w:val="en-GB"/>
              </w:rPr>
              <w:t>Supply of laboratory equipment,</w:t>
            </w:r>
          </w:p>
          <w:p w14:paraId="732975FB">
            <w:pPr>
              <w:numPr>
                <w:ilvl w:val="3"/>
                <w:numId w:val="92"/>
              </w:numPr>
              <w:spacing w:after="200"/>
              <w:ind w:right="2"/>
              <w:rPr>
                <w:lang w:val="en-GB"/>
              </w:rPr>
            </w:pPr>
            <w:r>
              <w:rPr>
                <w:lang w:val="en-GB"/>
              </w:rPr>
              <w:t>Guard house (1nr),</w:t>
            </w:r>
          </w:p>
          <w:p w14:paraId="146A91A1">
            <w:pPr>
              <w:numPr>
                <w:ilvl w:val="3"/>
                <w:numId w:val="92"/>
              </w:numPr>
              <w:spacing w:after="200"/>
              <w:ind w:right="2"/>
              <w:rPr>
                <w:lang w:val="en-GB"/>
              </w:rPr>
            </w:pPr>
            <w:r>
              <w:rPr>
                <w:lang w:val="en-GB"/>
              </w:rPr>
              <w:t>20 m</w:t>
            </w:r>
            <w:r>
              <w:rPr>
                <w:vertAlign w:val="superscript"/>
                <w:lang w:val="en-GB"/>
              </w:rPr>
              <w:t>3</w:t>
            </w:r>
            <w:r>
              <w:rPr>
                <w:lang w:val="en-GB"/>
              </w:rPr>
              <w:t xml:space="preserve"> elevated water storage tank (1nr),</w:t>
            </w:r>
          </w:p>
          <w:p w14:paraId="0CE694C4">
            <w:pPr>
              <w:numPr>
                <w:ilvl w:val="3"/>
                <w:numId w:val="92"/>
              </w:numPr>
              <w:spacing w:after="200"/>
              <w:ind w:right="2"/>
              <w:rPr>
                <w:lang w:val="en-GB"/>
              </w:rPr>
            </w:pPr>
            <w:r>
              <w:rPr>
                <w:lang w:val="en-GB"/>
              </w:rPr>
              <w:t>Septic tank (1nr),</w:t>
            </w:r>
          </w:p>
          <w:p w14:paraId="0378B782">
            <w:pPr>
              <w:numPr>
                <w:ilvl w:val="3"/>
                <w:numId w:val="92"/>
              </w:numPr>
              <w:spacing w:after="200"/>
              <w:ind w:right="2"/>
              <w:rPr>
                <w:lang w:val="en-GB"/>
              </w:rPr>
            </w:pPr>
            <w:r>
              <w:rPr>
                <w:lang w:val="en-GB"/>
              </w:rPr>
              <w:t>Chain-link fence and gates (1nr),</w:t>
            </w:r>
          </w:p>
          <w:p w14:paraId="2188C9EB">
            <w:pPr>
              <w:numPr>
                <w:ilvl w:val="3"/>
                <w:numId w:val="92"/>
              </w:numPr>
              <w:spacing w:after="200"/>
              <w:ind w:right="2"/>
              <w:rPr>
                <w:lang w:val="en-GB"/>
              </w:rPr>
            </w:pPr>
            <w:r>
              <w:rPr>
                <w:lang w:val="en-GB"/>
              </w:rPr>
              <w:t>Electrical System for the Treatment Plant</w:t>
            </w:r>
          </w:p>
          <w:p w14:paraId="7CAD9E52">
            <w:pPr>
              <w:numPr>
                <w:ilvl w:val="3"/>
                <w:numId w:val="92"/>
              </w:numPr>
              <w:spacing w:after="200"/>
              <w:ind w:right="2"/>
              <w:rPr>
                <w:lang w:val="en-GB"/>
              </w:rPr>
            </w:pPr>
            <w:r>
              <w:rPr>
                <w:lang w:val="en-GB"/>
              </w:rPr>
              <w:t>Roads and Drainage System for the Treatment Plant.</w:t>
            </w:r>
          </w:p>
        </w:tc>
      </w:tr>
      <w:tr w14:paraId="3C62DFE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24ABBD93">
            <w:pPr>
              <w:rPr>
                <w:b/>
              </w:rPr>
            </w:pPr>
            <w:r>
              <w:rPr>
                <w:b/>
              </w:rPr>
              <w:t>GCC 2.2</w:t>
            </w:r>
          </w:p>
        </w:tc>
        <w:tc>
          <w:tcPr>
            <w:tcW w:w="7614" w:type="dxa"/>
            <w:tcBorders>
              <w:top w:val="single" w:color="auto" w:sz="6" w:space="0"/>
              <w:left w:val="single" w:color="auto" w:sz="6" w:space="0"/>
              <w:bottom w:val="single" w:color="auto" w:sz="6" w:space="0"/>
              <w:right w:val="single" w:color="auto" w:sz="6" w:space="0"/>
            </w:tcBorders>
          </w:tcPr>
          <w:p w14:paraId="45CDD2D9">
            <w:pPr>
              <w:spacing w:after="200"/>
              <w:ind w:right="-72"/>
            </w:pPr>
            <w:r>
              <w:t xml:space="preserve">Sectional Completions are: </w:t>
            </w:r>
            <w:r>
              <w:rPr>
                <w:b/>
              </w:rPr>
              <w:t>Not Applicable</w:t>
            </w:r>
            <w:r>
              <w:t xml:space="preserve">  </w:t>
            </w:r>
          </w:p>
          <w:p w14:paraId="6B948944">
            <w:pPr>
              <w:spacing w:after="200"/>
              <w:ind w:right="-72"/>
            </w:pPr>
          </w:p>
        </w:tc>
      </w:tr>
      <w:tr w14:paraId="1C6266C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15C8B6E6">
            <w:pPr>
              <w:rPr>
                <w:b/>
              </w:rPr>
            </w:pPr>
            <w:r>
              <w:rPr>
                <w:b/>
              </w:rPr>
              <w:t xml:space="preserve">GCC 2.3 </w:t>
            </w:r>
          </w:p>
          <w:p w14:paraId="549F54F6">
            <w:pPr>
              <w:rPr>
                <w:b/>
              </w:rPr>
            </w:pPr>
          </w:p>
        </w:tc>
        <w:tc>
          <w:tcPr>
            <w:tcW w:w="7614" w:type="dxa"/>
            <w:tcBorders>
              <w:top w:val="single" w:color="auto" w:sz="6" w:space="0"/>
              <w:left w:val="single" w:color="auto" w:sz="6" w:space="0"/>
              <w:bottom w:val="single" w:color="auto" w:sz="6" w:space="0"/>
              <w:right w:val="single" w:color="auto" w:sz="6" w:space="0"/>
            </w:tcBorders>
          </w:tcPr>
          <w:p w14:paraId="7F8B41A6">
            <w:r>
              <w:rPr>
                <w:rStyle w:val="243"/>
                <w:b w:val="0"/>
                <w:bCs w:val="0"/>
              </w:rPr>
              <w:t xml:space="preserve">The Parties shall enter into a Contract Agreement </w:t>
            </w:r>
            <w:r>
              <w:rPr>
                <w:rStyle w:val="243"/>
              </w:rPr>
              <w:t xml:space="preserve"> </w:t>
            </w:r>
            <w:r>
              <w:rPr>
                <w:rStyle w:val="243"/>
                <w:rFonts w:hint="default"/>
                <w:lang w:val="en-US"/>
              </w:rPr>
              <w:t>14</w:t>
            </w:r>
            <w:r>
              <w:rPr>
                <w:rStyle w:val="244"/>
                <w:b/>
                <w:bCs/>
                <w:i w:val="0"/>
                <w:iCs w:val="0"/>
              </w:rPr>
              <w:t xml:space="preserve"> days after Contractor receives Letter of Acceptance.</w:t>
            </w:r>
          </w:p>
        </w:tc>
      </w:tr>
      <w:tr w14:paraId="3B051A3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38337D0D">
            <w:pPr>
              <w:rPr>
                <w:b/>
              </w:rPr>
            </w:pPr>
            <w:r>
              <w:rPr>
                <w:b/>
              </w:rPr>
              <w:t>GCC 2.3(i)</w:t>
            </w:r>
          </w:p>
        </w:tc>
        <w:tc>
          <w:tcPr>
            <w:tcW w:w="7614" w:type="dxa"/>
            <w:tcBorders>
              <w:top w:val="single" w:color="auto" w:sz="6" w:space="0"/>
              <w:left w:val="single" w:color="auto" w:sz="6" w:space="0"/>
              <w:bottom w:val="single" w:color="auto" w:sz="6" w:space="0"/>
              <w:right w:val="single" w:color="auto" w:sz="6" w:space="0"/>
            </w:tcBorders>
          </w:tcPr>
          <w:p w14:paraId="4FB630EE">
            <w:pPr>
              <w:spacing w:after="200"/>
              <w:ind w:right="-72"/>
              <w:rPr>
                <w:color w:val="000000"/>
              </w:rPr>
            </w:pPr>
            <w:r>
              <w:rPr>
                <w:color w:val="000000"/>
              </w:rPr>
              <w:t xml:space="preserve">The following documents also form part of the Contract: </w:t>
            </w:r>
          </w:p>
          <w:p w14:paraId="7A047E17">
            <w:pPr>
              <w:pStyle w:val="176"/>
              <w:numPr>
                <w:ilvl w:val="0"/>
                <w:numId w:val="93"/>
              </w:numPr>
              <w:spacing w:after="200"/>
              <w:ind w:right="-72"/>
              <w:rPr>
                <w:color w:val="000000"/>
              </w:rPr>
            </w:pPr>
            <w:r>
              <w:rPr>
                <w:color w:val="000000"/>
              </w:rPr>
              <w:t>the ES Management Strategies and Implementation Plans; and</w:t>
            </w:r>
          </w:p>
          <w:p w14:paraId="19664393">
            <w:pPr>
              <w:pStyle w:val="176"/>
              <w:numPr>
                <w:ilvl w:val="0"/>
                <w:numId w:val="93"/>
              </w:numPr>
              <w:spacing w:after="200"/>
              <w:ind w:right="-72"/>
              <w:rPr>
                <w:color w:val="000000"/>
              </w:rPr>
            </w:pPr>
            <w:r>
              <w:rPr>
                <w:color w:val="000000"/>
              </w:rPr>
              <w:t>Code of Conduct for Contractor’s Personnel (ES;</w:t>
            </w:r>
          </w:p>
          <w:p w14:paraId="09632167">
            <w:pPr>
              <w:pStyle w:val="176"/>
              <w:numPr>
                <w:ilvl w:val="0"/>
                <w:numId w:val="93"/>
              </w:numPr>
              <w:spacing w:after="200"/>
              <w:ind w:right="-72"/>
              <w:rPr>
                <w:color w:val="000000"/>
              </w:rPr>
            </w:pPr>
            <w:r>
              <w:rPr>
                <w:color w:val="000000"/>
              </w:rPr>
              <w:t>Minutes of Contract Negotiation Meeting</w:t>
            </w:r>
          </w:p>
        </w:tc>
      </w:tr>
      <w:tr w14:paraId="4EB88B9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4DCAEFB1">
            <w:pPr>
              <w:rPr>
                <w:b/>
              </w:rPr>
            </w:pPr>
            <w:r>
              <w:rPr>
                <w:b/>
              </w:rPr>
              <w:t xml:space="preserve">GCC 3.1 </w:t>
            </w:r>
          </w:p>
        </w:tc>
        <w:tc>
          <w:tcPr>
            <w:tcW w:w="7614" w:type="dxa"/>
            <w:tcBorders>
              <w:top w:val="single" w:color="auto" w:sz="6" w:space="0"/>
              <w:left w:val="single" w:color="auto" w:sz="6" w:space="0"/>
              <w:bottom w:val="single" w:color="auto" w:sz="6" w:space="0"/>
              <w:right w:val="single" w:color="auto" w:sz="6" w:space="0"/>
            </w:tcBorders>
          </w:tcPr>
          <w:p w14:paraId="7D5A38FB">
            <w:pPr>
              <w:spacing w:after="200"/>
              <w:ind w:right="-72"/>
            </w:pPr>
            <w:r>
              <w:t xml:space="preserve">The language of the contract is </w:t>
            </w:r>
            <w:r>
              <w:rPr>
                <w:b/>
              </w:rPr>
              <w:t>English.</w:t>
            </w:r>
          </w:p>
          <w:p w14:paraId="0948F3AB">
            <w:pPr>
              <w:tabs>
                <w:tab w:val="left" w:pos="556"/>
              </w:tabs>
              <w:spacing w:after="200"/>
              <w:ind w:left="556" w:right="-72" w:hanging="556"/>
            </w:pPr>
            <w:r>
              <w:t xml:space="preserve">The law that applies to the Contract is the law of </w:t>
            </w:r>
            <w:r>
              <w:rPr>
                <w:b/>
              </w:rPr>
              <w:t>Kenya.</w:t>
            </w:r>
          </w:p>
        </w:tc>
      </w:tr>
      <w:tr w14:paraId="1D0C200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18D0CB1F">
            <w:pPr>
              <w:rPr>
                <w:b/>
              </w:rPr>
            </w:pPr>
            <w:r>
              <w:rPr>
                <w:b/>
              </w:rPr>
              <w:t>GCC 5.1</w:t>
            </w:r>
          </w:p>
        </w:tc>
        <w:tc>
          <w:tcPr>
            <w:tcW w:w="7614" w:type="dxa"/>
            <w:tcBorders>
              <w:top w:val="single" w:color="auto" w:sz="6" w:space="0"/>
              <w:left w:val="single" w:color="auto" w:sz="6" w:space="0"/>
              <w:bottom w:val="single" w:color="auto" w:sz="6" w:space="0"/>
              <w:right w:val="single" w:color="auto" w:sz="6" w:space="0"/>
            </w:tcBorders>
          </w:tcPr>
          <w:p w14:paraId="1D0D29DF">
            <w:pPr>
              <w:spacing w:after="200"/>
              <w:ind w:right="-72"/>
            </w:pPr>
            <w:r>
              <w:t xml:space="preserve">The Project manager </w:t>
            </w:r>
            <w:r>
              <w:rPr>
                <w:b/>
                <w:i/>
                <w:iCs/>
              </w:rPr>
              <w:t>may</w:t>
            </w:r>
            <w:r>
              <w:rPr>
                <w:i/>
                <w:iCs/>
              </w:rPr>
              <w:t xml:space="preserve"> </w:t>
            </w:r>
            <w:r>
              <w:t>delegate any of his duties and responsibilities.</w:t>
            </w:r>
          </w:p>
        </w:tc>
      </w:tr>
      <w:tr w14:paraId="6EBD527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535D2CE">
            <w:pPr>
              <w:rPr>
                <w:b/>
              </w:rPr>
            </w:pPr>
            <w:r>
              <w:rPr>
                <w:b/>
              </w:rPr>
              <w:t>GCC 8.1</w:t>
            </w:r>
          </w:p>
        </w:tc>
        <w:tc>
          <w:tcPr>
            <w:tcW w:w="7614" w:type="dxa"/>
            <w:tcBorders>
              <w:top w:val="single" w:color="auto" w:sz="6" w:space="0"/>
              <w:left w:val="single" w:color="auto" w:sz="6" w:space="0"/>
              <w:bottom w:val="single" w:color="auto" w:sz="6" w:space="0"/>
              <w:right w:val="single" w:color="auto" w:sz="6" w:space="0"/>
            </w:tcBorders>
          </w:tcPr>
          <w:p w14:paraId="2CE52B5D">
            <w:pPr>
              <w:tabs>
                <w:tab w:val="right" w:pos="7254"/>
              </w:tabs>
              <w:spacing w:after="200"/>
            </w:pPr>
            <w:r>
              <w:t xml:space="preserve">Schedule of other contractors: </w:t>
            </w:r>
            <w:r>
              <w:rPr>
                <w:b/>
              </w:rPr>
              <w:t>Not Applicable</w:t>
            </w:r>
            <w:r>
              <w:t xml:space="preserve">  </w:t>
            </w:r>
          </w:p>
        </w:tc>
      </w:tr>
      <w:tr w14:paraId="2EC87B1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6C2922D2">
            <w:pPr>
              <w:rPr>
                <w:b/>
              </w:rPr>
            </w:pPr>
            <w:r>
              <w:rPr>
                <w:b/>
              </w:rPr>
              <w:t>GCC 13.1</w:t>
            </w:r>
          </w:p>
        </w:tc>
        <w:tc>
          <w:tcPr>
            <w:tcW w:w="7614" w:type="dxa"/>
            <w:tcBorders>
              <w:top w:val="single" w:color="auto" w:sz="6" w:space="0"/>
              <w:left w:val="single" w:color="auto" w:sz="6" w:space="0"/>
              <w:bottom w:val="single" w:color="auto" w:sz="6" w:space="0"/>
              <w:right w:val="single" w:color="auto" w:sz="6" w:space="0"/>
            </w:tcBorders>
          </w:tcPr>
          <w:p w14:paraId="0129C861">
            <w:pPr>
              <w:spacing w:after="200"/>
              <w:ind w:right="-72"/>
            </w:pPr>
            <w:r>
              <w:t>The minimum insurance amounts and deductibles shall be:</w:t>
            </w:r>
          </w:p>
          <w:p w14:paraId="6BA9EB5A">
            <w:pPr>
              <w:pStyle w:val="176"/>
              <w:numPr>
                <w:ilvl w:val="0"/>
                <w:numId w:val="94"/>
              </w:numPr>
              <w:spacing w:before="60" w:after="60"/>
              <w:ind w:left="432"/>
              <w:rPr>
                <w:lang w:val="en-GB"/>
              </w:rPr>
            </w:pPr>
            <w:r>
              <w:rPr>
                <w:lang w:val="en-GB"/>
              </w:rPr>
              <w:t>For loss or damage to the Works, Plant, Materials and Contractor’s Equipment:</w:t>
            </w:r>
          </w:p>
          <w:p w14:paraId="70B6D7B3">
            <w:pPr>
              <w:numPr>
                <w:ilvl w:val="0"/>
                <w:numId w:val="95"/>
              </w:numPr>
              <w:tabs>
                <w:tab w:val="left" w:pos="702"/>
              </w:tabs>
              <w:spacing w:after="200"/>
              <w:ind w:left="702" w:right="-18" w:hanging="252"/>
              <w:jc w:val="both"/>
              <w:rPr>
                <w:highlight w:val="none"/>
                <w:lang w:val="en-GB"/>
              </w:rPr>
            </w:pPr>
            <w:r>
              <w:rPr>
                <w:highlight w:val="none"/>
                <w:lang w:val="en-GB"/>
              </w:rPr>
              <w:t xml:space="preserve">Minimum Insurance Amount shall be the </w:t>
            </w:r>
            <w:r>
              <w:rPr>
                <w:b/>
                <w:highlight w:val="none"/>
                <w:lang w:val="en-GB"/>
              </w:rPr>
              <w:t xml:space="preserve">Contract Sum </w:t>
            </w:r>
            <w:r>
              <w:rPr>
                <w:b/>
                <w:highlight w:val="none"/>
              </w:rPr>
              <w:t>(inclusive of Duties and Taxes)</w:t>
            </w:r>
            <w:r>
              <w:rPr>
                <w:highlight w:val="none"/>
              </w:rPr>
              <w:t xml:space="preserve"> </w:t>
            </w:r>
            <w:r>
              <w:rPr>
                <w:b/>
                <w:highlight w:val="none"/>
                <w:lang w:val="en-GB"/>
              </w:rPr>
              <w:t>plus the value of the Contractor’s Plant &amp; Equipment plus Kshs. 5,000,000.00 for clearance of debris</w:t>
            </w:r>
          </w:p>
          <w:p w14:paraId="317DDF8C">
            <w:pPr>
              <w:numPr>
                <w:ilvl w:val="0"/>
                <w:numId w:val="95"/>
              </w:numPr>
              <w:tabs>
                <w:tab w:val="left" w:pos="702"/>
              </w:tabs>
              <w:spacing w:after="200"/>
              <w:ind w:left="702" w:right="-18" w:hanging="252"/>
              <w:jc w:val="both"/>
              <w:rPr>
                <w:lang w:val="en-GB"/>
              </w:rPr>
            </w:pPr>
            <w:r>
              <w:rPr>
                <w:lang w:val="en-GB"/>
              </w:rPr>
              <w:t xml:space="preserve">Maximum Deductible shall be </w:t>
            </w:r>
            <w:r>
              <w:rPr>
                <w:b/>
                <w:lang w:val="en-GB"/>
              </w:rPr>
              <w:t xml:space="preserve">10% </w:t>
            </w:r>
            <w:r>
              <w:rPr>
                <w:lang w:val="en-GB"/>
              </w:rPr>
              <w:t>of Each Loss</w:t>
            </w:r>
          </w:p>
          <w:p w14:paraId="44F5B887">
            <w:pPr>
              <w:pStyle w:val="176"/>
              <w:numPr>
                <w:ilvl w:val="0"/>
                <w:numId w:val="94"/>
              </w:numPr>
              <w:spacing w:before="60" w:after="60"/>
              <w:ind w:left="432"/>
              <w:rPr>
                <w:lang w:val="en-GB"/>
              </w:rPr>
            </w:pPr>
            <w:r>
              <w:rPr>
                <w:lang w:val="en-GB"/>
              </w:rPr>
              <w:t xml:space="preserve">For Personal Injury or Death of the Contractor’s Employees: </w:t>
            </w:r>
          </w:p>
          <w:p w14:paraId="21B4F580">
            <w:pPr>
              <w:numPr>
                <w:ilvl w:val="0"/>
                <w:numId w:val="95"/>
              </w:numPr>
              <w:tabs>
                <w:tab w:val="left" w:pos="702"/>
              </w:tabs>
              <w:spacing w:after="200"/>
              <w:ind w:left="702" w:right="-18" w:hanging="252"/>
              <w:jc w:val="both"/>
              <w:rPr>
                <w:highlight w:val="none"/>
                <w:lang w:val="en-GB"/>
              </w:rPr>
            </w:pPr>
            <w:r>
              <w:rPr>
                <w:lang w:val="en-GB"/>
              </w:rPr>
              <w:t xml:space="preserve">Minimum Insurance Amount shall be </w:t>
            </w:r>
            <w:r>
              <w:rPr>
                <w:b/>
                <w:lang w:val="en-GB"/>
              </w:rPr>
              <w:t xml:space="preserve">Kshs </w:t>
            </w:r>
            <w:r>
              <w:rPr>
                <w:b/>
                <w:highlight w:val="none"/>
                <w:lang w:val="en-GB"/>
              </w:rPr>
              <w:t xml:space="preserve">2,000,000.00 per occurrence, </w:t>
            </w:r>
            <w:r>
              <w:rPr>
                <w:highlight w:val="none"/>
                <w:lang w:val="en-GB"/>
              </w:rPr>
              <w:t>number of occurrences unlimited.</w:t>
            </w:r>
          </w:p>
          <w:p w14:paraId="363AFCE7">
            <w:pPr>
              <w:numPr>
                <w:ilvl w:val="0"/>
                <w:numId w:val="95"/>
              </w:numPr>
              <w:tabs>
                <w:tab w:val="left" w:pos="702"/>
              </w:tabs>
              <w:spacing w:after="240"/>
              <w:ind w:left="705" w:right="-14" w:hanging="259"/>
              <w:jc w:val="both"/>
              <w:rPr>
                <w:lang w:val="en-GB"/>
              </w:rPr>
            </w:pPr>
            <w:r>
              <w:rPr>
                <w:lang w:val="en-GB"/>
              </w:rPr>
              <w:t xml:space="preserve">Maximum Deductible </w:t>
            </w:r>
            <w:r>
              <w:rPr>
                <w:b/>
                <w:lang w:val="en-GB"/>
              </w:rPr>
              <w:t>Kshs.25, 000.00</w:t>
            </w:r>
          </w:p>
          <w:p w14:paraId="1004F5C0">
            <w:pPr>
              <w:pStyle w:val="176"/>
              <w:numPr>
                <w:ilvl w:val="0"/>
                <w:numId w:val="94"/>
              </w:numPr>
              <w:spacing w:before="60" w:after="60"/>
              <w:ind w:left="432"/>
              <w:rPr>
                <w:b/>
                <w:iCs/>
                <w:szCs w:val="24"/>
              </w:rPr>
            </w:pPr>
            <w:r>
              <w:rPr>
                <w:iCs/>
                <w:szCs w:val="24"/>
              </w:rPr>
              <w:t>For damage to Third Party Property:</w:t>
            </w:r>
            <w:r>
              <w:rPr>
                <w:b/>
                <w:iCs/>
                <w:szCs w:val="24"/>
              </w:rPr>
              <w:t xml:space="preserve"> </w:t>
            </w:r>
          </w:p>
          <w:p w14:paraId="29547356">
            <w:pPr>
              <w:numPr>
                <w:ilvl w:val="0"/>
                <w:numId w:val="95"/>
              </w:numPr>
              <w:tabs>
                <w:tab w:val="left" w:pos="702"/>
              </w:tabs>
              <w:spacing w:after="240"/>
              <w:ind w:left="705" w:right="-14" w:hanging="259"/>
              <w:jc w:val="both"/>
              <w:rPr>
                <w:b/>
                <w:iCs/>
              </w:rPr>
            </w:pPr>
            <w:r>
              <w:rPr>
                <w:b/>
                <w:iCs/>
                <w:highlight w:val="none"/>
              </w:rPr>
              <w:t>Kshs.20,000,000.00</w:t>
            </w:r>
            <w:r>
              <w:rPr>
                <w:b/>
                <w:iCs/>
              </w:rPr>
              <w:t xml:space="preserve"> per occurrence</w:t>
            </w:r>
            <w:r>
              <w:rPr>
                <w:iCs/>
              </w:rPr>
              <w:t xml:space="preserve"> with number of occurrences unlimited. Maximum Deductible</w:t>
            </w:r>
            <w:r>
              <w:rPr>
                <w:b/>
                <w:iCs/>
              </w:rPr>
              <w:t xml:space="preserve"> Kshs.50,000.00</w:t>
            </w:r>
          </w:p>
          <w:p w14:paraId="27D960A4">
            <w:pPr>
              <w:pStyle w:val="176"/>
              <w:numPr>
                <w:ilvl w:val="0"/>
                <w:numId w:val="94"/>
              </w:numPr>
              <w:spacing w:before="60" w:after="60"/>
              <w:ind w:left="432"/>
            </w:pPr>
            <w:r>
              <w:rPr>
                <w:iCs/>
                <w:szCs w:val="24"/>
              </w:rPr>
              <w:t>For Personal Injury or Death of Third Parties:</w:t>
            </w:r>
            <w:r>
              <w:rPr>
                <w:b/>
                <w:iCs/>
                <w:szCs w:val="24"/>
              </w:rPr>
              <w:t xml:space="preserve"> </w:t>
            </w:r>
          </w:p>
          <w:p w14:paraId="595D4878">
            <w:pPr>
              <w:tabs>
                <w:tab w:val="left" w:pos="1096"/>
                <w:tab w:val="right" w:pos="7254"/>
              </w:tabs>
              <w:suppressAutoHyphens/>
              <w:overflowPunct w:val="0"/>
              <w:autoSpaceDE w:val="0"/>
              <w:autoSpaceDN w:val="0"/>
              <w:adjustRightInd w:val="0"/>
              <w:spacing w:after="160"/>
              <w:jc w:val="both"/>
              <w:textAlignment w:val="baseline"/>
              <w:rPr>
                <w:b/>
                <w:iCs/>
              </w:rPr>
            </w:pPr>
            <w:r>
              <w:rPr>
                <w:b/>
                <w:iCs/>
              </w:rPr>
              <w:t>Kshs. 5,000,000/= per occurrence</w:t>
            </w:r>
            <w:r>
              <w:rPr>
                <w:iCs/>
              </w:rPr>
              <w:t xml:space="preserve"> with number of occurrences unlimited. Maximum Deductible</w:t>
            </w:r>
            <w:r>
              <w:rPr>
                <w:b/>
                <w:iCs/>
              </w:rPr>
              <w:t xml:space="preserve"> Kshs. 25,000.00</w:t>
            </w:r>
          </w:p>
          <w:p w14:paraId="749C6480">
            <w:pPr>
              <w:tabs>
                <w:tab w:val="left" w:pos="1096"/>
                <w:tab w:val="right" w:pos="7254"/>
              </w:tabs>
              <w:suppressAutoHyphens/>
              <w:overflowPunct w:val="0"/>
              <w:autoSpaceDE w:val="0"/>
              <w:autoSpaceDN w:val="0"/>
              <w:adjustRightInd w:val="0"/>
              <w:spacing w:after="160"/>
              <w:jc w:val="both"/>
              <w:textAlignment w:val="baseline"/>
            </w:pPr>
            <w:r>
              <w:rPr>
                <w:b/>
                <w:i/>
                <w:iCs/>
              </w:rPr>
              <w:t xml:space="preserve">The insurance shall be </w:t>
            </w:r>
            <w:r>
              <w:rPr>
                <w:b/>
                <w:i/>
                <w:iCs/>
                <w:highlight w:val="none"/>
              </w:rPr>
              <w:t>submitted 14 days a</w:t>
            </w:r>
            <w:r>
              <w:rPr>
                <w:b/>
                <w:i/>
                <w:iCs/>
              </w:rPr>
              <w:t>fter commencement of project</w:t>
            </w:r>
            <w:r>
              <w:rPr>
                <w:b/>
                <w:iCs/>
              </w:rPr>
              <w:t>.</w:t>
            </w:r>
          </w:p>
        </w:tc>
      </w:tr>
      <w:tr w14:paraId="2E6EDE5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5C25D254">
            <w:pPr>
              <w:rPr>
                <w:b/>
              </w:rPr>
            </w:pPr>
            <w:r>
              <w:rPr>
                <w:b/>
              </w:rPr>
              <w:t>GCC 14.1</w:t>
            </w:r>
          </w:p>
        </w:tc>
        <w:tc>
          <w:tcPr>
            <w:tcW w:w="7614" w:type="dxa"/>
            <w:tcBorders>
              <w:top w:val="single" w:color="auto" w:sz="6" w:space="0"/>
              <w:left w:val="single" w:color="auto" w:sz="6" w:space="0"/>
              <w:bottom w:val="single" w:color="auto" w:sz="6" w:space="0"/>
              <w:right w:val="single" w:color="auto" w:sz="6" w:space="0"/>
            </w:tcBorders>
          </w:tcPr>
          <w:p w14:paraId="4A0323B6">
            <w:pPr>
              <w:spacing w:after="200"/>
              <w:ind w:right="-72"/>
            </w:pPr>
            <w:r>
              <w:t xml:space="preserve">Site Data are: </w:t>
            </w:r>
            <w:r>
              <w:rPr>
                <w:rStyle w:val="243"/>
                <w:i/>
                <w:iCs/>
              </w:rPr>
              <w:t>The Bidder shall rely on contract drawings and any physical site inspections and investigations</w:t>
            </w:r>
          </w:p>
          <w:p w14:paraId="3202BF3A">
            <w:pPr>
              <w:spacing w:after="200"/>
              <w:ind w:right="-72"/>
            </w:pPr>
          </w:p>
        </w:tc>
      </w:tr>
      <w:tr w14:paraId="247788E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1E72C414">
            <w:pPr>
              <w:rPr>
                <w:b/>
              </w:rPr>
            </w:pPr>
            <w:r>
              <w:rPr>
                <w:b/>
              </w:rPr>
              <w:t>GCC 20.1</w:t>
            </w:r>
          </w:p>
        </w:tc>
        <w:tc>
          <w:tcPr>
            <w:tcW w:w="7614" w:type="dxa"/>
            <w:tcBorders>
              <w:top w:val="single" w:color="auto" w:sz="6" w:space="0"/>
              <w:left w:val="single" w:color="auto" w:sz="6" w:space="0"/>
              <w:bottom w:val="single" w:color="auto" w:sz="6" w:space="0"/>
              <w:right w:val="single" w:color="auto" w:sz="6" w:space="0"/>
            </w:tcBorders>
          </w:tcPr>
          <w:p w14:paraId="33D8EFE2">
            <w:pPr>
              <w:spacing w:after="200"/>
              <w:ind w:right="-72"/>
            </w:pPr>
            <w:r>
              <w:t xml:space="preserve">The Site Possession Date(s) shall be: </w:t>
            </w:r>
            <w:r>
              <w:rPr>
                <w:rStyle w:val="243"/>
                <w:i/>
                <w:iCs/>
              </w:rPr>
              <w:t>Within 7 days of Commencement Date</w:t>
            </w:r>
            <w:r>
              <w:rPr>
                <w:i/>
              </w:rPr>
              <w:t xml:space="preserve"> </w:t>
            </w:r>
          </w:p>
        </w:tc>
      </w:tr>
      <w:tr w14:paraId="3A7CFD9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18CC74B8">
            <w:pPr>
              <w:rPr>
                <w:b/>
              </w:rPr>
            </w:pPr>
            <w:r>
              <w:rPr>
                <w:b/>
              </w:rPr>
              <w:t>GCC 23.1 &amp;</w:t>
            </w:r>
          </w:p>
          <w:p w14:paraId="76A6660C">
            <w:pPr>
              <w:rPr>
                <w:b/>
              </w:rPr>
            </w:pPr>
            <w:r>
              <w:rPr>
                <w:b/>
              </w:rPr>
              <w:t>GCC 23.2</w:t>
            </w:r>
          </w:p>
        </w:tc>
        <w:tc>
          <w:tcPr>
            <w:tcW w:w="7614" w:type="dxa"/>
            <w:tcBorders>
              <w:top w:val="single" w:color="auto" w:sz="6" w:space="0"/>
              <w:left w:val="single" w:color="auto" w:sz="6" w:space="0"/>
              <w:bottom w:val="single" w:color="auto" w:sz="6" w:space="0"/>
              <w:right w:val="single" w:color="auto" w:sz="6" w:space="0"/>
            </w:tcBorders>
          </w:tcPr>
          <w:p w14:paraId="5929476E">
            <w:pPr>
              <w:spacing w:after="200"/>
              <w:ind w:right="-72"/>
            </w:pPr>
            <w:r>
              <w:t xml:space="preserve">Appointing Authority for the Adjudicator: </w:t>
            </w:r>
            <w:r>
              <w:rPr>
                <w:rStyle w:val="243"/>
              </w:rPr>
              <w:t>Chartered Institute of Arbitrators (Kenya)</w:t>
            </w:r>
          </w:p>
          <w:p w14:paraId="24AFA00B">
            <w:pPr>
              <w:rPr>
                <w:rStyle w:val="243"/>
                <w:b w:val="0"/>
                <w:bCs w:val="0"/>
              </w:rPr>
            </w:pPr>
            <w:r>
              <w:rPr>
                <w:rStyle w:val="243"/>
                <w:b w:val="0"/>
                <w:bCs w:val="0"/>
              </w:rPr>
              <w:t xml:space="preserve">Nicholson Drive, Off Ngong Road </w:t>
            </w:r>
          </w:p>
          <w:p w14:paraId="6C838F98">
            <w:pPr>
              <w:rPr>
                <w:rStyle w:val="243"/>
                <w:b w:val="0"/>
                <w:bCs w:val="0"/>
              </w:rPr>
            </w:pPr>
            <w:r>
              <w:rPr>
                <w:rStyle w:val="243"/>
                <w:b w:val="0"/>
                <w:bCs w:val="0"/>
              </w:rPr>
              <w:t>50163-00200 Nairobi</w:t>
            </w:r>
          </w:p>
          <w:p w14:paraId="494E57EC">
            <w:pPr>
              <w:rPr>
                <w:rStyle w:val="243"/>
                <w:b w:val="0"/>
                <w:bCs w:val="0"/>
              </w:rPr>
            </w:pPr>
            <w:r>
              <w:rPr>
                <w:rStyle w:val="243"/>
                <w:b w:val="0"/>
                <w:bCs w:val="0"/>
              </w:rPr>
              <w:t xml:space="preserve">Phone: 0722 200 496 / 0734 652 205 </w:t>
            </w:r>
          </w:p>
          <w:p w14:paraId="18387868">
            <w:pPr>
              <w:rPr>
                <w:b/>
                <w:bCs/>
              </w:rPr>
            </w:pPr>
            <w:r>
              <w:rPr>
                <w:rStyle w:val="243"/>
                <w:b w:val="0"/>
                <w:bCs w:val="0"/>
              </w:rPr>
              <w:t xml:space="preserve">Email: </w:t>
            </w:r>
            <w:r>
              <w:fldChar w:fldCharType="begin"/>
            </w:r>
            <w:r>
              <w:instrText xml:space="preserve"> HYPERLINK "mailto:info@ciarbkenya.org" </w:instrText>
            </w:r>
            <w:r>
              <w:fldChar w:fldCharType="separate"/>
            </w:r>
            <w:r>
              <w:rPr>
                <w:rStyle w:val="31"/>
                <w:rFonts w:ascii="Times-Bold" w:hAnsi="Times-Bold"/>
              </w:rPr>
              <w:t>info@ciarbkenya.org</w:t>
            </w:r>
            <w:r>
              <w:rPr>
                <w:rStyle w:val="31"/>
                <w:rFonts w:ascii="Times-Bold" w:hAnsi="Times-Bold"/>
              </w:rPr>
              <w:fldChar w:fldCharType="end"/>
            </w:r>
          </w:p>
          <w:p w14:paraId="68A5C4D5">
            <w:pPr>
              <w:rPr>
                <w:b/>
                <w:bCs/>
              </w:rPr>
            </w:pPr>
          </w:p>
        </w:tc>
      </w:tr>
      <w:tr w14:paraId="65C4057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68186383">
            <w:pPr>
              <w:rPr>
                <w:b/>
              </w:rPr>
            </w:pPr>
            <w:r>
              <w:rPr>
                <w:b/>
              </w:rPr>
              <w:t>GCC 24.3</w:t>
            </w:r>
          </w:p>
        </w:tc>
        <w:tc>
          <w:tcPr>
            <w:tcW w:w="7614" w:type="dxa"/>
            <w:tcBorders>
              <w:top w:val="single" w:color="auto" w:sz="6" w:space="0"/>
              <w:left w:val="single" w:color="auto" w:sz="6" w:space="0"/>
              <w:bottom w:val="single" w:color="auto" w:sz="6" w:space="0"/>
              <w:right w:val="single" w:color="auto" w:sz="6" w:space="0"/>
            </w:tcBorders>
          </w:tcPr>
          <w:p w14:paraId="0AAE8F81">
            <w:pPr>
              <w:spacing w:after="200"/>
              <w:ind w:right="-72"/>
            </w:pPr>
            <w:r>
              <w:t xml:space="preserve">Hourly rate and types of reimbursable expenses to be paid to the Adjudicator: </w:t>
            </w:r>
            <w:r>
              <w:rPr>
                <w:rStyle w:val="243"/>
              </w:rPr>
              <w:t>Kshs.</w:t>
            </w:r>
            <w:r>
              <w:rPr>
                <w:rStyle w:val="243"/>
                <w:rFonts w:hint="default"/>
                <w:lang w:val="en-US"/>
              </w:rPr>
              <w:t>25</w:t>
            </w:r>
            <w:r>
              <w:rPr>
                <w:rStyle w:val="243"/>
              </w:rPr>
              <w:t>,000.00 per hour</w:t>
            </w:r>
            <w:r>
              <w:rPr>
                <w:rStyle w:val="244"/>
              </w:rPr>
              <w:t>.</w:t>
            </w:r>
          </w:p>
        </w:tc>
      </w:tr>
      <w:tr w14:paraId="2F7ACAE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2C1218D2">
            <w:pPr>
              <w:rPr>
                <w:b/>
              </w:rPr>
            </w:pPr>
            <w:r>
              <w:rPr>
                <w:b/>
              </w:rPr>
              <w:t>GCC 24.4</w:t>
            </w:r>
          </w:p>
        </w:tc>
        <w:tc>
          <w:tcPr>
            <w:tcW w:w="7614" w:type="dxa"/>
            <w:tcBorders>
              <w:top w:val="single" w:color="auto" w:sz="6" w:space="0"/>
              <w:left w:val="single" w:color="auto" w:sz="6" w:space="0"/>
              <w:bottom w:val="single" w:color="auto" w:sz="6" w:space="0"/>
              <w:right w:val="single" w:color="auto" w:sz="6" w:space="0"/>
            </w:tcBorders>
          </w:tcPr>
          <w:p w14:paraId="599E8A87">
            <w:pPr>
              <w:spacing w:after="200"/>
              <w:ind w:right="92"/>
              <w:jc w:val="both"/>
              <w:rPr>
                <w:i/>
              </w:rPr>
            </w:pPr>
            <w:r>
              <w:t xml:space="preserve">Institution whose arbitration procedures shall be used: </w:t>
            </w:r>
            <w:r>
              <w:rPr>
                <w:b/>
                <w:i/>
              </w:rPr>
              <w:t>International Arbitration with proceedings administered by Chartered Institute of Arbitrators (Kenya Branch) and conducted in accordance with UNCITRAL Arbitration Rules</w:t>
            </w:r>
          </w:p>
          <w:p w14:paraId="32354F89">
            <w:pPr>
              <w:keepNext/>
              <w:spacing w:after="200"/>
              <w:ind w:right="92"/>
              <w:jc w:val="both"/>
            </w:pPr>
            <w:r>
              <w:t>Any dispute, controversy, or claim arising out of or relating to this Contract, or breach, termination, or invalidity thereof, shall be settled by arbitration in accordance with the UNCITRAL Arbitration Rules as at present in force.”</w:t>
            </w:r>
          </w:p>
          <w:p w14:paraId="066A1A2C">
            <w:pPr>
              <w:spacing w:after="200"/>
              <w:ind w:right="92"/>
              <w:rPr>
                <w:i/>
              </w:rPr>
            </w:pPr>
            <w:r>
              <w:rPr>
                <w:b/>
                <w:i/>
              </w:rPr>
              <w:t xml:space="preserve"> </w:t>
            </w:r>
            <w:r>
              <w:t xml:space="preserve">The place of arbitration shall be: </w:t>
            </w:r>
            <w:r>
              <w:rPr>
                <w:b/>
                <w:i/>
              </w:rPr>
              <w:t>Nairobi, Kenya</w:t>
            </w:r>
          </w:p>
        </w:tc>
      </w:tr>
      <w:tr w14:paraId="7F5976F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Pr>
        <w:tc>
          <w:tcPr>
            <w:tcW w:w="9218" w:type="dxa"/>
            <w:gridSpan w:val="2"/>
            <w:tcBorders>
              <w:top w:val="single" w:color="auto" w:sz="6" w:space="0"/>
              <w:left w:val="single" w:color="auto" w:sz="6" w:space="0"/>
              <w:bottom w:val="single" w:color="auto" w:sz="6" w:space="0"/>
              <w:right w:val="single" w:color="auto" w:sz="6" w:space="0"/>
            </w:tcBorders>
          </w:tcPr>
          <w:p w14:paraId="14C5B265">
            <w:pPr>
              <w:spacing w:before="120" w:after="200"/>
              <w:ind w:right="-72"/>
              <w:jc w:val="center"/>
              <w:rPr>
                <w:b/>
                <w:sz w:val="28"/>
              </w:rPr>
            </w:pPr>
            <w:r>
              <w:rPr>
                <w:b/>
                <w:sz w:val="28"/>
              </w:rPr>
              <w:t>B. Time Control</w:t>
            </w:r>
          </w:p>
        </w:tc>
      </w:tr>
      <w:tr w14:paraId="000CBCF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CD62E4E">
            <w:pPr>
              <w:rPr>
                <w:b/>
              </w:rPr>
            </w:pPr>
            <w:r>
              <w:rPr>
                <w:b/>
              </w:rPr>
              <w:t>GCC 28.1</w:t>
            </w:r>
          </w:p>
        </w:tc>
        <w:tc>
          <w:tcPr>
            <w:tcW w:w="7614" w:type="dxa"/>
            <w:tcBorders>
              <w:top w:val="single" w:color="auto" w:sz="6" w:space="0"/>
              <w:left w:val="single" w:color="auto" w:sz="6" w:space="0"/>
              <w:bottom w:val="single" w:color="auto" w:sz="6" w:space="0"/>
              <w:right w:val="single" w:color="auto" w:sz="6" w:space="0"/>
            </w:tcBorders>
          </w:tcPr>
          <w:p w14:paraId="2DF3E108">
            <w:pPr>
              <w:spacing w:after="200"/>
              <w:ind w:right="92"/>
            </w:pPr>
            <w:r>
              <w:t xml:space="preserve">The Contractor shall submit for approval a Program for the Works within </w:t>
            </w:r>
            <w:r>
              <w:rPr>
                <w:rFonts w:hint="default"/>
                <w:b/>
                <w:i/>
                <w:lang w:val="en-US"/>
              </w:rPr>
              <w:t>7</w:t>
            </w:r>
            <w:r>
              <w:rPr>
                <w:b/>
              </w:rPr>
              <w:t xml:space="preserve"> </w:t>
            </w:r>
            <w:r>
              <w:t>days from the date of the Letter of Acceptance.</w:t>
            </w:r>
          </w:p>
        </w:tc>
      </w:tr>
      <w:tr w14:paraId="117E787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03B8EC2D">
            <w:pPr>
              <w:rPr>
                <w:b/>
              </w:rPr>
            </w:pPr>
            <w:r>
              <w:rPr>
                <w:b/>
              </w:rPr>
              <w:t>GCC 28.3</w:t>
            </w:r>
          </w:p>
        </w:tc>
        <w:tc>
          <w:tcPr>
            <w:tcW w:w="7614" w:type="dxa"/>
            <w:tcBorders>
              <w:top w:val="single" w:color="auto" w:sz="6" w:space="0"/>
              <w:left w:val="single" w:color="auto" w:sz="6" w:space="0"/>
              <w:bottom w:val="single" w:color="auto" w:sz="6" w:space="0"/>
              <w:right w:val="single" w:color="auto" w:sz="6" w:space="0"/>
            </w:tcBorders>
          </w:tcPr>
          <w:p w14:paraId="68493B89">
            <w:pPr>
              <w:spacing w:after="200"/>
              <w:ind w:right="92"/>
            </w:pPr>
            <w:r>
              <w:t xml:space="preserve">The period between Program updates is </w:t>
            </w:r>
            <w:r>
              <w:rPr>
                <w:b/>
                <w:i/>
              </w:rPr>
              <w:t>28</w:t>
            </w:r>
            <w:r>
              <w:rPr>
                <w:b/>
              </w:rPr>
              <w:t xml:space="preserve"> </w:t>
            </w:r>
            <w:r>
              <w:t>days.</w:t>
            </w:r>
          </w:p>
          <w:p w14:paraId="63ECE0F1">
            <w:pPr>
              <w:spacing w:after="200"/>
              <w:ind w:right="92"/>
            </w:pPr>
            <w:r>
              <w:t xml:space="preserve">The amount to be withheld for late submission of an updated Program is </w:t>
            </w:r>
            <w:r>
              <w:rPr>
                <w:b/>
              </w:rPr>
              <mc:AlternateContent>
                <mc:Choice Requires="wps">
                  <w:drawing>
                    <wp:anchor distT="0" distB="0" distL="114300" distR="114300" simplePos="0" relativeHeight="251659264" behindDoc="1" locked="0" layoutInCell="0" allowOverlap="1">
                      <wp:simplePos x="0" y="0"/>
                      <wp:positionH relativeFrom="margin">
                        <wp:posOffset>4445635</wp:posOffset>
                      </wp:positionH>
                      <wp:positionV relativeFrom="page">
                        <wp:posOffset>914400</wp:posOffset>
                      </wp:positionV>
                      <wp:extent cx="1042670" cy="6350"/>
                      <wp:effectExtent l="0" t="0" r="0" b="3175"/>
                      <wp:wrapNone/>
                      <wp:docPr id="9" name="Rectangle 179"/>
                      <wp:cNvGraphicFramePr/>
                      <a:graphic xmlns:a="http://schemas.openxmlformats.org/drawingml/2006/main">
                        <a:graphicData uri="http://schemas.microsoft.com/office/word/2010/wordprocessingShape">
                          <wps:wsp>
                            <wps:cNvSpPr>
                              <a:spLocks noChangeArrowheads="1"/>
                            </wps:cNvSpPr>
                            <wps:spPr bwMode="auto">
                              <a:xfrm>
                                <a:off x="0" y="0"/>
                                <a:ext cx="1042670" cy="635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w:pict>
                    <v:rect id="Rectangle 179" o:spid="_x0000_s1026" o:spt="1" style="position:absolute;left:0pt;margin-left:350.05pt;margin-top:72pt;height:0.5pt;width:82.1pt;mso-position-horizontal-relative:margin;mso-position-vertical-relative:page;z-index:-251657216;mso-width-relative:page;mso-height-relative:page;" fillcolor="#000000" filled="t" stroked="f" coordsize="21600,21600" o:allowincell="f" o:gfxdata="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cpgGm2QAAAAsBAAAPAAAAAAAA&#10;AAEAIAAAACIAAABkcnMvZG93bnJldi54bWxQSwECFAAUAAAACACHTuJA3cG2JhECAAApBAAADgAA&#10;AAAAAAABACAAAAAoAQAAZHJzL2Uyb0RvYy54bWxQSwUGAAAAAAYABgBZAQAAqwUAAAAA&#10;">
                      <v:fill on="t" focussize="0,0"/>
                      <v:stroke on="f"/>
                      <v:imagedata o:title=""/>
                      <o:lock v:ext="edit" aspectratio="f"/>
                    </v:rect>
                  </w:pict>
                </mc:Fallback>
              </mc:AlternateContent>
            </w:r>
            <w:r>
              <w:rPr>
                <w:b/>
              </w:rPr>
              <w:t>KES 100,000.00</w:t>
            </w:r>
          </w:p>
        </w:tc>
      </w:tr>
      <w:tr w14:paraId="7774682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Pr>
        <w:tc>
          <w:tcPr>
            <w:tcW w:w="9218" w:type="dxa"/>
            <w:gridSpan w:val="2"/>
            <w:tcBorders>
              <w:top w:val="single" w:color="auto" w:sz="6" w:space="0"/>
              <w:left w:val="single" w:color="auto" w:sz="6" w:space="0"/>
              <w:bottom w:val="single" w:color="auto" w:sz="6" w:space="0"/>
              <w:right w:val="single" w:color="auto" w:sz="6" w:space="0"/>
            </w:tcBorders>
          </w:tcPr>
          <w:p w14:paraId="3BDF0FF8">
            <w:pPr>
              <w:spacing w:before="120" w:after="200"/>
              <w:ind w:right="-72"/>
              <w:jc w:val="center"/>
              <w:rPr>
                <w:b/>
                <w:sz w:val="28"/>
              </w:rPr>
            </w:pPr>
            <w:r>
              <w:rPr>
                <w:b/>
                <w:sz w:val="28"/>
              </w:rPr>
              <w:t>C. Quality Control</w:t>
            </w:r>
          </w:p>
        </w:tc>
      </w:tr>
      <w:tr w14:paraId="14243F0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47CD39F9">
            <w:pPr>
              <w:rPr>
                <w:b/>
              </w:rPr>
            </w:pPr>
            <w:r>
              <w:rPr>
                <w:b/>
              </w:rPr>
              <w:t>GCC 36.1</w:t>
            </w:r>
          </w:p>
        </w:tc>
        <w:tc>
          <w:tcPr>
            <w:tcW w:w="7614" w:type="dxa"/>
            <w:tcBorders>
              <w:top w:val="single" w:color="auto" w:sz="6" w:space="0"/>
              <w:left w:val="single" w:color="auto" w:sz="6" w:space="0"/>
              <w:bottom w:val="single" w:color="auto" w:sz="6" w:space="0"/>
              <w:right w:val="single" w:color="auto" w:sz="6" w:space="0"/>
            </w:tcBorders>
          </w:tcPr>
          <w:p w14:paraId="59A46E31">
            <w:pPr>
              <w:spacing w:after="200"/>
              <w:ind w:right="92"/>
            </w:pPr>
            <w:r>
              <w:t xml:space="preserve">The Defects Liability Period is: </w:t>
            </w:r>
            <w:r>
              <w:rPr>
                <w:b/>
                <w:i/>
                <w:highlight w:val="none"/>
              </w:rPr>
              <w:t xml:space="preserve">365 </w:t>
            </w:r>
            <w:r>
              <w:rPr>
                <w:highlight w:val="none"/>
              </w:rPr>
              <w:t>days.</w:t>
            </w:r>
          </w:p>
        </w:tc>
      </w:tr>
      <w:tr w14:paraId="04A8CE8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Pr>
        <w:tc>
          <w:tcPr>
            <w:tcW w:w="9218" w:type="dxa"/>
            <w:gridSpan w:val="2"/>
            <w:tcBorders>
              <w:top w:val="single" w:color="auto" w:sz="6" w:space="0"/>
              <w:left w:val="single" w:color="auto" w:sz="6" w:space="0"/>
              <w:bottom w:val="single" w:color="auto" w:sz="6" w:space="0"/>
              <w:right w:val="single" w:color="auto" w:sz="6" w:space="0"/>
            </w:tcBorders>
          </w:tcPr>
          <w:p w14:paraId="4D9267E6">
            <w:pPr>
              <w:spacing w:before="120" w:after="200"/>
              <w:ind w:right="-72"/>
              <w:jc w:val="center"/>
              <w:rPr>
                <w:b/>
                <w:sz w:val="28"/>
              </w:rPr>
            </w:pPr>
            <w:r>
              <w:rPr>
                <w:b/>
                <w:sz w:val="28"/>
              </w:rPr>
              <w:t>D. Cost Control</w:t>
            </w:r>
          </w:p>
        </w:tc>
      </w:tr>
      <w:tr w14:paraId="223C441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3A3DC9DE">
            <w:pPr>
              <w:rPr>
                <w:b/>
              </w:rPr>
            </w:pPr>
            <w:r>
              <w:rPr>
                <w:b/>
              </w:rPr>
              <w:t>GCC 46.1</w:t>
            </w:r>
          </w:p>
        </w:tc>
        <w:tc>
          <w:tcPr>
            <w:tcW w:w="7614" w:type="dxa"/>
            <w:tcBorders>
              <w:top w:val="single" w:color="auto" w:sz="6" w:space="0"/>
              <w:left w:val="single" w:color="auto" w:sz="6" w:space="0"/>
              <w:bottom w:val="single" w:color="auto" w:sz="6" w:space="0"/>
              <w:right w:val="single" w:color="auto" w:sz="6" w:space="0"/>
            </w:tcBorders>
          </w:tcPr>
          <w:p w14:paraId="6F76237C">
            <w:pPr>
              <w:spacing w:after="200"/>
              <w:ind w:right="2"/>
            </w:pPr>
            <w:r>
              <w:t xml:space="preserve">The currency of the Employer’s country is: </w:t>
            </w:r>
            <w:r>
              <w:rPr>
                <w:b/>
              </w:rPr>
              <w:t>Kenya Shilling.</w:t>
            </w:r>
            <w:r>
              <w:t xml:space="preserve">  </w:t>
            </w:r>
            <w:r>
              <mc:AlternateContent>
                <mc:Choice Requires="wps">
                  <w:drawing>
                    <wp:anchor distT="0" distB="0" distL="114300" distR="114300" simplePos="0" relativeHeight="251660288" behindDoc="1" locked="0" layoutInCell="0" allowOverlap="1">
                      <wp:simplePos x="0" y="0"/>
                      <wp:positionH relativeFrom="margin">
                        <wp:posOffset>2846705</wp:posOffset>
                      </wp:positionH>
                      <wp:positionV relativeFrom="page">
                        <wp:posOffset>914400</wp:posOffset>
                      </wp:positionV>
                      <wp:extent cx="2642870" cy="6350"/>
                      <wp:effectExtent l="0" t="0" r="0" b="3175"/>
                      <wp:wrapNone/>
                      <wp:docPr id="8" name="Rectangle 196"/>
                      <wp:cNvGraphicFramePr/>
                      <a:graphic xmlns:a="http://schemas.openxmlformats.org/drawingml/2006/main">
                        <a:graphicData uri="http://schemas.microsoft.com/office/word/2010/wordprocessingShape">
                          <wps:wsp>
                            <wps:cNvSpPr>
                              <a:spLocks noChangeArrowheads="1"/>
                            </wps:cNvSpPr>
                            <wps:spPr bwMode="auto">
                              <a:xfrm>
                                <a:off x="0" y="0"/>
                                <a:ext cx="2642870" cy="635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w:pict>
                    <v:rect id="Rectangle 196" o:spid="_x0000_s1026" o:spt="1" style="position:absolute;left:0pt;margin-left:224.15pt;margin-top:72pt;height:0.5pt;width:208.1pt;mso-position-horizontal-relative:margin;mso-position-vertical-relative:page;z-index:-251656192;mso-width-relative:page;mso-height-relative:page;" fillcolor="#000000" filled="t" stroked="f" coordsize="21600,21600" o:allowincell="f" o:gfxdata="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JoMWh3YAAAACwEAAA8AAAAAAAAA&#10;AQAgAAAAIgAAAGRycy9kb3ducmV2LnhtbFBLAQIUABQAAAAIAIdO4kD3BiG+EQIAACkEAAAOAAAA&#10;AAAAAAEAIAAAACcBAABkcnMvZTJvRG9jLnhtbFBLBQYAAAAABgAGAFkBAACqBQAAAAA=&#10;">
                      <v:fill on="t" focussize="0,0"/>
                      <v:stroke on="f"/>
                      <v:imagedata o:title=""/>
                      <o:lock v:ext="edit" aspectratio="f"/>
                    </v:rect>
                  </w:pict>
                </mc:Fallback>
              </mc:AlternateContent>
            </w:r>
          </w:p>
        </w:tc>
      </w:tr>
      <w:tr w14:paraId="63D3816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D0CB32A">
            <w:pPr>
              <w:rPr>
                <w:b/>
              </w:rPr>
            </w:pPr>
            <w:r>
              <w:rPr>
                <w:b/>
              </w:rPr>
              <w:t>GCC 47.1</w:t>
            </w:r>
          </w:p>
        </w:tc>
        <w:tc>
          <w:tcPr>
            <w:tcW w:w="7614" w:type="dxa"/>
            <w:tcBorders>
              <w:top w:val="single" w:color="auto" w:sz="6" w:space="0"/>
              <w:left w:val="single" w:color="auto" w:sz="6" w:space="0"/>
              <w:bottom w:val="single" w:color="auto" w:sz="6" w:space="0"/>
              <w:right w:val="single" w:color="auto" w:sz="6" w:space="0"/>
            </w:tcBorders>
          </w:tcPr>
          <w:p w14:paraId="57F16C45">
            <w:pPr>
              <w:tabs>
                <w:tab w:val="left" w:pos="556"/>
                <w:tab w:val="left" w:pos="1096"/>
              </w:tabs>
              <w:spacing w:after="200"/>
              <w:ind w:left="540" w:right="2" w:hanging="540"/>
              <w:rPr>
                <w:i/>
              </w:rPr>
            </w:pPr>
            <w:r>
              <w:t xml:space="preserve"> The Contract is Not subject to price adjustment in accordance with GCC Clause 45</w:t>
            </w:r>
          </w:p>
        </w:tc>
      </w:tr>
      <w:tr w14:paraId="19E8133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44196E85">
            <w:pPr>
              <w:rPr>
                <w:b/>
              </w:rPr>
            </w:pPr>
            <w:r>
              <w:rPr>
                <w:b/>
              </w:rPr>
              <w:t>GCC 48.1</w:t>
            </w:r>
          </w:p>
        </w:tc>
        <w:tc>
          <w:tcPr>
            <w:tcW w:w="7614" w:type="dxa"/>
            <w:tcBorders>
              <w:top w:val="single" w:color="auto" w:sz="6" w:space="0"/>
              <w:left w:val="single" w:color="auto" w:sz="6" w:space="0"/>
              <w:bottom w:val="single" w:color="auto" w:sz="6" w:space="0"/>
              <w:right w:val="single" w:color="auto" w:sz="6" w:space="0"/>
            </w:tcBorders>
          </w:tcPr>
          <w:p w14:paraId="5A2BB03B">
            <w:pPr>
              <w:spacing w:after="200"/>
              <w:ind w:right="2"/>
            </w:pPr>
            <w:r>
              <w:t xml:space="preserve">The proportion of payments retained is as follows: </w:t>
            </w:r>
          </w:p>
          <w:p w14:paraId="214973B1">
            <w:pPr>
              <w:spacing w:after="200"/>
              <w:ind w:right="2"/>
              <w:rPr>
                <w:i/>
              </w:rPr>
            </w:pPr>
            <w:r>
              <w:rPr>
                <w:b/>
                <w:i/>
              </w:rPr>
              <w:t>Percentage of Retention:10%</w:t>
            </w:r>
          </w:p>
        </w:tc>
      </w:tr>
      <w:tr w14:paraId="21FED6C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735C426">
            <w:pPr>
              <w:rPr>
                <w:b/>
              </w:rPr>
            </w:pPr>
            <w:r>
              <w:rPr>
                <w:b/>
              </w:rPr>
              <w:t>GCC 49.1</w:t>
            </w:r>
          </w:p>
        </w:tc>
        <w:tc>
          <w:tcPr>
            <w:tcW w:w="7614" w:type="dxa"/>
            <w:tcBorders>
              <w:top w:val="single" w:color="auto" w:sz="6" w:space="0"/>
              <w:left w:val="single" w:color="auto" w:sz="6" w:space="0"/>
              <w:bottom w:val="single" w:color="auto" w:sz="6" w:space="0"/>
              <w:right w:val="single" w:color="auto" w:sz="6" w:space="0"/>
            </w:tcBorders>
          </w:tcPr>
          <w:p w14:paraId="3BAAC971">
            <w:pPr>
              <w:spacing w:after="200"/>
              <w:ind w:right="2"/>
              <w:rPr>
                <w:i/>
              </w:rPr>
            </w:pPr>
            <w:r>
              <w:t xml:space="preserve">The liquidated damages for the whole of the Works are </w:t>
            </w:r>
            <w:r>
              <w:rPr>
                <w:b/>
                <w:i/>
              </w:rPr>
              <w:t>0.05%</w:t>
            </w:r>
            <w:r>
              <w:rPr>
                <w:i/>
              </w:rPr>
              <w:t xml:space="preserve"> of the final Contract Price</w:t>
            </w:r>
            <w:r>
              <w:t xml:space="preserve"> per day. The maximum amount of liquidated damages for the whole of the Works is </w:t>
            </w:r>
            <w:r>
              <w:rPr>
                <w:b/>
                <w:i/>
              </w:rPr>
              <w:t>10%</w:t>
            </w:r>
            <w:r>
              <w:t xml:space="preserve"> of the final Contract Price.</w:t>
            </w:r>
            <w:r>
              <w:rPr>
                <w:i/>
              </w:rPr>
              <w:t xml:space="preserve"> </w:t>
            </w:r>
          </w:p>
        </w:tc>
      </w:tr>
      <w:tr w14:paraId="113C893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1F7FAE4">
            <w:pPr>
              <w:rPr>
                <w:b/>
              </w:rPr>
            </w:pPr>
            <w:r>
              <w:rPr>
                <w:b/>
              </w:rPr>
              <w:t>GCC 51.1</w:t>
            </w:r>
          </w:p>
        </w:tc>
        <w:tc>
          <w:tcPr>
            <w:tcW w:w="7614" w:type="dxa"/>
            <w:tcBorders>
              <w:top w:val="single" w:color="auto" w:sz="6" w:space="0"/>
              <w:left w:val="single" w:color="auto" w:sz="6" w:space="0"/>
              <w:bottom w:val="single" w:color="auto" w:sz="6" w:space="0"/>
              <w:right w:val="single" w:color="auto" w:sz="6" w:space="0"/>
            </w:tcBorders>
          </w:tcPr>
          <w:p w14:paraId="5160FFA7">
            <w:pPr>
              <w:spacing w:after="200"/>
              <w:ind w:right="2"/>
            </w:pPr>
            <w:r>
              <w:t xml:space="preserve">The Advance Payment shall be: </w:t>
            </w:r>
            <w:r>
              <w:rPr>
                <w:rFonts w:hint="default"/>
                <w:b/>
                <w:i/>
                <w:lang w:val="en-US"/>
              </w:rPr>
              <w:t>1</w:t>
            </w:r>
            <w:r>
              <w:rPr>
                <w:b/>
                <w:i/>
              </w:rPr>
              <w:t>0% of the Accepted Contract Amount</w:t>
            </w:r>
            <w:r>
              <w:rPr>
                <w:i/>
              </w:rPr>
              <w:t xml:space="preserve"> </w:t>
            </w:r>
            <w:r>
              <w:t xml:space="preserve">and shall be paid to the Contractor no later than </w:t>
            </w:r>
            <w:r>
              <w:rPr>
                <w:b/>
                <w:i/>
              </w:rPr>
              <w:t>28 days after submission and approval of Performance Guarantee and Advance Payment Security</w:t>
            </w:r>
            <w:r>
              <w:t>.</w:t>
            </w:r>
          </w:p>
        </w:tc>
      </w:tr>
      <w:tr w14:paraId="4C236B3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5A685A11">
            <w:pPr>
              <w:rPr>
                <w:b/>
              </w:rPr>
            </w:pPr>
            <w:r>
              <w:rPr>
                <w:b/>
              </w:rPr>
              <w:t>GCC 52.1</w:t>
            </w:r>
          </w:p>
        </w:tc>
        <w:tc>
          <w:tcPr>
            <w:tcW w:w="7614" w:type="dxa"/>
            <w:tcBorders>
              <w:top w:val="single" w:color="auto" w:sz="6" w:space="0"/>
              <w:left w:val="single" w:color="auto" w:sz="6" w:space="0"/>
              <w:bottom w:val="single" w:color="auto" w:sz="6" w:space="0"/>
              <w:right w:val="single" w:color="auto" w:sz="6" w:space="0"/>
            </w:tcBorders>
          </w:tcPr>
          <w:p w14:paraId="304EBED6">
            <w:pPr>
              <w:ind w:right="-72"/>
              <w:rPr>
                <w:color w:val="000000" w:themeColor="text1"/>
                <w14:textFill>
                  <w14:solidFill>
                    <w14:schemeClr w14:val="tx1"/>
                  </w14:solidFill>
                </w14:textFill>
              </w:rPr>
            </w:pPr>
            <w:r>
              <w:t xml:space="preserve">The Performance Security will be in the form of a </w:t>
            </w:r>
            <w:r>
              <w:rPr>
                <w:b/>
              </w:rPr>
              <w:t>demand guarantee</w:t>
            </w:r>
            <w:r>
              <w:t xml:space="preserve"> in the amount(s) of </w:t>
            </w:r>
            <w:r>
              <w:rPr>
                <w:b/>
              </w:rPr>
              <w:t>10%</w:t>
            </w:r>
            <w:r>
              <w:t xml:space="preserve"> percent of the Accepted Contract Amount and in the same currency (ies) of the Accepted Contract Amount.</w:t>
            </w:r>
            <w:r>
              <w:rPr>
                <w:color w:val="000000" w:themeColor="text1"/>
                <w14:textFill>
                  <w14:solidFill>
                    <w14:schemeClr w14:val="tx1"/>
                  </w14:solidFill>
                </w14:textFill>
              </w:rPr>
              <w:t xml:space="preserve"> </w:t>
            </w:r>
          </w:p>
          <w:p w14:paraId="732E6B40">
            <w:pPr>
              <w:spacing w:before="120" w:after="120"/>
            </w:pPr>
          </w:p>
          <w:p w14:paraId="5AE5B6DB">
            <w:pPr>
              <w:spacing w:before="120" w:after="120"/>
            </w:pPr>
            <w:r>
              <w:t xml:space="preserve">The ES Performance Security will be in the form of a “demand guarantee” in the amount(s) of </w:t>
            </w:r>
            <w:r>
              <w:rPr>
                <w:b/>
                <w:i/>
              </w:rPr>
              <w:t>3%</w:t>
            </w:r>
            <w:r>
              <w:t xml:space="preserve"> of the Accepted Contract Amount and in the same currency (ies) of the Accepted Contract Amount.</w:t>
            </w:r>
          </w:p>
          <w:p w14:paraId="1DF87E44">
            <w:pPr>
              <w:rPr>
                <w:rStyle w:val="246"/>
              </w:rPr>
            </w:pPr>
            <w:r>
              <w:rPr>
                <w:rStyle w:val="243"/>
                <w:b w:val="0"/>
                <w:bCs w:val="0"/>
              </w:rPr>
              <w:t xml:space="preserve">The total amount of Performance Security is </w:t>
            </w:r>
            <w:r>
              <w:rPr>
                <w:rStyle w:val="244"/>
                <w:b/>
                <w:bCs/>
              </w:rPr>
              <w:t>10% of the Accepted Contract Amount (inclusive of Duties and Taxes)</w:t>
            </w:r>
            <w:r>
              <w:rPr>
                <w:rStyle w:val="244"/>
              </w:rPr>
              <w:t xml:space="preserve"> </w:t>
            </w:r>
            <w:r>
              <w:rPr>
                <w:rStyle w:val="246"/>
              </w:rPr>
              <w:t>to be provided as follows:</w:t>
            </w:r>
          </w:p>
          <w:p w14:paraId="58FE45A1">
            <w:pPr>
              <w:rPr>
                <w:rStyle w:val="246"/>
              </w:rPr>
            </w:pPr>
          </w:p>
          <w:p w14:paraId="066DA8DF">
            <w:pPr>
              <w:pStyle w:val="176"/>
              <w:numPr>
                <w:ilvl w:val="1"/>
                <w:numId w:val="83"/>
              </w:numPr>
              <w:rPr>
                <w:rStyle w:val="243"/>
                <w:rFonts w:ascii="Times New Roman" w:hAnsi="Times New Roman"/>
                <w:b w:val="0"/>
                <w:bCs w:val="0"/>
                <w:color w:val="auto"/>
                <w:szCs w:val="20"/>
              </w:rPr>
            </w:pPr>
            <w:r>
              <w:rPr>
                <w:rStyle w:val="247"/>
              </w:rPr>
              <w:t xml:space="preserve">Performance Security </w:t>
            </w:r>
            <w:r>
              <w:rPr>
                <w:rStyle w:val="243"/>
              </w:rPr>
              <w:t xml:space="preserve">– </w:t>
            </w:r>
            <w:r>
              <w:rPr>
                <w:rStyle w:val="243"/>
                <w:b w:val="0"/>
                <w:bCs w:val="0"/>
              </w:rPr>
              <w:t xml:space="preserve">Unconditional (on demand) Bank Guarantee in the amount of </w:t>
            </w:r>
            <w:r>
              <w:rPr>
                <w:rStyle w:val="244"/>
                <w:b/>
                <w:bCs/>
              </w:rPr>
              <w:t xml:space="preserve">8% </w:t>
            </w:r>
            <w:r>
              <w:rPr>
                <w:rStyle w:val="243"/>
                <w:b w:val="0"/>
                <w:bCs w:val="0"/>
              </w:rPr>
              <w:t>of the Accepted Contract Amount and in the same currency(ies) of the Accepted Contract Amount.</w:t>
            </w:r>
          </w:p>
          <w:p w14:paraId="7A488BAD">
            <w:pPr>
              <w:pStyle w:val="176"/>
              <w:ind w:left="540"/>
            </w:pPr>
          </w:p>
        </w:tc>
      </w:tr>
      <w:tr w14:paraId="42CAB8F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Pr>
        <w:tc>
          <w:tcPr>
            <w:tcW w:w="9218" w:type="dxa"/>
            <w:gridSpan w:val="2"/>
            <w:tcBorders>
              <w:top w:val="single" w:color="auto" w:sz="6" w:space="0"/>
              <w:left w:val="single" w:color="auto" w:sz="6" w:space="0"/>
              <w:bottom w:val="single" w:color="auto" w:sz="6" w:space="0"/>
              <w:right w:val="single" w:color="auto" w:sz="6" w:space="0"/>
            </w:tcBorders>
          </w:tcPr>
          <w:p w14:paraId="4CBE7CE8">
            <w:pPr>
              <w:spacing w:before="120" w:after="200"/>
              <w:ind w:right="-72"/>
              <w:jc w:val="center"/>
              <w:rPr>
                <w:b/>
                <w:sz w:val="28"/>
              </w:rPr>
            </w:pPr>
            <w:r>
              <w:rPr>
                <w:b/>
                <w:sz w:val="28"/>
              </w:rPr>
              <w:t>E. Finishing the Contract</w:t>
            </w:r>
          </w:p>
        </w:tc>
      </w:tr>
      <w:tr w14:paraId="0E051DF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6265F53">
            <w:pPr>
              <w:rPr>
                <w:b/>
              </w:rPr>
            </w:pPr>
            <w:r>
              <w:rPr>
                <w:b/>
              </w:rPr>
              <w:t>GCC 58.1</w:t>
            </w:r>
          </w:p>
        </w:tc>
        <w:tc>
          <w:tcPr>
            <w:tcW w:w="7614" w:type="dxa"/>
            <w:tcBorders>
              <w:top w:val="single" w:color="auto" w:sz="6" w:space="0"/>
              <w:left w:val="single" w:color="auto" w:sz="6" w:space="0"/>
              <w:bottom w:val="single" w:color="auto" w:sz="6" w:space="0"/>
              <w:right w:val="single" w:color="auto" w:sz="6" w:space="0"/>
            </w:tcBorders>
          </w:tcPr>
          <w:p w14:paraId="7E16DFA1">
            <w:pPr>
              <w:rPr>
                <w:rStyle w:val="244"/>
                <w:b/>
                <w:bCs/>
              </w:rPr>
            </w:pPr>
            <w:r>
              <w:rPr>
                <w:rStyle w:val="243"/>
                <w:b w:val="0"/>
                <w:bCs w:val="0"/>
              </w:rPr>
              <w:t xml:space="preserve">The date by which operating and maintenance manuals are required is </w:t>
            </w:r>
            <w:r>
              <w:rPr>
                <w:rStyle w:val="244"/>
                <w:b/>
                <w:bCs/>
              </w:rPr>
              <w:t>28 days after substantial completion of the Works.</w:t>
            </w:r>
          </w:p>
          <w:p w14:paraId="3F5ABF45">
            <w:pPr>
              <w:rPr>
                <w:rStyle w:val="244"/>
                <w:b/>
                <w:bCs/>
              </w:rPr>
            </w:pPr>
          </w:p>
          <w:p w14:paraId="197A8118">
            <w:pPr>
              <w:rPr>
                <w:b/>
                <w:bCs/>
              </w:rPr>
            </w:pPr>
            <w:r>
              <w:rPr>
                <w:rStyle w:val="243"/>
                <w:b w:val="0"/>
                <w:bCs w:val="0"/>
              </w:rPr>
              <w:t xml:space="preserve">The date by which “as built” drawings are required is </w:t>
            </w:r>
            <w:r>
              <w:rPr>
                <w:rStyle w:val="244"/>
                <w:b/>
                <w:bCs/>
              </w:rPr>
              <w:t>28 days after substantial completion of the Works.</w:t>
            </w:r>
          </w:p>
          <w:p w14:paraId="319DCE6E">
            <w:pPr>
              <w:spacing w:after="200"/>
              <w:ind w:right="2"/>
              <w:rPr>
                <w:b/>
              </w:rPr>
            </w:pPr>
            <w:r>
              <mc:AlternateContent>
                <mc:Choice Requires="wps">
                  <w:drawing>
                    <wp:anchor distT="0" distB="0" distL="114300" distR="114300" simplePos="0" relativeHeight="251661312" behindDoc="1" locked="0" layoutInCell="0" allowOverlap="1">
                      <wp:simplePos x="0" y="0"/>
                      <wp:positionH relativeFrom="margin">
                        <wp:posOffset>2741930</wp:posOffset>
                      </wp:positionH>
                      <wp:positionV relativeFrom="page">
                        <wp:posOffset>914400</wp:posOffset>
                      </wp:positionV>
                      <wp:extent cx="2743200" cy="6350"/>
                      <wp:effectExtent l="0" t="0" r="1270" b="3175"/>
                      <wp:wrapNone/>
                      <wp:docPr id="2" name="Rectangle 201"/>
                      <wp:cNvGraphicFramePr/>
                      <a:graphic xmlns:a="http://schemas.openxmlformats.org/drawingml/2006/main">
                        <a:graphicData uri="http://schemas.microsoft.com/office/word/2010/wordprocessingShape">
                          <wps:wsp>
                            <wps:cNvSpPr>
                              <a:spLocks noChangeArrowheads="1"/>
                            </wps:cNvSpPr>
                            <wps:spPr bwMode="auto">
                              <a:xfrm>
                                <a:off x="0" y="0"/>
                                <a:ext cx="2743200" cy="635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w:pict>
                    <v:rect id="Rectangle 201" o:spid="_x0000_s1026" o:spt="1" style="position:absolute;left:0pt;margin-left:215.9pt;margin-top:72pt;height:0.5pt;width:216pt;mso-position-horizontal-relative:margin;mso-position-vertical-relative:page;z-index:-251655168;mso-width-relative:page;mso-height-relative:page;" fillcolor="#000000" filled="t" stroked="f" coordsize="21600,21600" o:allowincell="f" o:gfxdata="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0kJDCdkAAAALAQAADwAAAAAAAAAB&#10;ACAAAAAiAAAAZHJzL2Rvd25yZXYueG1sUEsBAhQAFAAAAAgAh07iQGP/VqAPAgAAKQQAAA4AAAAA&#10;AAAAAQAgAAAAKAEAAGRycy9lMm9Eb2MueG1sUEsFBgAAAAAGAAYAWQEAAKkFAAAAAA==&#10;">
                      <v:fill on="t" focussize="0,0"/>
                      <v:stroke on="f"/>
                      <v:imagedata o:title=""/>
                      <o:lock v:ext="edit" aspectratio="f"/>
                    </v:rect>
                  </w:pict>
                </mc:Fallback>
              </mc:AlternateContent>
            </w:r>
          </w:p>
        </w:tc>
      </w:tr>
      <w:tr w14:paraId="7A50491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55A6111">
            <w:pPr>
              <w:rPr>
                <w:b/>
              </w:rPr>
            </w:pPr>
            <w:r>
              <w:rPr>
                <w:b/>
              </w:rPr>
              <w:t>GCC 58.2</w:t>
            </w:r>
          </w:p>
        </w:tc>
        <w:tc>
          <w:tcPr>
            <w:tcW w:w="7614" w:type="dxa"/>
            <w:tcBorders>
              <w:top w:val="single" w:color="auto" w:sz="6" w:space="0"/>
              <w:left w:val="single" w:color="auto" w:sz="6" w:space="0"/>
              <w:bottom w:val="single" w:color="auto" w:sz="6" w:space="0"/>
              <w:right w:val="single" w:color="auto" w:sz="6" w:space="0"/>
            </w:tcBorders>
          </w:tcPr>
          <w:p w14:paraId="274AC40F">
            <w:pPr>
              <w:spacing w:after="200"/>
              <w:ind w:right="2"/>
            </w:pPr>
            <w:r>
              <w:t xml:space="preserve">The amount to be withheld for failing to produce “as built” drawings and/or operating and maintenance manuals by the date required in GCC Sub-Clause 58.1 is </w:t>
            </w:r>
            <w:r>
              <w:rPr>
                <w:b/>
                <w:i/>
                <w:iCs/>
              </w:rPr>
              <mc:AlternateContent>
                <mc:Choice Requires="wps">
                  <w:drawing>
                    <wp:anchor distT="0" distB="0" distL="114300" distR="114300" simplePos="0" relativeHeight="251662336" behindDoc="1" locked="0" layoutInCell="0" allowOverlap="1">
                      <wp:simplePos x="0" y="0"/>
                      <wp:positionH relativeFrom="margin">
                        <wp:posOffset>2741930</wp:posOffset>
                      </wp:positionH>
                      <wp:positionV relativeFrom="page">
                        <wp:posOffset>914400</wp:posOffset>
                      </wp:positionV>
                      <wp:extent cx="2743200" cy="6350"/>
                      <wp:effectExtent l="0" t="0" r="1270" b="3175"/>
                      <wp:wrapNone/>
                      <wp:docPr id="1" name="Rectangle 203"/>
                      <wp:cNvGraphicFramePr/>
                      <a:graphic xmlns:a="http://schemas.openxmlformats.org/drawingml/2006/main">
                        <a:graphicData uri="http://schemas.microsoft.com/office/word/2010/wordprocessingShape">
                          <wps:wsp>
                            <wps:cNvSpPr>
                              <a:spLocks noChangeArrowheads="1"/>
                            </wps:cNvSpPr>
                            <wps:spPr bwMode="auto">
                              <a:xfrm>
                                <a:off x="0" y="0"/>
                                <a:ext cx="2743200" cy="635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w:pict>
                    <v:rect id="Rectangle 203" o:spid="_x0000_s1026" o:spt="1" style="position:absolute;left:0pt;margin-left:215.9pt;margin-top:72pt;height:0.5pt;width:216pt;mso-position-horizontal-relative:margin;mso-position-vertical-relative:page;z-index:-251654144;mso-width-relative:page;mso-height-relative:page;" fillcolor="#000000" filled="t" stroked="f" coordsize="21600,21600" o:allowincell="f" o:gfxdata="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JCQwnZAAAACwEAAA8AAAAAAAAA&#10;AQAgAAAAIgAAAGRycy9kb3ducmV2LnhtbFBLAQIUABQAAAAIAIdO4kBNWr6CEAIAACkEAAAOAAAA&#10;AAAAAAEAIAAAACgBAABkcnMvZTJvRG9jLnhtbFBLBQYAAAAABgAGAFkBAACqBQAAAAA=&#10;">
                      <v:fill on="t" focussize="0,0"/>
                      <v:stroke on="f"/>
                      <v:imagedata o:title=""/>
                      <o:lock v:ext="edit" aspectratio="f"/>
                    </v:rect>
                  </w:pict>
                </mc:Fallback>
              </mc:AlternateContent>
            </w:r>
            <w:r>
              <w:rPr>
                <w:b/>
                <w:i/>
                <w:iCs/>
              </w:rPr>
              <w:t>KES 100,000.00</w:t>
            </w:r>
          </w:p>
        </w:tc>
      </w:tr>
      <w:tr w14:paraId="6972C28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510E8CB">
            <w:pPr>
              <w:rPr>
                <w:b/>
              </w:rPr>
            </w:pPr>
            <w:r>
              <w:rPr>
                <w:b/>
              </w:rPr>
              <w:t>GCC 59.2 (g)</w:t>
            </w:r>
          </w:p>
        </w:tc>
        <w:tc>
          <w:tcPr>
            <w:tcW w:w="7614" w:type="dxa"/>
            <w:tcBorders>
              <w:top w:val="single" w:color="auto" w:sz="6" w:space="0"/>
              <w:left w:val="single" w:color="auto" w:sz="6" w:space="0"/>
              <w:bottom w:val="single" w:color="auto" w:sz="6" w:space="0"/>
              <w:right w:val="single" w:color="auto" w:sz="6" w:space="0"/>
            </w:tcBorders>
          </w:tcPr>
          <w:p w14:paraId="32659507">
            <w:pPr>
              <w:rPr>
                <w:rStyle w:val="244"/>
                <w:b/>
                <w:bCs/>
              </w:rPr>
            </w:pPr>
            <w:r>
              <w:rPr>
                <w:rStyle w:val="243"/>
                <w:b w:val="0"/>
                <w:bCs w:val="0"/>
              </w:rPr>
              <w:t xml:space="preserve">The maximum number of days is: </w:t>
            </w:r>
            <w:r>
              <w:rPr>
                <w:rStyle w:val="244"/>
                <w:b/>
                <w:bCs/>
              </w:rPr>
              <w:t>150</w:t>
            </w:r>
          </w:p>
          <w:p w14:paraId="24BFB440"/>
        </w:tc>
      </w:tr>
      <w:tr w14:paraId="1FECAAD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604" w:type="dxa"/>
            <w:tcBorders>
              <w:top w:val="single" w:color="auto" w:sz="6" w:space="0"/>
              <w:left w:val="single" w:color="auto" w:sz="6" w:space="0"/>
              <w:bottom w:val="single" w:color="auto" w:sz="6" w:space="0"/>
              <w:right w:val="single" w:color="auto" w:sz="6" w:space="0"/>
            </w:tcBorders>
          </w:tcPr>
          <w:p w14:paraId="729CC519">
            <w:pPr>
              <w:rPr>
                <w:b/>
              </w:rPr>
            </w:pPr>
            <w:r>
              <w:rPr>
                <w:b/>
              </w:rPr>
              <w:t>GCC 60.1</w:t>
            </w:r>
          </w:p>
        </w:tc>
        <w:tc>
          <w:tcPr>
            <w:tcW w:w="7614" w:type="dxa"/>
            <w:tcBorders>
              <w:top w:val="single" w:color="auto" w:sz="6" w:space="0"/>
              <w:left w:val="single" w:color="auto" w:sz="6" w:space="0"/>
              <w:bottom w:val="single" w:color="auto" w:sz="6" w:space="0"/>
              <w:right w:val="single" w:color="auto" w:sz="6" w:space="0"/>
            </w:tcBorders>
          </w:tcPr>
          <w:p w14:paraId="0342420D">
            <w:pPr>
              <w:spacing w:after="200"/>
              <w:ind w:right="2"/>
            </w:pPr>
            <w:r>
              <w:t xml:space="preserve">The percentage to apply to the value of the work not completed, representing the Employer’s additional cost for completing the Works, is </w:t>
            </w:r>
            <w:r>
              <w:rPr>
                <w:b/>
                <w:i/>
              </w:rPr>
              <w:t>10%</w:t>
            </w:r>
          </w:p>
        </w:tc>
      </w:tr>
    </w:tbl>
    <w:p w14:paraId="5562C3D6"/>
    <w:p w14:paraId="48FFCF65"/>
    <w:p w14:paraId="18C429B0"/>
    <w:p w14:paraId="0C7358B6">
      <w:pPr>
        <w:sectPr>
          <w:headerReference r:id="rId37" w:type="first"/>
          <w:headerReference r:id="rId35" w:type="default"/>
          <w:headerReference r:id="rId36" w:type="even"/>
          <w:pgSz w:w="12240" w:h="15840"/>
          <w:pgMar w:top="1440" w:right="1440" w:bottom="1440" w:left="1800" w:header="720" w:footer="720" w:gutter="0"/>
          <w:paperSrc w:first="15" w:other="15"/>
          <w:cols w:space="720" w:num="1"/>
          <w:titlePg/>
        </w:sectPr>
      </w:pPr>
    </w:p>
    <w:p w14:paraId="23F9032F">
      <w:pPr>
        <w:pStyle w:val="54"/>
        <w:ind w:left="180" w:right="288"/>
        <w:rPr>
          <w:rFonts w:cs="Arial"/>
        </w:rPr>
      </w:pPr>
      <w:bookmarkStart w:id="754" w:name="_Toc41971250"/>
    </w:p>
    <w:p w14:paraId="22FBF971">
      <w:pPr>
        <w:pStyle w:val="54"/>
        <w:rPr>
          <w:b w:val="0"/>
        </w:rPr>
      </w:pPr>
      <w:bookmarkStart w:id="755" w:name="_Toc178543297"/>
      <w:r>
        <w:t>Section X - Contract Forms</w:t>
      </w:r>
      <w:bookmarkEnd w:id="754"/>
      <w:bookmarkEnd w:id="755"/>
    </w:p>
    <w:p w14:paraId="379D35F3">
      <w:pPr>
        <w:pStyle w:val="179"/>
        <w:spacing w:after="160"/>
        <w:ind w:left="1152" w:hanging="576"/>
        <w:jc w:val="both"/>
        <w:rPr>
          <w:rFonts w:cs="Arial"/>
          <w:b/>
        </w:rPr>
      </w:pPr>
    </w:p>
    <w:p w14:paraId="252B7336">
      <w:pPr>
        <w:jc w:val="both"/>
      </w:pPr>
      <w:r>
        <w:t>This Section contains forms which, once completed, will form part of the Contract. The forms for Performance Security and Advance Payment Security, when required, shall only be completed by the successful Bidder after contract award.</w:t>
      </w:r>
    </w:p>
    <w:p w14:paraId="0EEFA07C">
      <w:pPr>
        <w:pStyle w:val="179"/>
        <w:spacing w:after="160"/>
        <w:ind w:left="1152" w:hanging="576"/>
        <w:jc w:val="both"/>
        <w:rPr>
          <w:b/>
        </w:rPr>
      </w:pPr>
    </w:p>
    <w:p w14:paraId="19EC5B90">
      <w:pPr>
        <w:jc w:val="center"/>
        <w:rPr>
          <w:b/>
          <w:sz w:val="28"/>
          <w:szCs w:val="28"/>
        </w:rPr>
      </w:pPr>
      <w:bookmarkStart w:id="756" w:name="_Toc139863297"/>
      <w:r>
        <w:rPr>
          <w:b/>
          <w:sz w:val="28"/>
          <w:szCs w:val="28"/>
        </w:rPr>
        <w:t>Table of Forms</w:t>
      </w:r>
      <w:bookmarkEnd w:id="756"/>
    </w:p>
    <w:p w14:paraId="18A96CF9">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TOC \h \z \t "S9 Header 1,1" </w:instrText>
      </w:r>
      <w:r>
        <w:fldChar w:fldCharType="separate"/>
      </w:r>
      <w:r>
        <w:fldChar w:fldCharType="begin"/>
      </w:r>
      <w:r>
        <w:instrText xml:space="preserve"> HYPERLINK \l "_Toc178607077" </w:instrText>
      </w:r>
      <w:r>
        <w:fldChar w:fldCharType="separate"/>
      </w:r>
      <w:r>
        <w:rPr>
          <w:rStyle w:val="31"/>
        </w:rPr>
        <w:t>Letter of Acceptance</w:t>
      </w:r>
      <w:r>
        <w:tab/>
      </w:r>
      <w:r>
        <w:fldChar w:fldCharType="begin"/>
      </w:r>
      <w:r>
        <w:instrText xml:space="preserve"> PAGEREF _Toc178607077 \h </w:instrText>
      </w:r>
      <w:r>
        <w:fldChar w:fldCharType="separate"/>
      </w:r>
      <w:r>
        <w:t>174</w:t>
      </w:r>
      <w:r>
        <w:fldChar w:fldCharType="end"/>
      </w:r>
      <w:r>
        <w:fldChar w:fldCharType="end"/>
      </w:r>
    </w:p>
    <w:p w14:paraId="36C6518B">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"_Toc178607078" </w:instrText>
      </w:r>
      <w:r>
        <w:fldChar w:fldCharType="separate"/>
      </w:r>
      <w:r>
        <w:rPr>
          <w:rStyle w:val="31"/>
        </w:rPr>
        <w:t>Contract Agreement</w:t>
      </w:r>
      <w:r>
        <w:tab/>
      </w:r>
      <w:r>
        <w:fldChar w:fldCharType="begin"/>
      </w:r>
      <w:r>
        <w:instrText xml:space="preserve"> PAGEREF _Toc178607078 \h </w:instrText>
      </w:r>
      <w:r>
        <w:fldChar w:fldCharType="separate"/>
      </w:r>
      <w:r>
        <w:t>176</w:t>
      </w:r>
      <w:r>
        <w:fldChar w:fldCharType="end"/>
      </w:r>
      <w:r>
        <w:fldChar w:fldCharType="end"/>
      </w:r>
    </w:p>
    <w:p w14:paraId="7133071A">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"_Toc178607079" </w:instrText>
      </w:r>
      <w:r>
        <w:fldChar w:fldCharType="separate"/>
      </w:r>
      <w:r>
        <w:rPr>
          <w:rStyle w:val="31"/>
        </w:rPr>
        <w:t>Performance Security (Bank Guarantee)</w:t>
      </w:r>
      <w:r>
        <w:tab/>
      </w:r>
      <w:r>
        <w:fldChar w:fldCharType="begin"/>
      </w:r>
      <w:r>
        <w:instrText xml:space="preserve"> PAGEREF _Toc178607079 \h </w:instrText>
      </w:r>
      <w:r>
        <w:fldChar w:fldCharType="separate"/>
      </w:r>
      <w:r>
        <w:t>178</w:t>
      </w:r>
      <w:r>
        <w:fldChar w:fldCharType="end"/>
      </w:r>
      <w:r>
        <w:fldChar w:fldCharType="end"/>
      </w:r>
    </w:p>
    <w:p w14:paraId="4DA466D5">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"_Toc178607080" </w:instrText>
      </w:r>
      <w:r>
        <w:fldChar w:fldCharType="separate"/>
      </w:r>
      <w:r>
        <w:rPr>
          <w:rStyle w:val="31"/>
        </w:rPr>
        <w:t>Environmental and Social(ES) Performance Security</w:t>
      </w:r>
      <w:r>
        <w:tab/>
      </w:r>
      <w:r>
        <w:fldChar w:fldCharType="begin"/>
      </w:r>
      <w:r>
        <w:instrText xml:space="preserve"> PAGEREF _Toc178607080 \h </w:instrText>
      </w:r>
      <w:r>
        <w:fldChar w:fldCharType="separate"/>
      </w:r>
      <w:r>
        <w:t>180</w:t>
      </w:r>
      <w:r>
        <w:fldChar w:fldCharType="end"/>
      </w:r>
      <w:r>
        <w:fldChar w:fldCharType="end"/>
      </w:r>
    </w:p>
    <w:p w14:paraId="3709D2EB">
      <w:pPr>
        <w:pStyle w:val="58"/>
        <w:tabs>
          <w:tab w:val="right" w:leader="dot" w:pos="8990"/>
        </w:tabs>
        <w:rPr>
          <w:rFonts w:asciiTheme="minorHAnsi" w:hAnsiTheme="minorHAnsi" w:eastAsiaTheme="minorEastAsia" w:cstheme="minorBidi"/>
          <w:b w:val="0"/>
          <w:kern w:val="2"/>
          <w:sz w:val="22"/>
          <w:szCs w:val="22"/>
          <w14:ligatures w14:val="standardContextual"/>
        </w:rPr>
      </w:pPr>
      <w:r>
        <w:fldChar w:fldCharType="begin"/>
      </w:r>
      <w:r>
        <w:instrText xml:space="preserve"> HYPERLINK \l "_Toc178607081" </w:instrText>
      </w:r>
      <w:r>
        <w:fldChar w:fldCharType="separate"/>
      </w:r>
      <w:r>
        <w:rPr>
          <w:rStyle w:val="31"/>
        </w:rPr>
        <w:t>Advance Payment Security</w:t>
      </w:r>
      <w:r>
        <w:tab/>
      </w:r>
      <w:r>
        <w:fldChar w:fldCharType="begin"/>
      </w:r>
      <w:r>
        <w:instrText xml:space="preserve"> PAGEREF _Toc178607081 \h </w:instrText>
      </w:r>
      <w:r>
        <w:fldChar w:fldCharType="separate"/>
      </w:r>
      <w:r>
        <w:t>182</w:t>
      </w:r>
      <w:r>
        <w:fldChar w:fldCharType="end"/>
      </w:r>
      <w:r>
        <w:fldChar w:fldCharType="end"/>
      </w:r>
    </w:p>
    <w:p w14:paraId="6DFE3EB3">
      <w:r>
        <w:fldChar w:fldCharType="end"/>
      </w:r>
    </w:p>
    <w:p w14:paraId="4DB845AC">
      <w:pPr>
        <w:tabs>
          <w:tab w:val="right" w:leader="dot" w:pos="9180"/>
        </w:tabs>
        <w:spacing w:before="120" w:after="120"/>
        <w:ind w:left="360" w:right="108"/>
        <w:rPr>
          <w:b/>
          <w:sz w:val="32"/>
        </w:rPr>
      </w:pPr>
    </w:p>
    <w:p w14:paraId="3155C003">
      <w:pPr>
        <w:pStyle w:val="160"/>
        <w:rPr>
          <w:rFonts w:cs="Arial"/>
          <w:sz w:val="20"/>
        </w:rPr>
      </w:pPr>
      <w:r>
        <w:br w:type="page"/>
      </w:r>
      <w:bookmarkStart w:id="757" w:name="_Toc78273066"/>
      <w:bookmarkStart w:id="758" w:name="_Toc41971555"/>
      <w:bookmarkStart w:id="759" w:name="_Toc111009244"/>
      <w:bookmarkStart w:id="760" w:name="_Toc178607077"/>
      <w:r>
        <w:t>Letter of A</w:t>
      </w:r>
      <w:bookmarkEnd w:id="757"/>
      <w:bookmarkEnd w:id="758"/>
      <w:bookmarkEnd w:id="759"/>
      <w:r>
        <w:t>cceptance</w:t>
      </w:r>
      <w:bookmarkEnd w:id="760"/>
    </w:p>
    <w:p w14:paraId="41B3F57A">
      <w:pPr>
        <w:pStyle w:val="15"/>
        <w:rPr>
          <w:b/>
          <w:i/>
        </w:rPr>
      </w:pPr>
    </w:p>
    <w:p w14:paraId="2FDD209D">
      <w:pPr>
        <w:pStyle w:val="15"/>
        <w:ind w:left="180" w:right="288"/>
        <w:jc w:val="both"/>
        <w:rPr>
          <w:b/>
          <w:i/>
        </w:rPr>
      </w:pPr>
    </w:p>
    <w:p w14:paraId="5138F1F6">
      <w:pPr>
        <w:pStyle w:val="15"/>
        <w:ind w:left="180" w:right="288"/>
        <w:jc w:val="center"/>
        <w:rPr>
          <w:rFonts w:ascii="Times New Roman" w:hAnsi="Times New Roman" w:cs="Times New Roman"/>
          <w:b/>
          <w:i/>
          <w:szCs w:val="20"/>
        </w:rPr>
      </w:pPr>
      <w:r>
        <w:rPr>
          <w:rFonts w:ascii="Times New Roman" w:hAnsi="Times New Roman" w:cs="Times New Roman"/>
          <w:b/>
          <w:i/>
          <w:szCs w:val="20"/>
        </w:rPr>
        <w:t xml:space="preserve">[ on letterhead paper of the </w:t>
      </w:r>
      <w:r>
        <w:rPr>
          <w:rFonts w:ascii="Times New Roman" w:hAnsi="Times New Roman" w:cs="Times New Roman"/>
          <w:szCs w:val="20"/>
        </w:rPr>
        <w:t>Employer</w:t>
      </w:r>
      <w:r>
        <w:rPr>
          <w:rFonts w:ascii="Times New Roman" w:hAnsi="Times New Roman" w:cs="Times New Roman"/>
          <w:b/>
          <w:i/>
          <w:szCs w:val="20"/>
        </w:rPr>
        <w:t>]</w:t>
      </w:r>
    </w:p>
    <w:p w14:paraId="10A75CC9">
      <w:pPr>
        <w:pStyle w:val="15"/>
        <w:ind w:left="180" w:right="288"/>
        <w:jc w:val="both"/>
        <w:rPr>
          <w:rFonts w:ascii="Times New Roman" w:hAnsi="Times New Roman" w:cs="Times New Roman"/>
          <w:b/>
          <w:i/>
          <w:sz w:val="24"/>
        </w:rPr>
      </w:pPr>
    </w:p>
    <w:p w14:paraId="7F9F4C81">
      <w:pPr>
        <w:pStyle w:val="15"/>
        <w:ind w:left="180" w:right="288"/>
        <w:jc w:val="right"/>
        <w:rPr>
          <w:rFonts w:ascii="Times New Roman" w:hAnsi="Times New Roman" w:cs="Times New Roman"/>
          <w:i/>
          <w:sz w:val="24"/>
        </w:rPr>
      </w:pPr>
      <w:r>
        <w:rPr>
          <w:rFonts w:ascii="Times New Roman" w:hAnsi="Times New Roman" w:cs="Times New Roman"/>
          <w:i/>
          <w:sz w:val="24"/>
        </w:rPr>
        <w:t xml:space="preserve">. . . . . . . </w:t>
      </w:r>
      <w:r>
        <w:rPr>
          <w:rFonts w:ascii="Times New Roman" w:hAnsi="Times New Roman" w:cs="Times New Roman"/>
          <w:b/>
          <w:i/>
          <w:sz w:val="24"/>
        </w:rPr>
        <w:t>[</w:t>
      </w:r>
      <w:r>
        <w:rPr>
          <w:rFonts w:ascii="Times New Roman" w:hAnsi="Times New Roman" w:cs="Times New Roman"/>
          <w:b/>
          <w:bCs/>
          <w:i/>
          <w:szCs w:val="20"/>
        </w:rPr>
        <w:t>date]</w:t>
      </w:r>
      <w:r>
        <w:rPr>
          <w:rFonts w:ascii="Times New Roman" w:hAnsi="Times New Roman" w:cs="Times New Roman"/>
          <w:i/>
          <w:sz w:val="24"/>
        </w:rPr>
        <w:t>. . . . . . .</w:t>
      </w:r>
    </w:p>
    <w:p w14:paraId="1D46E7A1">
      <w:pPr>
        <w:pStyle w:val="15"/>
        <w:ind w:left="180" w:right="288"/>
        <w:jc w:val="both"/>
        <w:rPr>
          <w:rFonts w:ascii="Times New Roman" w:hAnsi="Times New Roman" w:cs="Times New Roman"/>
          <w:iCs/>
          <w:sz w:val="24"/>
        </w:rPr>
      </w:pPr>
    </w:p>
    <w:p w14:paraId="4430BB38">
      <w:pPr>
        <w:pStyle w:val="15"/>
        <w:ind w:left="180" w:right="288"/>
        <w:jc w:val="both"/>
        <w:rPr>
          <w:rFonts w:ascii="Times New Roman" w:hAnsi="Times New Roman" w:cs="Times New Roman"/>
          <w:iCs/>
          <w:sz w:val="24"/>
        </w:rPr>
      </w:pPr>
      <w:r>
        <w:rPr>
          <w:rFonts w:ascii="Times New Roman" w:hAnsi="Times New Roman" w:cs="Times New Roman"/>
          <w:iCs/>
          <w:sz w:val="24"/>
        </w:rPr>
        <w:t>To:</w:t>
      </w:r>
      <w:r>
        <w:rPr>
          <w:rFonts w:ascii="Times New Roman" w:hAnsi="Times New Roman" w:cs="Times New Roman"/>
          <w:iCs/>
          <w:sz w:val="24"/>
        </w:rPr>
        <w:tab/>
      </w:r>
      <w:r>
        <w:rPr>
          <w:rFonts w:ascii="Times New Roman" w:hAnsi="Times New Roman" w:cs="Times New Roman"/>
          <w:iCs/>
          <w:sz w:val="24"/>
        </w:rPr>
        <w:t xml:space="preserve">. . . . . . . . . .  </w:t>
      </w:r>
      <w:r>
        <w:rPr>
          <w:rFonts w:ascii="Times New Roman" w:hAnsi="Times New Roman" w:cs="Times New Roman"/>
          <w:b/>
          <w:i/>
          <w:iCs/>
          <w:sz w:val="24"/>
        </w:rPr>
        <w:t>[</w:t>
      </w:r>
      <w:r>
        <w:rPr>
          <w:rFonts w:ascii="Times New Roman" w:hAnsi="Times New Roman" w:cs="Times New Roman"/>
          <w:iCs/>
          <w:szCs w:val="20"/>
        </w:rPr>
        <w:t xml:space="preserve"> </w:t>
      </w:r>
      <w:r>
        <w:rPr>
          <w:rFonts w:ascii="Times New Roman" w:hAnsi="Times New Roman" w:cs="Times New Roman"/>
          <w:b/>
          <w:bCs/>
          <w:i/>
          <w:szCs w:val="20"/>
        </w:rPr>
        <w:t>name and address of the Contractor]</w:t>
      </w:r>
      <w:r>
        <w:rPr>
          <w:rFonts w:ascii="Times New Roman" w:hAnsi="Times New Roman" w:cs="Times New Roman"/>
          <w:iCs/>
          <w:sz w:val="24"/>
        </w:rPr>
        <w:t xml:space="preserve"> . . . . . . . . . .   </w:t>
      </w:r>
    </w:p>
    <w:p w14:paraId="1C8B21DF">
      <w:pPr>
        <w:pStyle w:val="15"/>
        <w:ind w:left="180" w:right="288"/>
        <w:jc w:val="both"/>
        <w:rPr>
          <w:rFonts w:ascii="Times New Roman" w:hAnsi="Times New Roman" w:cs="Times New Roman"/>
          <w:iCs/>
          <w:sz w:val="24"/>
        </w:rPr>
      </w:pPr>
    </w:p>
    <w:p w14:paraId="209F2947">
      <w:pPr>
        <w:pStyle w:val="15"/>
        <w:ind w:left="180" w:right="288"/>
        <w:jc w:val="both"/>
        <w:rPr>
          <w:rFonts w:ascii="Times New Roman" w:hAnsi="Times New Roman" w:cs="Times New Roman"/>
          <w:iCs/>
          <w:sz w:val="24"/>
        </w:rPr>
      </w:pPr>
      <w:r>
        <w:rPr>
          <w:rFonts w:ascii="Times New Roman" w:hAnsi="Times New Roman" w:cs="Times New Roman"/>
          <w:iCs/>
          <w:sz w:val="24"/>
        </w:rPr>
        <w:t>Subject:</w:t>
      </w:r>
      <w:r>
        <w:rPr>
          <w:rFonts w:ascii="Times New Roman" w:hAnsi="Times New Roman" w:cs="Times New Roman"/>
          <w:iCs/>
          <w:sz w:val="24"/>
        </w:rPr>
        <w:tab/>
      </w:r>
      <w:r>
        <w:rPr>
          <w:rFonts w:ascii="Times New Roman" w:hAnsi="Times New Roman" w:cs="Times New Roman"/>
          <w:iCs/>
          <w:sz w:val="24"/>
        </w:rPr>
        <w:t xml:space="preserve">. . . . . . . . . .   </w:t>
      </w:r>
      <w:r>
        <w:rPr>
          <w:rFonts w:ascii="Times New Roman" w:hAnsi="Times New Roman" w:cs="Times New Roman"/>
          <w:b/>
          <w:i/>
          <w:iCs/>
          <w:sz w:val="24"/>
        </w:rPr>
        <w:t>[</w:t>
      </w:r>
      <w:r>
        <w:rPr>
          <w:rFonts w:ascii="Times New Roman" w:hAnsi="Times New Roman" w:cs="Times New Roman"/>
          <w:b/>
          <w:bCs/>
          <w:i/>
          <w:szCs w:val="20"/>
        </w:rPr>
        <w:t>Notification of Award Contract No]</w:t>
      </w:r>
      <w:r>
        <w:rPr>
          <w:rFonts w:ascii="Times New Roman" w:hAnsi="Times New Roman" w:cs="Times New Roman"/>
          <w:iCs/>
          <w:szCs w:val="20"/>
        </w:rPr>
        <w:t>.</w:t>
      </w:r>
      <w:r>
        <w:rPr>
          <w:rFonts w:ascii="Times New Roman" w:hAnsi="Times New Roman" w:cs="Times New Roman"/>
          <w:iCs/>
          <w:sz w:val="24"/>
        </w:rPr>
        <w:t xml:space="preserve">  . . . . . . . . . .   </w:t>
      </w:r>
    </w:p>
    <w:p w14:paraId="14FF444A">
      <w:pPr>
        <w:pStyle w:val="15"/>
        <w:ind w:left="180" w:right="288"/>
        <w:jc w:val="both"/>
        <w:rPr>
          <w:rFonts w:ascii="Times New Roman" w:hAnsi="Times New Roman" w:cs="Times New Roman"/>
          <w:iCs/>
          <w:sz w:val="24"/>
        </w:rPr>
      </w:pPr>
    </w:p>
    <w:p w14:paraId="1FEB86E7">
      <w:pPr>
        <w:ind w:left="180" w:right="288"/>
        <w:jc w:val="both"/>
        <w:rPr>
          <w:iCs/>
        </w:rPr>
      </w:pPr>
    </w:p>
    <w:p w14:paraId="29A3125A">
      <w:pPr>
        <w:pStyle w:val="18"/>
        <w:ind w:left="180" w:right="288"/>
        <w:jc w:val="both"/>
        <w:rPr>
          <w:rFonts w:ascii="Times New Roman" w:hAnsi="Times New Roman" w:cs="Times New Roman"/>
          <w:iCs/>
          <w:sz w:val="24"/>
        </w:rPr>
      </w:pPr>
      <w:r>
        <w:rPr>
          <w:rFonts w:ascii="Times New Roman" w:hAnsi="Times New Roman" w:cs="Times New Roman"/>
          <w:iCs/>
          <w:sz w:val="24"/>
        </w:rPr>
        <w:t xml:space="preserve">This is to notify you that your Bid dated . . . . </w:t>
      </w:r>
      <w:r>
        <w:rPr>
          <w:rFonts w:ascii="Times New Roman" w:hAnsi="Times New Roman" w:cs="Times New Roman"/>
          <w:b/>
          <w:bCs/>
          <w:i/>
          <w:szCs w:val="20"/>
        </w:rPr>
        <w:t>[insert date] . .</w:t>
      </w:r>
      <w:r>
        <w:rPr>
          <w:rFonts w:ascii="Times New Roman" w:hAnsi="Times New Roman" w:cs="Times New Roman"/>
          <w:iCs/>
          <w:sz w:val="24"/>
        </w:rPr>
        <w:t xml:space="preserve"> . .  for execution of the </w:t>
      </w:r>
      <w:r>
        <w:rPr>
          <w:rFonts w:ascii="Times New Roman" w:hAnsi="Times New Roman" w:cs="Times New Roman"/>
          <w:b/>
          <w:bCs/>
          <w:iCs/>
          <w:sz w:val="24"/>
          <w:highlight w:val="none"/>
        </w:rPr>
        <w:t xml:space="preserve">Construction of 1no. Faecal Sludge Treatment Plant for Wajir Town, Bid No </w:t>
      </w:r>
      <w:r>
        <w:rPr>
          <w:b/>
          <w:bCs/>
          <w:color w:val="auto"/>
          <w:highlight w:val="none"/>
        </w:rPr>
        <w:t>KE-WAJWASCO</w:t>
      </w:r>
      <w:r>
        <w:rPr>
          <w:rFonts w:hint="default"/>
          <w:b/>
          <w:bCs/>
          <w:color w:val="auto"/>
          <w:highlight w:val="none"/>
          <w:lang w:val="en-US"/>
        </w:rPr>
        <w:t>-456993</w:t>
      </w:r>
      <w:r>
        <w:rPr>
          <w:b/>
          <w:bCs/>
          <w:color w:val="auto"/>
          <w:highlight w:val="none"/>
        </w:rPr>
        <w:t>-</w:t>
      </w:r>
      <w:r>
        <w:rPr>
          <w:rFonts w:hint="default"/>
          <w:b/>
          <w:bCs/>
          <w:color w:val="auto"/>
          <w:highlight w:val="none"/>
          <w:lang w:val="en-US"/>
        </w:rPr>
        <w:t>CW</w:t>
      </w:r>
      <w:r>
        <w:rPr>
          <w:b/>
          <w:bCs/>
          <w:color w:val="auto"/>
          <w:highlight w:val="none"/>
        </w:rPr>
        <w:t>-RF</w:t>
      </w:r>
      <w:r>
        <w:rPr>
          <w:color w:val="auto"/>
          <w:highlight w:val="none"/>
        </w:rPr>
        <w:t>B</w:t>
      </w:r>
      <w:r>
        <w:rPr>
          <w:rFonts w:ascii="Times New Roman" w:hAnsi="Times New Roman" w:cs="Times New Roman"/>
          <w:b/>
          <w:bCs/>
          <w:iCs/>
          <w:sz w:val="24"/>
          <w:highlight w:val="none"/>
        </w:rPr>
        <w:t xml:space="preserve"> </w:t>
      </w:r>
      <w:r>
        <w:rPr>
          <w:rFonts w:ascii="Times New Roman" w:hAnsi="Times New Roman" w:cs="Times New Roman"/>
          <w:b/>
          <w:i/>
          <w:iCs/>
          <w:szCs w:val="20"/>
        </w:rPr>
        <w:t xml:space="preserve">[insert </w:t>
      </w:r>
      <w:r>
        <w:rPr>
          <w:rFonts w:ascii="Times New Roman" w:hAnsi="Times New Roman" w:cs="Times New Roman"/>
          <w:b/>
          <w:bCs/>
          <w:i/>
          <w:szCs w:val="20"/>
        </w:rPr>
        <w:t>name of the contract and identification number, as given in the PCC]</w:t>
      </w:r>
      <w:r>
        <w:rPr>
          <w:rFonts w:ascii="Times New Roman" w:hAnsi="Times New Roman" w:cs="Times New Roman"/>
          <w:i/>
          <w:iCs/>
          <w:szCs w:val="20"/>
        </w:rPr>
        <w:t xml:space="preserve"> </w:t>
      </w:r>
      <w:r>
        <w:rPr>
          <w:rFonts w:ascii="Times New Roman" w:hAnsi="Times New Roman" w:cs="Times New Roman"/>
          <w:iCs/>
          <w:szCs w:val="20"/>
        </w:rPr>
        <w:t xml:space="preserve">. </w:t>
      </w:r>
      <w:r>
        <w:rPr>
          <w:rFonts w:ascii="Times New Roman" w:hAnsi="Times New Roman" w:cs="Times New Roman"/>
          <w:iCs/>
          <w:sz w:val="24"/>
        </w:rPr>
        <w:t xml:space="preserve">. . . . . . . . . for the Accepted Contract Amount of . . . . . . . . </w:t>
      </w:r>
      <w:r>
        <w:rPr>
          <w:rFonts w:ascii="Times New Roman" w:hAnsi="Times New Roman" w:cs="Times New Roman"/>
          <w:b/>
          <w:bCs/>
          <w:i/>
          <w:szCs w:val="20"/>
        </w:rPr>
        <w:t>.[insert</w:t>
      </w:r>
      <w:r>
        <w:rPr>
          <w:rFonts w:ascii="Times New Roman" w:hAnsi="Times New Roman" w:cs="Times New Roman"/>
          <w:iCs/>
          <w:sz w:val="24"/>
        </w:rPr>
        <w:t xml:space="preserve"> </w:t>
      </w:r>
      <w:r>
        <w:rPr>
          <w:rFonts w:ascii="Times New Roman" w:hAnsi="Times New Roman" w:cs="Times New Roman"/>
          <w:b/>
          <w:bCs/>
          <w:i/>
          <w:szCs w:val="20"/>
        </w:rPr>
        <w:t>amount in numbers and words and name of currency]</w:t>
      </w:r>
      <w:r>
        <w:rPr>
          <w:rFonts w:ascii="Times New Roman" w:hAnsi="Times New Roman" w:cs="Times New Roman"/>
          <w:iCs/>
          <w:sz w:val="24"/>
        </w:rPr>
        <w:t>, as corrected and modified in accordance with the Instructions to Bidders is hereby accepted by our Agency.</w:t>
      </w:r>
    </w:p>
    <w:p w14:paraId="7003D6A4">
      <w:pPr>
        <w:pStyle w:val="18"/>
        <w:ind w:left="180" w:right="288"/>
        <w:jc w:val="both"/>
        <w:rPr>
          <w:rFonts w:ascii="Times New Roman" w:hAnsi="Times New Roman" w:cs="Times New Roman"/>
          <w:iCs/>
          <w:sz w:val="24"/>
        </w:rPr>
      </w:pPr>
    </w:p>
    <w:p w14:paraId="5E4E4A83">
      <w:pPr>
        <w:pStyle w:val="18"/>
        <w:ind w:left="180" w:right="288"/>
        <w:jc w:val="both"/>
        <w:rPr>
          <w:rFonts w:ascii="Times New Roman" w:hAnsi="Times New Roman" w:cs="Times New Roman"/>
          <w:iCs/>
          <w:sz w:val="24"/>
        </w:rPr>
      </w:pPr>
      <w:r>
        <w:rPr>
          <w:rFonts w:ascii="Times New Roman" w:hAnsi="Times New Roman" w:cs="Times New Roman"/>
          <w:iCs/>
          <w:sz w:val="24"/>
        </w:rPr>
        <w:t xml:space="preserve">You are requested to furnish the Performance Security </w:t>
      </w:r>
      <w:r>
        <w:rPr>
          <w:rFonts w:ascii="Times New Roman" w:hAnsi="Times New Roman" w:cs="Times New Roman"/>
          <w:color w:val="000000"/>
          <w:sz w:val="24"/>
        </w:rPr>
        <w:t xml:space="preserve">and an Environmental and Social, Performance Security </w:t>
      </w:r>
      <w:r>
        <w:rPr>
          <w:rFonts w:ascii="Times New Roman" w:hAnsi="Times New Roman" w:cs="Times New Roman"/>
          <w:b/>
          <w:i/>
          <w:color w:val="000000"/>
          <w:sz w:val="24"/>
        </w:rPr>
        <w:t>[Delete ES Performance Security if it is not required under the contract]</w:t>
      </w:r>
      <w:r>
        <w:rPr>
          <w:rFonts w:ascii="Times New Roman" w:hAnsi="Times New Roman" w:cs="Times New Roman"/>
          <w:color w:val="000000"/>
          <w:sz w:val="24"/>
        </w:rPr>
        <w:t xml:space="preserve"> </w:t>
      </w:r>
      <w:r>
        <w:rPr>
          <w:rFonts w:ascii="Times New Roman" w:hAnsi="Times New Roman" w:cs="Times New Roman"/>
          <w:iCs/>
          <w:sz w:val="24"/>
        </w:rPr>
        <w:t xml:space="preserve">within 28 days in accordance with the Conditions of Contract, using for that purpose the of the Performance Security Form </w:t>
      </w:r>
      <w:r>
        <w:rPr>
          <w:rFonts w:ascii="Times New Roman" w:hAnsi="Times New Roman" w:cs="Times New Roman"/>
          <w:sz w:val="24"/>
        </w:rPr>
        <w:t xml:space="preserve">and the </w:t>
      </w:r>
      <w:r>
        <w:rPr>
          <w:rFonts w:ascii="Times New Roman" w:hAnsi="Times New Roman" w:cs="Times New Roman"/>
          <w:spacing w:val="-6"/>
          <w:sz w:val="24"/>
        </w:rPr>
        <w:t>ES Performance Security</w:t>
      </w:r>
      <w:r>
        <w:rPr>
          <w:rFonts w:ascii="Times New Roman" w:hAnsi="Times New Roman" w:cs="Times New Roman"/>
          <w:color w:val="000000"/>
          <w:sz w:val="24"/>
        </w:rPr>
        <w:t xml:space="preserve"> Form, </w:t>
      </w:r>
      <w:r>
        <w:rPr>
          <w:rFonts w:ascii="Times New Roman" w:hAnsi="Times New Roman" w:cs="Times New Roman"/>
          <w:b/>
          <w:i/>
          <w:color w:val="000000"/>
          <w:sz w:val="24"/>
        </w:rPr>
        <w:t>[Delete reference to the ES Performance Security Form if it is not required under the contract]</w:t>
      </w:r>
      <w:r>
        <w:rPr>
          <w:rFonts w:ascii="Times New Roman" w:hAnsi="Times New Roman" w:cs="Times New Roman"/>
          <w:color w:val="000000"/>
          <w:sz w:val="24"/>
        </w:rPr>
        <w:t xml:space="preserve"> i</w:t>
      </w:r>
      <w:r>
        <w:rPr>
          <w:rFonts w:ascii="Times New Roman" w:hAnsi="Times New Roman" w:cs="Times New Roman"/>
          <w:iCs/>
          <w:sz w:val="24"/>
        </w:rPr>
        <w:t>ncluded in Section X - Contract Forms, of the bidding document.</w:t>
      </w:r>
    </w:p>
    <w:p w14:paraId="7C8D6405">
      <w:pPr>
        <w:pStyle w:val="18"/>
        <w:ind w:left="180" w:right="288"/>
        <w:jc w:val="both"/>
        <w:rPr>
          <w:rFonts w:ascii="Times New Roman" w:hAnsi="Times New Roman" w:cs="Times New Roman"/>
          <w:iCs/>
          <w:sz w:val="24"/>
        </w:rPr>
      </w:pPr>
    </w:p>
    <w:p w14:paraId="57430B40">
      <w:pPr>
        <w:pStyle w:val="18"/>
        <w:ind w:left="180" w:right="288"/>
        <w:jc w:val="both"/>
        <w:rPr>
          <w:rFonts w:ascii="Times New Roman" w:hAnsi="Times New Roman" w:cs="Times New Roman"/>
          <w:b/>
          <w:i/>
          <w:iCs/>
          <w:sz w:val="24"/>
        </w:rPr>
      </w:pPr>
      <w:r>
        <w:rPr>
          <w:rFonts w:ascii="Times New Roman" w:hAnsi="Times New Roman" w:cs="Times New Roman"/>
          <w:b/>
          <w:i/>
          <w:iCs/>
          <w:sz w:val="24"/>
        </w:rPr>
        <w:t>[Choose one of the following statements:]</w:t>
      </w:r>
    </w:p>
    <w:p w14:paraId="421384C5">
      <w:pPr>
        <w:pStyle w:val="18"/>
        <w:ind w:left="180" w:right="288"/>
        <w:jc w:val="both"/>
        <w:rPr>
          <w:rFonts w:ascii="Times New Roman" w:hAnsi="Times New Roman" w:cs="Times New Roman"/>
          <w:iCs/>
          <w:sz w:val="24"/>
        </w:rPr>
      </w:pPr>
    </w:p>
    <w:p w14:paraId="01D95056">
      <w:pPr>
        <w:pStyle w:val="18"/>
        <w:ind w:left="180" w:right="288"/>
        <w:jc w:val="both"/>
        <w:rPr>
          <w:rFonts w:ascii="Times New Roman" w:hAnsi="Times New Roman" w:cs="Times New Roman"/>
          <w:iCs/>
          <w:sz w:val="24"/>
        </w:rPr>
      </w:pPr>
      <w:r>
        <w:rPr>
          <w:rFonts w:ascii="Times New Roman" w:hAnsi="Times New Roman" w:cs="Times New Roman"/>
          <w:iCs/>
          <w:sz w:val="24"/>
        </w:rPr>
        <w:t>We accept that __________________________</w:t>
      </w:r>
      <w:r>
        <w:rPr>
          <w:rFonts w:ascii="Times New Roman" w:hAnsi="Times New Roman" w:cs="Times New Roman"/>
          <w:b/>
          <w:i/>
          <w:iCs/>
          <w:szCs w:val="20"/>
        </w:rPr>
        <w:t xml:space="preserve">[insert the name of Adjudicator proposed by the Bidder]  </w:t>
      </w:r>
      <w:r>
        <w:rPr>
          <w:rFonts w:ascii="Times New Roman" w:hAnsi="Times New Roman" w:cs="Times New Roman"/>
          <w:iCs/>
          <w:sz w:val="24"/>
        </w:rPr>
        <w:t>be appointed as the Adjudicator.</w:t>
      </w:r>
    </w:p>
    <w:p w14:paraId="08EBB3C2">
      <w:pPr>
        <w:pStyle w:val="18"/>
        <w:ind w:left="180" w:right="288"/>
        <w:jc w:val="both"/>
        <w:rPr>
          <w:rFonts w:ascii="Times New Roman" w:hAnsi="Times New Roman" w:cs="Times New Roman"/>
          <w:iCs/>
          <w:sz w:val="24"/>
        </w:rPr>
      </w:pPr>
    </w:p>
    <w:p w14:paraId="555BDC04">
      <w:pPr>
        <w:pStyle w:val="18"/>
        <w:ind w:left="180" w:right="288"/>
        <w:jc w:val="both"/>
        <w:rPr>
          <w:rFonts w:ascii="Times New Roman" w:hAnsi="Times New Roman" w:cs="Times New Roman"/>
          <w:b/>
          <w:i/>
          <w:iCs/>
          <w:sz w:val="24"/>
        </w:rPr>
      </w:pPr>
      <w:r>
        <w:rPr>
          <w:rFonts w:ascii="Times New Roman" w:hAnsi="Times New Roman" w:cs="Times New Roman"/>
          <w:b/>
          <w:i/>
          <w:iCs/>
          <w:sz w:val="24"/>
        </w:rPr>
        <w:t>[or]</w:t>
      </w:r>
    </w:p>
    <w:p w14:paraId="40145B50">
      <w:pPr>
        <w:pStyle w:val="18"/>
        <w:ind w:left="180" w:right="288"/>
        <w:jc w:val="both"/>
        <w:rPr>
          <w:rFonts w:ascii="Times New Roman" w:hAnsi="Times New Roman" w:cs="Times New Roman"/>
          <w:iCs/>
          <w:sz w:val="24"/>
        </w:rPr>
      </w:pPr>
    </w:p>
    <w:p w14:paraId="67FFDCC2">
      <w:pPr>
        <w:pStyle w:val="18"/>
        <w:ind w:left="180" w:right="288"/>
        <w:jc w:val="both"/>
        <w:rPr>
          <w:rFonts w:ascii="Times New Roman" w:hAnsi="Times New Roman" w:cs="Times New Roman"/>
          <w:iCs/>
          <w:sz w:val="24"/>
        </w:rPr>
      </w:pPr>
      <w:r>
        <w:rPr>
          <w:rFonts w:ascii="Times New Roman" w:hAnsi="Times New Roman" w:cs="Times New Roman"/>
          <w:iCs/>
          <w:sz w:val="24"/>
        </w:rPr>
        <w:t>We do not accept that _______________________</w:t>
      </w:r>
      <w:r>
        <w:rPr>
          <w:rFonts w:ascii="Times New Roman" w:hAnsi="Times New Roman" w:cs="Times New Roman"/>
          <w:b/>
          <w:i/>
          <w:iCs/>
          <w:szCs w:val="20"/>
        </w:rPr>
        <w:t xml:space="preserve">[insert the name of the Adjudicator proposed by the Bidder] </w:t>
      </w:r>
      <w:r>
        <w:rPr>
          <w:rFonts w:ascii="Times New Roman" w:hAnsi="Times New Roman" w:cs="Times New Roman"/>
          <w:iCs/>
          <w:sz w:val="24"/>
        </w:rPr>
        <w:t>be appointed as the Adjudicator, and by sending a copy of this Letter of Acceptance to ________________________________________</w:t>
      </w:r>
      <w:r>
        <w:rPr>
          <w:rFonts w:ascii="Times New Roman" w:hAnsi="Times New Roman" w:cs="Times New Roman"/>
          <w:b/>
          <w:i/>
          <w:iCs/>
          <w:szCs w:val="20"/>
        </w:rPr>
        <w:t>[insert name of the Appointing Authority]</w:t>
      </w:r>
      <w:r>
        <w:rPr>
          <w:rFonts w:ascii="Times New Roman" w:hAnsi="Times New Roman" w:cs="Times New Roman"/>
          <w:iCs/>
          <w:sz w:val="24"/>
        </w:rPr>
        <w:t>, the Appointing Authority, we are hereby requesting such Authority to appoint the Adjudicator in accordance with ITB 43.1 and GCC 23.1.</w:t>
      </w:r>
    </w:p>
    <w:p w14:paraId="5DC4F05E">
      <w:pPr>
        <w:pStyle w:val="18"/>
        <w:ind w:left="180" w:right="288"/>
        <w:jc w:val="both"/>
        <w:rPr>
          <w:rFonts w:ascii="Times New Roman" w:hAnsi="Times New Roman" w:cs="Times New Roman"/>
          <w:iCs/>
          <w:sz w:val="24"/>
        </w:rPr>
      </w:pPr>
    </w:p>
    <w:p w14:paraId="67462395">
      <w:pPr>
        <w:pStyle w:val="18"/>
        <w:ind w:left="180" w:right="288"/>
        <w:jc w:val="both"/>
        <w:rPr>
          <w:rFonts w:ascii="Times New Roman" w:hAnsi="Times New Roman" w:cs="Times New Roman"/>
          <w:iCs/>
          <w:sz w:val="24"/>
        </w:rPr>
      </w:pPr>
    </w:p>
    <w:p w14:paraId="08CFF861">
      <w:pPr>
        <w:pStyle w:val="18"/>
        <w:ind w:left="180" w:right="288"/>
        <w:jc w:val="both"/>
        <w:rPr>
          <w:rFonts w:ascii="Times New Roman" w:hAnsi="Times New Roman" w:cs="Times New Roman"/>
          <w:iCs/>
          <w:sz w:val="24"/>
        </w:rPr>
      </w:pPr>
    </w:p>
    <w:p w14:paraId="2D784E46">
      <w:pPr>
        <w:pStyle w:val="18"/>
        <w:tabs>
          <w:tab w:val="right" w:leader="dot" w:pos="9360"/>
        </w:tabs>
        <w:ind w:left="180" w:right="288"/>
        <w:jc w:val="both"/>
        <w:rPr>
          <w:rFonts w:ascii="Times New Roman" w:hAnsi="Times New Roman" w:cs="Times New Roman"/>
          <w:iCs/>
          <w:sz w:val="24"/>
        </w:rPr>
      </w:pPr>
      <w:r>
        <w:rPr>
          <w:rFonts w:ascii="Times New Roman" w:hAnsi="Times New Roman" w:cs="Times New Roman"/>
          <w:iCs/>
          <w:sz w:val="24"/>
        </w:rPr>
        <w:t xml:space="preserve">Authorized Signature:  </w:t>
      </w:r>
      <w:r>
        <w:rPr>
          <w:rFonts w:ascii="Times New Roman" w:hAnsi="Times New Roman" w:cs="Times New Roman"/>
          <w:iCs/>
          <w:sz w:val="24"/>
        </w:rPr>
        <w:tab/>
      </w:r>
    </w:p>
    <w:p w14:paraId="7B5F8D45">
      <w:pPr>
        <w:pStyle w:val="18"/>
        <w:tabs>
          <w:tab w:val="right" w:leader="dot" w:pos="9360"/>
        </w:tabs>
        <w:ind w:left="180" w:right="288"/>
        <w:jc w:val="both"/>
        <w:rPr>
          <w:rFonts w:ascii="Times New Roman" w:hAnsi="Times New Roman" w:cs="Times New Roman"/>
          <w:iCs/>
          <w:sz w:val="24"/>
        </w:rPr>
      </w:pPr>
    </w:p>
    <w:p w14:paraId="1BBB98F7">
      <w:pPr>
        <w:pStyle w:val="18"/>
        <w:tabs>
          <w:tab w:val="right" w:leader="dot" w:pos="9360"/>
        </w:tabs>
        <w:ind w:left="180" w:right="288"/>
        <w:jc w:val="both"/>
        <w:rPr>
          <w:rFonts w:ascii="Times New Roman" w:hAnsi="Times New Roman" w:cs="Times New Roman"/>
          <w:iCs/>
          <w:sz w:val="24"/>
        </w:rPr>
      </w:pPr>
    </w:p>
    <w:p w14:paraId="06E7E9D1">
      <w:pPr>
        <w:pStyle w:val="18"/>
        <w:tabs>
          <w:tab w:val="right" w:leader="dot" w:pos="9360"/>
        </w:tabs>
        <w:ind w:left="180" w:right="288"/>
        <w:jc w:val="both"/>
        <w:rPr>
          <w:rFonts w:ascii="Times New Roman" w:hAnsi="Times New Roman" w:cs="Times New Roman"/>
          <w:iCs/>
          <w:sz w:val="24"/>
        </w:rPr>
      </w:pPr>
      <w:r>
        <w:rPr>
          <w:rFonts w:ascii="Times New Roman" w:hAnsi="Times New Roman" w:cs="Times New Roman"/>
          <w:iCs/>
          <w:sz w:val="24"/>
        </w:rPr>
        <w:t xml:space="preserve">Name and Title of Signatory:  </w:t>
      </w:r>
      <w:r>
        <w:rPr>
          <w:rFonts w:ascii="Times New Roman" w:hAnsi="Times New Roman" w:cs="Times New Roman"/>
          <w:iCs/>
          <w:sz w:val="24"/>
        </w:rPr>
        <w:tab/>
      </w:r>
    </w:p>
    <w:p w14:paraId="0A019F3E">
      <w:pPr>
        <w:pStyle w:val="18"/>
        <w:tabs>
          <w:tab w:val="right" w:leader="dot" w:pos="9360"/>
        </w:tabs>
        <w:ind w:left="180" w:right="288"/>
        <w:jc w:val="both"/>
        <w:rPr>
          <w:rFonts w:ascii="Times New Roman" w:hAnsi="Times New Roman" w:cs="Times New Roman"/>
          <w:iCs/>
          <w:sz w:val="24"/>
        </w:rPr>
      </w:pPr>
    </w:p>
    <w:p w14:paraId="7B46B65B">
      <w:pPr>
        <w:pStyle w:val="18"/>
        <w:tabs>
          <w:tab w:val="right" w:leader="dot" w:pos="9360"/>
        </w:tabs>
        <w:ind w:left="180" w:right="288"/>
        <w:jc w:val="both"/>
        <w:rPr>
          <w:rFonts w:ascii="Times New Roman" w:hAnsi="Times New Roman" w:cs="Times New Roman"/>
          <w:iCs/>
          <w:sz w:val="24"/>
        </w:rPr>
      </w:pPr>
    </w:p>
    <w:p w14:paraId="62CEC109">
      <w:pPr>
        <w:pStyle w:val="18"/>
        <w:tabs>
          <w:tab w:val="right" w:leader="dot" w:pos="9360"/>
        </w:tabs>
        <w:ind w:left="180" w:right="288"/>
        <w:jc w:val="both"/>
        <w:rPr>
          <w:rFonts w:ascii="Times New Roman" w:hAnsi="Times New Roman" w:cs="Times New Roman"/>
          <w:iCs/>
          <w:sz w:val="24"/>
        </w:rPr>
      </w:pPr>
      <w:r>
        <w:rPr>
          <w:rFonts w:ascii="Times New Roman" w:hAnsi="Times New Roman" w:cs="Times New Roman"/>
          <w:iCs/>
          <w:sz w:val="24"/>
        </w:rPr>
        <w:t xml:space="preserve">Name of Agency:  </w:t>
      </w:r>
      <w:r>
        <w:rPr>
          <w:rFonts w:ascii="Times New Roman" w:hAnsi="Times New Roman" w:cs="Times New Roman"/>
          <w:iCs/>
          <w:sz w:val="24"/>
        </w:rPr>
        <w:tab/>
      </w:r>
    </w:p>
    <w:p w14:paraId="30D05967">
      <w:pPr>
        <w:pStyle w:val="92"/>
        <w:ind w:left="180" w:right="288"/>
      </w:pPr>
    </w:p>
    <w:p w14:paraId="440283CF">
      <w:pPr>
        <w:pStyle w:val="92"/>
        <w:ind w:left="180" w:right="288"/>
      </w:pPr>
      <w:r>
        <w:t>Attachment:  Contract Agreement</w:t>
      </w:r>
    </w:p>
    <w:p w14:paraId="2F87694D">
      <w:pPr>
        <w:pStyle w:val="160"/>
      </w:pPr>
      <w:r>
        <w:rPr>
          <w:rFonts w:cs="Arial"/>
          <w:bCs/>
          <w:sz w:val="20"/>
        </w:rPr>
        <w:br w:type="page"/>
      </w:r>
      <w:bookmarkStart w:id="761" w:name="_Toc78273067"/>
      <w:bookmarkStart w:id="762" w:name="_Toc23238064"/>
      <w:bookmarkStart w:id="763" w:name="_Toc111009245"/>
      <w:bookmarkStart w:id="764" w:name="_Toc41971556"/>
      <w:bookmarkStart w:id="765" w:name="_Toc178607078"/>
      <w:bookmarkStart w:id="766" w:name="_Toc438907297"/>
      <w:bookmarkStart w:id="767" w:name="_Toc438907197"/>
      <w:r>
        <w:t>Contract Agreement</w:t>
      </w:r>
      <w:bookmarkEnd w:id="761"/>
      <w:bookmarkEnd w:id="762"/>
      <w:bookmarkEnd w:id="763"/>
      <w:bookmarkEnd w:id="764"/>
      <w:bookmarkEnd w:id="765"/>
    </w:p>
    <w:bookmarkEnd w:id="766"/>
    <w:bookmarkEnd w:id="767"/>
    <w:p w14:paraId="78DF8549">
      <w:pPr>
        <w:pStyle w:val="18"/>
        <w:ind w:left="180" w:right="288"/>
        <w:jc w:val="both"/>
      </w:pPr>
    </w:p>
    <w:p w14:paraId="32094B50">
      <w:pPr>
        <w:pStyle w:val="18"/>
        <w:ind w:left="0" w:right="288"/>
        <w:jc w:val="both"/>
        <w:rPr>
          <w:rFonts w:ascii="Times New Roman" w:hAnsi="Times New Roman" w:cs="Times New Roman"/>
          <w:sz w:val="24"/>
        </w:rPr>
      </w:pPr>
      <w:r>
        <w:rPr>
          <w:rFonts w:ascii="Times New Roman" w:hAnsi="Times New Roman" w:cs="Times New Roman"/>
          <w:sz w:val="24"/>
        </w:rPr>
        <w:t xml:space="preserve">THIS AGREEMENT made the . . . . . .day of . . . . . . . . . . . . . . . . ., . . . . . . ., between . . . . </w:t>
      </w:r>
      <w:r>
        <w:rPr>
          <w:rFonts w:ascii="Times New Roman" w:hAnsi="Times New Roman" w:cs="Times New Roman"/>
          <w:szCs w:val="20"/>
        </w:rPr>
        <w:t xml:space="preserve">. </w:t>
      </w:r>
      <w:r>
        <w:rPr>
          <w:rFonts w:ascii="Times New Roman" w:hAnsi="Times New Roman" w:cs="Times New Roman"/>
          <w:b/>
          <w:i/>
          <w:szCs w:val="20"/>
        </w:rPr>
        <w:t>[</w:t>
      </w:r>
      <w:r>
        <w:rPr>
          <w:rFonts w:ascii="Times New Roman" w:hAnsi="Times New Roman" w:cs="Times New Roman"/>
          <w:b/>
          <w:bCs/>
          <w:i/>
          <w:iCs/>
          <w:szCs w:val="20"/>
        </w:rPr>
        <w:t xml:space="preserve">name of the </w:t>
      </w:r>
      <w:r>
        <w:rPr>
          <w:rFonts w:ascii="Times New Roman" w:hAnsi="Times New Roman" w:cs="Times New Roman"/>
          <w:bCs/>
          <w:iCs/>
          <w:szCs w:val="20"/>
        </w:rPr>
        <w:t>Employer</w:t>
      </w:r>
      <w:r>
        <w:rPr>
          <w:rFonts w:ascii="Times New Roman" w:hAnsi="Times New Roman" w:cs="Times New Roman"/>
          <w:b/>
          <w:bCs/>
          <w:i/>
          <w:iCs/>
          <w:szCs w:val="20"/>
        </w:rPr>
        <w:t>]</w:t>
      </w:r>
      <w:r>
        <w:rPr>
          <w:rFonts w:ascii="Times New Roman" w:hAnsi="Times New Roman" w:cs="Times New Roman"/>
          <w:szCs w:val="20"/>
        </w:rPr>
        <w:t>. . . . .</w:t>
      </w:r>
      <w:r>
        <w:rPr>
          <w:rFonts w:ascii="Times New Roman" w:hAnsi="Times New Roman" w:cs="Times New Roman"/>
          <w:sz w:val="24"/>
        </w:rPr>
        <w:t xml:space="preserve">. . . . . (hereinafter “the Employer”), of the one part, and . . . . . </w:t>
      </w:r>
      <w:r>
        <w:rPr>
          <w:rFonts w:ascii="Times New Roman" w:hAnsi="Times New Roman" w:cs="Times New Roman"/>
          <w:b/>
          <w:i/>
          <w:sz w:val="24"/>
        </w:rPr>
        <w:t>[</w:t>
      </w:r>
      <w:r>
        <w:rPr>
          <w:rFonts w:ascii="Times New Roman" w:hAnsi="Times New Roman" w:cs="Times New Roman"/>
          <w:b/>
          <w:bCs/>
          <w:i/>
          <w:iCs/>
          <w:szCs w:val="20"/>
        </w:rPr>
        <w:t>name of the Contractor]</w:t>
      </w:r>
      <w:r>
        <w:rPr>
          <w:rFonts w:ascii="Times New Roman" w:hAnsi="Times New Roman" w:cs="Times New Roman"/>
          <w:szCs w:val="20"/>
        </w:rPr>
        <w:t>. . .</w:t>
      </w:r>
      <w:r>
        <w:rPr>
          <w:rFonts w:ascii="Times New Roman" w:hAnsi="Times New Roman" w:cs="Times New Roman"/>
          <w:sz w:val="24"/>
        </w:rPr>
        <w:t xml:space="preserve"> . .(hereinafter “the Contractor”), of the other part:</w:t>
      </w:r>
    </w:p>
    <w:p w14:paraId="299B1767">
      <w:pPr>
        <w:pStyle w:val="18"/>
        <w:ind w:left="0" w:right="288"/>
        <w:jc w:val="both"/>
        <w:rPr>
          <w:rFonts w:ascii="Times New Roman" w:hAnsi="Times New Roman" w:cs="Times New Roman"/>
          <w:sz w:val="24"/>
        </w:rPr>
      </w:pPr>
    </w:p>
    <w:p w14:paraId="3DDD8E01">
      <w:pPr>
        <w:pStyle w:val="18"/>
        <w:ind w:left="0" w:right="288"/>
        <w:jc w:val="both"/>
        <w:rPr>
          <w:rFonts w:ascii="Times New Roman" w:hAnsi="Times New Roman" w:cs="Times New Roman"/>
          <w:sz w:val="24"/>
        </w:rPr>
      </w:pPr>
      <w:r>
        <w:rPr>
          <w:rFonts w:ascii="Times New Roman" w:hAnsi="Times New Roman" w:cs="Times New Roman"/>
          <w:sz w:val="24"/>
        </w:rPr>
        <w:t xml:space="preserve">WHEREAS the Employer desires that the Works known as </w:t>
      </w:r>
      <w:r>
        <w:rPr>
          <w:rFonts w:ascii="Times New Roman" w:hAnsi="Times New Roman" w:cs="Times New Roman"/>
          <w:b/>
          <w:bCs/>
          <w:iCs/>
          <w:sz w:val="24"/>
          <w:highlight w:val="none"/>
        </w:rPr>
        <w:t xml:space="preserve">Construction of 1no. Faecal Sludge Treatment Plant </w:t>
      </w:r>
      <w:r>
        <w:rPr>
          <w:rFonts w:ascii="Times New Roman" w:hAnsi="Times New Roman"/>
          <w:b/>
          <w:bCs/>
          <w:iCs/>
          <w:sz w:val="24"/>
          <w:highlight w:val="none"/>
        </w:rPr>
        <w:t>in</w:t>
      </w:r>
      <w:r>
        <w:rPr>
          <w:rFonts w:ascii="Times New Roman" w:hAnsi="Times New Roman" w:cs="Times New Roman"/>
          <w:b/>
          <w:bCs/>
          <w:iCs/>
          <w:sz w:val="24"/>
          <w:highlight w:val="none"/>
        </w:rPr>
        <w:t xml:space="preserve"> Wajir TownBid No </w:t>
      </w:r>
      <w:r>
        <w:rPr>
          <w:b/>
          <w:bCs/>
          <w:color w:val="auto"/>
          <w:highlight w:val="none"/>
        </w:rPr>
        <w:t>KE-WAJWASCO</w:t>
      </w:r>
      <w:r>
        <w:rPr>
          <w:rFonts w:hint="default"/>
          <w:b/>
          <w:bCs/>
          <w:color w:val="auto"/>
          <w:highlight w:val="none"/>
          <w:lang w:val="en-US"/>
        </w:rPr>
        <w:t>-456993</w:t>
      </w:r>
      <w:r>
        <w:rPr>
          <w:b/>
          <w:bCs/>
          <w:color w:val="auto"/>
          <w:highlight w:val="none"/>
        </w:rPr>
        <w:t>-</w:t>
      </w:r>
      <w:r>
        <w:rPr>
          <w:rFonts w:hint="default"/>
          <w:b/>
          <w:bCs/>
          <w:color w:val="auto"/>
          <w:highlight w:val="none"/>
          <w:lang w:val="en-US"/>
        </w:rPr>
        <w:t>CW</w:t>
      </w:r>
      <w:r>
        <w:rPr>
          <w:b/>
          <w:bCs/>
          <w:color w:val="auto"/>
          <w:highlight w:val="none"/>
        </w:rPr>
        <w:t>-RF</w:t>
      </w:r>
      <w:r>
        <w:rPr>
          <w:color w:val="auto"/>
          <w:highlight w:val="none"/>
        </w:rPr>
        <w:t>B</w:t>
      </w:r>
      <w:r>
        <w:rPr>
          <w:rFonts w:hint="default" w:ascii="Times New Roman" w:hAnsi="Times New Roman" w:cs="Times New Roman"/>
          <w:b/>
          <w:bCs/>
          <w:iCs/>
          <w:sz w:val="24"/>
          <w:highlight w:val="none"/>
          <w:lang w:val="en-US"/>
        </w:rPr>
        <w:t>:</w:t>
      </w:r>
      <w:r>
        <w:rPr>
          <w:rFonts w:ascii="Times New Roman" w:hAnsi="Times New Roman" w:cs="Times New Roman"/>
          <w:b/>
          <w:bCs/>
          <w:iCs/>
          <w:sz w:val="24"/>
        </w:rPr>
        <w:t xml:space="preserve"> </w:t>
      </w:r>
      <w:r>
        <w:rPr>
          <w:rFonts w:ascii="Times New Roman" w:hAnsi="Times New Roman" w:cs="Times New Roman"/>
          <w:sz w:val="24"/>
        </w:rPr>
        <w:t xml:space="preserve">should be executed by the Contractor, and has accepted a Bid by the Contractor for the execution and completion of these Works and the remedying of any defects therein, </w:t>
      </w:r>
    </w:p>
    <w:p w14:paraId="779D900E">
      <w:pPr>
        <w:pStyle w:val="18"/>
        <w:ind w:left="180" w:right="288"/>
        <w:jc w:val="both"/>
        <w:rPr>
          <w:rFonts w:ascii="Times New Roman" w:hAnsi="Times New Roman" w:cs="Times New Roman"/>
          <w:sz w:val="24"/>
        </w:rPr>
      </w:pPr>
    </w:p>
    <w:p w14:paraId="72AC652A">
      <w:pPr>
        <w:pStyle w:val="18"/>
        <w:ind w:left="0" w:right="288"/>
        <w:jc w:val="both"/>
        <w:rPr>
          <w:rFonts w:ascii="Times New Roman" w:hAnsi="Times New Roman" w:cs="Times New Roman"/>
          <w:sz w:val="24"/>
        </w:rPr>
      </w:pPr>
      <w:r>
        <w:rPr>
          <w:rFonts w:ascii="Times New Roman" w:hAnsi="Times New Roman" w:cs="Times New Roman"/>
          <w:sz w:val="24"/>
        </w:rPr>
        <w:t>The Employer and the Contractor agree as follows:</w:t>
      </w:r>
    </w:p>
    <w:p w14:paraId="5AB1F4AB">
      <w:pPr>
        <w:pStyle w:val="14"/>
        <w:spacing w:before="240" w:after="240"/>
        <w:ind w:left="0" w:right="288"/>
        <w:rPr>
          <w:rFonts w:ascii="Times New Roman" w:hAnsi="Times New Roman" w:cs="Times New Roman"/>
          <w:b w:val="0"/>
          <w:bCs w:val="0"/>
          <w:i w:val="0"/>
          <w:iCs w:val="0"/>
          <w:sz w:val="24"/>
        </w:rPr>
      </w:pPr>
      <w:r>
        <w:rPr>
          <w:rFonts w:ascii="Times New Roman" w:hAnsi="Times New Roman" w:cs="Times New Roman"/>
          <w:b w:val="0"/>
          <w:bCs w:val="0"/>
          <w:i w:val="0"/>
          <w:iCs w:val="0"/>
          <w:sz w:val="24"/>
        </w:rPr>
        <w:t>1.</w:t>
      </w:r>
      <w:r>
        <w:rPr>
          <w:rFonts w:ascii="Times New Roman" w:hAnsi="Times New Roman" w:cs="Times New Roman"/>
          <w:b w:val="0"/>
          <w:bCs w:val="0"/>
          <w:i w:val="0"/>
          <w:iCs w:val="0"/>
          <w:sz w:val="24"/>
        </w:rPr>
        <w:tab/>
      </w:r>
      <w:r>
        <w:rPr>
          <w:rFonts w:ascii="Times New Roman" w:hAnsi="Times New Roman" w:cs="Times New Roman"/>
          <w:b w:val="0"/>
          <w:bCs w:val="0"/>
          <w:i w:val="0"/>
          <w:iCs w:val="0"/>
          <w:sz w:val="24"/>
        </w:rPr>
        <w:t>In this Agreement words and expressions shall have the same meanings as are respectively assigned to them in the Contract documents referred to.</w:t>
      </w:r>
    </w:p>
    <w:p w14:paraId="78041A10">
      <w:pPr>
        <w:spacing w:after="160"/>
      </w:pPr>
      <w:r>
        <w:rPr>
          <w:bCs/>
          <w:iCs/>
        </w:rPr>
        <w:t>2.</w:t>
      </w:r>
      <w:r>
        <w:rPr>
          <w:bCs/>
          <w:iCs/>
        </w:rPr>
        <w:tab/>
      </w:r>
      <w:r>
        <w:t xml:space="preserve">The following documents shall be deemed to form and be read and construed as part of this Agreement. This Agreement shall prevail over all other Contract documents. </w:t>
      </w:r>
    </w:p>
    <w:p w14:paraId="5068BEC3">
      <w:pPr>
        <w:pStyle w:val="70"/>
        <w:numPr>
          <w:ilvl w:val="0"/>
          <w:numId w:val="96"/>
        </w:numPr>
      </w:pPr>
      <w:r>
        <w:t>the Letter of Acceptance</w:t>
      </w:r>
    </w:p>
    <w:p w14:paraId="5D6B2EDB">
      <w:pPr>
        <w:pStyle w:val="70"/>
        <w:numPr>
          <w:ilvl w:val="0"/>
          <w:numId w:val="96"/>
        </w:numPr>
      </w:pPr>
      <w:r>
        <w:t xml:space="preserve">the Letter of Bid </w:t>
      </w:r>
    </w:p>
    <w:p w14:paraId="73F17699">
      <w:pPr>
        <w:pStyle w:val="70"/>
        <w:numPr>
          <w:ilvl w:val="0"/>
          <w:numId w:val="96"/>
        </w:numPr>
      </w:pPr>
      <w:r>
        <w:t>the addenda Nos ________(if any)</w:t>
      </w:r>
    </w:p>
    <w:p w14:paraId="115FD321">
      <w:pPr>
        <w:pStyle w:val="70"/>
        <w:numPr>
          <w:ilvl w:val="0"/>
          <w:numId w:val="96"/>
        </w:numPr>
      </w:pPr>
      <w:r>
        <w:t xml:space="preserve">the Particular Conditions </w:t>
      </w:r>
    </w:p>
    <w:p w14:paraId="24336318">
      <w:pPr>
        <w:pStyle w:val="70"/>
        <w:numPr>
          <w:ilvl w:val="0"/>
          <w:numId w:val="96"/>
        </w:numPr>
      </w:pPr>
      <w:r>
        <w:t>the General Conditions of Contract, including Appendices;</w:t>
      </w:r>
    </w:p>
    <w:p w14:paraId="626D5BD8">
      <w:pPr>
        <w:pStyle w:val="70"/>
        <w:numPr>
          <w:ilvl w:val="0"/>
          <w:numId w:val="96"/>
        </w:numPr>
      </w:pPr>
      <w:r>
        <w:t>the Specification</w:t>
      </w:r>
    </w:p>
    <w:p w14:paraId="18695C4A">
      <w:pPr>
        <w:pStyle w:val="70"/>
        <w:numPr>
          <w:ilvl w:val="0"/>
          <w:numId w:val="96"/>
        </w:numPr>
      </w:pPr>
      <w:r>
        <w:t xml:space="preserve">the Drawings </w:t>
      </w:r>
    </w:p>
    <w:p w14:paraId="1D064F2A">
      <w:pPr>
        <w:pStyle w:val="70"/>
        <w:numPr>
          <w:ilvl w:val="0"/>
          <w:numId w:val="96"/>
        </w:numPr>
      </w:pPr>
      <w:r>
        <w:t>Bill of Quantities;</w:t>
      </w:r>
      <w:r>
        <w:rPr>
          <w:rStyle w:val="28"/>
        </w:rPr>
        <w:t xml:space="preserve"> </w:t>
      </w:r>
      <w:r>
        <w:rPr>
          <w:rStyle w:val="28"/>
        </w:rPr>
        <w:footnoteReference w:id="41"/>
      </w:r>
      <w:r>
        <w:t xml:space="preserve"> and</w:t>
      </w:r>
    </w:p>
    <w:p w14:paraId="1617AE4A">
      <w:pPr>
        <w:pStyle w:val="70"/>
        <w:numPr>
          <w:ilvl w:val="0"/>
          <w:numId w:val="96"/>
        </w:numPr>
      </w:pPr>
      <w:r>
        <w:t xml:space="preserve">any other document listed in the PCC as forming part of the Contract, </w:t>
      </w:r>
      <w:r>
        <w:rPr>
          <w:color w:val="000000" w:themeColor="text1"/>
          <w14:textFill>
            <w14:solidFill>
              <w14:schemeClr w14:val="tx1"/>
            </w14:solidFill>
          </w14:textFill>
        </w:rPr>
        <w:t>but not limited to</w:t>
      </w:r>
      <w:r>
        <w:t>;</w:t>
      </w:r>
    </w:p>
    <w:p w14:paraId="258610EB">
      <w:pPr>
        <w:pStyle w:val="70"/>
        <w:numPr>
          <w:ilvl w:val="1"/>
          <w:numId w:val="97"/>
        </w:numPr>
        <w:spacing w:before="240" w:after="120"/>
        <w:rPr>
          <w:b/>
          <w:color w:val="000000" w:themeColor="text1"/>
          <w14:textFill>
            <w14:solidFill>
              <w14:schemeClr w14:val="tx1"/>
            </w14:solidFill>
          </w14:textFill>
        </w:rPr>
      </w:pPr>
      <w:r>
        <w:rPr>
          <w:color w:val="000000" w:themeColor="text1"/>
          <w14:textFill>
            <w14:solidFill>
              <w14:schemeClr w14:val="tx1"/>
            </w14:solidFill>
          </w14:textFill>
        </w:rPr>
        <w:t>the ES Management Strategies and Implementation Plans</w:t>
      </w:r>
      <w:r>
        <w:rPr>
          <w:b/>
          <w:color w:val="000000" w:themeColor="text1"/>
          <w14:textFill>
            <w14:solidFill>
              <w14:schemeClr w14:val="tx1"/>
            </w14:solidFill>
          </w14:textFill>
        </w:rPr>
        <w:t xml:space="preserve">; </w:t>
      </w:r>
      <w:r>
        <w:rPr>
          <w:color w:val="000000" w:themeColor="text1"/>
          <w14:textFill>
            <w14:solidFill>
              <w14:schemeClr w14:val="tx1"/>
            </w14:solidFill>
          </w14:textFill>
        </w:rPr>
        <w:t>and</w:t>
      </w:r>
    </w:p>
    <w:p w14:paraId="2343DE84">
      <w:pPr>
        <w:pStyle w:val="70"/>
        <w:numPr>
          <w:ilvl w:val="1"/>
          <w:numId w:val="97"/>
        </w:numPr>
        <w:spacing w:before="240" w:after="120"/>
      </w:pPr>
      <w:r>
        <w:rPr>
          <w:color w:val="000000" w:themeColor="text1"/>
          <w14:textFill>
            <w14:solidFill>
              <w14:schemeClr w14:val="tx1"/>
            </w14:solidFill>
          </w14:textFill>
        </w:rPr>
        <w:t>Code of Conduct for Contractor’s Personnel (ES</w:t>
      </w:r>
      <w:r>
        <w:t>;</w:t>
      </w:r>
    </w:p>
    <w:p w14:paraId="7DBC2AF1">
      <w:pPr>
        <w:pStyle w:val="14"/>
        <w:spacing w:before="240" w:after="240"/>
        <w:ind w:left="0" w:right="288"/>
        <w:rPr>
          <w:rFonts w:ascii="Times New Roman" w:hAnsi="Times New Roman" w:cs="Times New Roman"/>
          <w:b w:val="0"/>
          <w:bCs w:val="0"/>
          <w:i w:val="0"/>
          <w:iCs w:val="0"/>
          <w:sz w:val="24"/>
        </w:rPr>
      </w:pPr>
      <w:r>
        <w:rPr>
          <w:rFonts w:ascii="Times New Roman" w:hAnsi="Times New Roman" w:cs="Times New Roman"/>
          <w:b w:val="0"/>
          <w:bCs w:val="0"/>
          <w:i w:val="0"/>
          <w:iCs w:val="0"/>
          <w:sz w:val="24"/>
        </w:rPr>
        <w:t>3.</w:t>
      </w:r>
      <w:r>
        <w:rPr>
          <w:rFonts w:ascii="Times New Roman" w:hAnsi="Times New Roman" w:cs="Times New Roman"/>
          <w:b w:val="0"/>
          <w:bCs w:val="0"/>
          <w:i w:val="0"/>
          <w:iCs w:val="0"/>
          <w:sz w:val="24"/>
        </w:rPr>
        <w:tab/>
      </w:r>
      <w:r>
        <w:rPr>
          <w:rFonts w:ascii="Times New Roman" w:hAnsi="Times New Roman" w:cs="Times New Roman"/>
          <w:b w:val="0"/>
          <w:bCs w:val="0"/>
          <w:i w:val="0"/>
          <w:iCs w:val="0"/>
          <w:sz w:val="24"/>
        </w:rPr>
        <w:t>In consideration of the payments to be made by the Employer to the Contractor as specified in this Agreement, the Contractor hereby covenants with the Employer to execute the Works and to remedy defects therein in conformity in all respects with the provisions of the Contract.</w:t>
      </w:r>
    </w:p>
    <w:p w14:paraId="36C85A36">
      <w:pPr>
        <w:pStyle w:val="14"/>
        <w:spacing w:before="240" w:after="240"/>
        <w:ind w:left="0" w:right="288"/>
        <w:rPr>
          <w:rFonts w:ascii="Times New Roman" w:hAnsi="Times New Roman" w:cs="Times New Roman"/>
          <w:b w:val="0"/>
          <w:bCs w:val="0"/>
          <w:i w:val="0"/>
          <w:iCs w:val="0"/>
          <w:sz w:val="24"/>
        </w:rPr>
      </w:pPr>
      <w:r>
        <w:rPr>
          <w:rFonts w:ascii="Times New Roman" w:hAnsi="Times New Roman" w:cs="Times New Roman"/>
          <w:b w:val="0"/>
          <w:bCs w:val="0"/>
          <w:i w:val="0"/>
          <w:iCs w:val="0"/>
          <w:sz w:val="24"/>
        </w:rPr>
        <w:t>4.</w:t>
      </w:r>
      <w:r>
        <w:rPr>
          <w:rFonts w:ascii="Times New Roman" w:hAnsi="Times New Roman" w:cs="Times New Roman"/>
          <w:b w:val="0"/>
          <w:bCs w:val="0"/>
          <w:i w:val="0"/>
          <w:iCs w:val="0"/>
          <w:sz w:val="24"/>
        </w:rPr>
        <w:tab/>
      </w:r>
      <w:r>
        <w:rPr>
          <w:rFonts w:ascii="Times New Roman" w:hAnsi="Times New Roman" w:cs="Times New Roman"/>
          <w:b w:val="0"/>
          <w:bCs w:val="0"/>
          <w:i w:val="0"/>
          <w:iCs w:val="0"/>
          <w:sz w:val="24"/>
        </w:rPr>
        <w:t>The Employer hereby covenants to pay the Contractor in consideration of the execution and completion of the Works and the remedying of defects therein, the Contract Price or such other sum as may become payable under the provisions of the Contract at the times and in the manner prescribed by the Contract.</w:t>
      </w:r>
    </w:p>
    <w:p w14:paraId="3F398A6E">
      <w:pPr>
        <w:pStyle w:val="14"/>
        <w:spacing w:before="240" w:after="240"/>
        <w:ind w:left="720" w:right="288"/>
        <w:rPr>
          <w:rFonts w:ascii="Times New Roman" w:hAnsi="Times New Roman" w:cs="Times New Roman"/>
          <w:sz w:val="24"/>
        </w:rPr>
      </w:pPr>
      <w:r>
        <w:rPr>
          <w:rFonts w:ascii="Times New Roman" w:hAnsi="Times New Roman" w:cs="Times New Roman"/>
          <w:b w:val="0"/>
          <w:bCs w:val="0"/>
          <w:i w:val="0"/>
          <w:iCs w:val="0"/>
          <w:sz w:val="24"/>
        </w:rPr>
        <w:t>IN WITNESS whereof the parties hereto have caused this Agreement to be executed in accordance with the laws of . . .</w:t>
      </w:r>
      <w:r>
        <w:rPr>
          <w:rFonts w:ascii="Times New Roman" w:hAnsi="Times New Roman" w:cs="Times New Roman"/>
          <w:b w:val="0"/>
          <w:bCs w:val="0"/>
          <w:i w:val="0"/>
          <w:iCs w:val="0"/>
          <w:sz w:val="20"/>
          <w:szCs w:val="20"/>
        </w:rPr>
        <w:t xml:space="preserve"> . . </w:t>
      </w:r>
      <w:r>
        <w:rPr>
          <w:rFonts w:ascii="Times New Roman" w:hAnsi="Times New Roman" w:cs="Times New Roman"/>
          <w:bCs w:val="0"/>
          <w:iCs w:val="0"/>
          <w:sz w:val="20"/>
          <w:szCs w:val="20"/>
        </w:rPr>
        <w:t>[</w:t>
      </w:r>
      <w:r>
        <w:rPr>
          <w:rFonts w:ascii="Times New Roman" w:hAnsi="Times New Roman" w:cs="Times New Roman"/>
          <w:sz w:val="20"/>
          <w:szCs w:val="20"/>
        </w:rPr>
        <w:t>name of the borrowing country]</w:t>
      </w:r>
      <w:r>
        <w:rPr>
          <w:rFonts w:ascii="Times New Roman" w:hAnsi="Times New Roman" w:cs="Times New Roman"/>
          <w:b w:val="0"/>
          <w:bCs w:val="0"/>
          <w:i w:val="0"/>
          <w:iCs w:val="0"/>
          <w:sz w:val="20"/>
          <w:szCs w:val="20"/>
        </w:rPr>
        <w:t>. . .</w:t>
      </w:r>
      <w:r>
        <w:rPr>
          <w:rFonts w:ascii="Times New Roman" w:hAnsi="Times New Roman" w:cs="Times New Roman"/>
          <w:b w:val="0"/>
          <w:bCs w:val="0"/>
          <w:i w:val="0"/>
          <w:iCs w:val="0"/>
          <w:sz w:val="24"/>
        </w:rPr>
        <w:t xml:space="preserve"> . .on the day, month and year specified above.</w:t>
      </w:r>
    </w:p>
    <w:p w14:paraId="1D807C5F">
      <w:pPr>
        <w:pStyle w:val="14"/>
        <w:ind w:right="288"/>
        <w:rPr>
          <w:rFonts w:ascii="Times New Roman" w:hAnsi="Times New Roman" w:cs="Times New Roman"/>
          <w:sz w:val="24"/>
        </w:rPr>
      </w:pPr>
    </w:p>
    <w:p w14:paraId="65301D41">
      <w:pPr>
        <w:pStyle w:val="14"/>
        <w:ind w:right="288"/>
        <w:rPr>
          <w:rFonts w:ascii="Times New Roman" w:hAnsi="Times New Roman" w:cs="Times New Roman"/>
          <w:sz w:val="24"/>
        </w:rPr>
      </w:pPr>
    </w:p>
    <w:tbl>
      <w:tblPr>
        <w:tblStyle w:val="12"/>
        <w:tblW w:w="9468" w:type="dxa"/>
        <w:tblInd w:w="0" w:type="dxa"/>
        <w:tblBorders>
          <w:top w:val="none" w:color="auto" w:sz="0" w:space="0"/>
          <w:left w:val="none" w:color="auto" w:sz="0" w:space="0"/>
          <w:bottom w:val="dotted"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368"/>
        <w:gridCol w:w="3012"/>
        <w:gridCol w:w="1308"/>
        <w:gridCol w:w="3780"/>
      </w:tblGrid>
      <w:tr w14:paraId="5F9A8CFB">
        <w:tblPrEx>
          <w:tblBorders>
            <w:top w:val="none" w:color="auto" w:sz="0" w:space="0"/>
            <w:left w:val="none" w:color="auto" w:sz="0" w:space="0"/>
            <w:bottom w:val="dotted"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368" w:type="dxa"/>
          </w:tcPr>
          <w:p w14:paraId="01DF312A">
            <w:pPr>
              <w:tabs>
                <w:tab w:val="right" w:leader="dot" w:pos="4500"/>
                <w:tab w:val="left" w:pos="5040"/>
                <w:tab w:val="right" w:leader="dot" w:pos="9360"/>
              </w:tabs>
              <w:spacing w:before="360"/>
              <w:jc w:val="right"/>
            </w:pPr>
            <w:r>
              <w:t>Signed by:</w:t>
            </w:r>
          </w:p>
        </w:tc>
        <w:tc>
          <w:tcPr>
            <w:tcW w:w="3012" w:type="dxa"/>
            <w:tcBorders>
              <w:bottom w:val="dotted" w:color="auto" w:sz="4" w:space="0"/>
            </w:tcBorders>
          </w:tcPr>
          <w:p w14:paraId="6A6DD6F8">
            <w:pPr>
              <w:tabs>
                <w:tab w:val="right" w:leader="dot" w:pos="4500"/>
                <w:tab w:val="left" w:pos="5040"/>
                <w:tab w:val="right" w:leader="dot" w:pos="9360"/>
              </w:tabs>
              <w:spacing w:before="360"/>
              <w:ind w:right="288"/>
              <w:jc w:val="both"/>
            </w:pPr>
          </w:p>
        </w:tc>
        <w:tc>
          <w:tcPr>
            <w:tcW w:w="1308" w:type="dxa"/>
          </w:tcPr>
          <w:p w14:paraId="12DCE993">
            <w:pPr>
              <w:tabs>
                <w:tab w:val="right" w:leader="dot" w:pos="4500"/>
                <w:tab w:val="left" w:pos="5040"/>
                <w:tab w:val="right" w:leader="dot" w:pos="9360"/>
              </w:tabs>
              <w:spacing w:before="360"/>
              <w:ind w:right="-108"/>
              <w:jc w:val="right"/>
            </w:pPr>
            <w:r>
              <w:t>Signed by:</w:t>
            </w:r>
          </w:p>
        </w:tc>
        <w:tc>
          <w:tcPr>
            <w:tcW w:w="3780" w:type="dxa"/>
            <w:tcBorders>
              <w:bottom w:val="dotted" w:color="auto" w:sz="4" w:space="0"/>
            </w:tcBorders>
          </w:tcPr>
          <w:p w14:paraId="3FF97216">
            <w:pPr>
              <w:tabs>
                <w:tab w:val="right" w:leader="dot" w:pos="4500"/>
                <w:tab w:val="left" w:pos="5040"/>
                <w:tab w:val="right" w:leader="dot" w:pos="9360"/>
              </w:tabs>
              <w:spacing w:before="240"/>
              <w:ind w:right="288"/>
              <w:jc w:val="both"/>
            </w:pPr>
          </w:p>
        </w:tc>
      </w:tr>
      <w:tr w14:paraId="7FCB8B0D">
        <w:tblPrEx>
          <w:tblBorders>
            <w:top w:val="none" w:color="auto" w:sz="0" w:space="0"/>
            <w:left w:val="none" w:color="auto" w:sz="0" w:space="0"/>
            <w:bottom w:val="dotted"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380" w:type="dxa"/>
            <w:gridSpan w:val="2"/>
          </w:tcPr>
          <w:p w14:paraId="471F74F7">
            <w:pPr>
              <w:tabs>
                <w:tab w:val="right" w:leader="dot" w:pos="4500"/>
                <w:tab w:val="left" w:pos="5040"/>
                <w:tab w:val="right" w:leader="dot" w:pos="9360"/>
              </w:tabs>
              <w:ind w:right="288"/>
              <w:jc w:val="center"/>
              <w:rPr>
                <w:sz w:val="20"/>
                <w:szCs w:val="20"/>
              </w:rPr>
            </w:pPr>
            <w:r>
              <w:rPr>
                <w:sz w:val="20"/>
                <w:szCs w:val="20"/>
              </w:rPr>
              <w:t>for and on behalf of the Employer</w:t>
            </w:r>
          </w:p>
        </w:tc>
        <w:tc>
          <w:tcPr>
            <w:tcW w:w="5088" w:type="dxa"/>
            <w:gridSpan w:val="2"/>
          </w:tcPr>
          <w:p w14:paraId="1CD70445">
            <w:pPr>
              <w:tabs>
                <w:tab w:val="right" w:leader="dot" w:pos="4500"/>
                <w:tab w:val="left" w:pos="5040"/>
                <w:tab w:val="right" w:leader="dot" w:pos="9360"/>
              </w:tabs>
              <w:ind w:right="288"/>
              <w:jc w:val="center"/>
              <w:rPr>
                <w:sz w:val="20"/>
                <w:szCs w:val="20"/>
              </w:rPr>
            </w:pPr>
            <w:r>
              <w:rPr>
                <w:sz w:val="20"/>
                <w:szCs w:val="20"/>
              </w:rPr>
              <w:t>for and on behalf the Contractor</w:t>
            </w:r>
          </w:p>
        </w:tc>
      </w:tr>
      <w:tr w14:paraId="292A2545">
        <w:tblPrEx>
          <w:tblBorders>
            <w:top w:val="none" w:color="auto" w:sz="0" w:space="0"/>
            <w:left w:val="none" w:color="auto" w:sz="0" w:space="0"/>
            <w:bottom w:val="dotted"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368" w:type="dxa"/>
            <w:tcBorders>
              <w:bottom w:val="nil"/>
            </w:tcBorders>
          </w:tcPr>
          <w:p w14:paraId="3EA27692">
            <w:pPr>
              <w:tabs>
                <w:tab w:val="right" w:leader="dot" w:pos="4500"/>
                <w:tab w:val="left" w:pos="5040"/>
                <w:tab w:val="right" w:leader="dot" w:pos="9360"/>
              </w:tabs>
              <w:spacing w:before="360"/>
              <w:ind w:right="-108"/>
              <w:jc w:val="right"/>
            </w:pPr>
            <w:r>
              <w:t>in the presence of:</w:t>
            </w:r>
          </w:p>
        </w:tc>
        <w:tc>
          <w:tcPr>
            <w:tcW w:w="3012" w:type="dxa"/>
            <w:tcBorders>
              <w:bottom w:val="dotted" w:color="auto" w:sz="4" w:space="0"/>
            </w:tcBorders>
          </w:tcPr>
          <w:p w14:paraId="79AB9AD3">
            <w:pPr>
              <w:tabs>
                <w:tab w:val="right" w:leader="dot" w:pos="4500"/>
                <w:tab w:val="left" w:pos="5040"/>
                <w:tab w:val="right" w:leader="dot" w:pos="9360"/>
              </w:tabs>
              <w:spacing w:before="360"/>
              <w:ind w:right="288"/>
              <w:jc w:val="both"/>
            </w:pPr>
          </w:p>
        </w:tc>
        <w:tc>
          <w:tcPr>
            <w:tcW w:w="1308" w:type="dxa"/>
            <w:tcBorders>
              <w:bottom w:val="nil"/>
            </w:tcBorders>
          </w:tcPr>
          <w:p w14:paraId="475F7E0C">
            <w:pPr>
              <w:tabs>
                <w:tab w:val="right" w:leader="dot" w:pos="4500"/>
                <w:tab w:val="left" w:pos="5040"/>
                <w:tab w:val="right" w:leader="dot" w:pos="9360"/>
              </w:tabs>
              <w:spacing w:before="360"/>
              <w:ind w:right="-132"/>
              <w:jc w:val="right"/>
            </w:pPr>
            <w:r>
              <w:t>in the presence of:</w:t>
            </w:r>
          </w:p>
        </w:tc>
        <w:tc>
          <w:tcPr>
            <w:tcW w:w="3780" w:type="dxa"/>
            <w:tcBorders>
              <w:bottom w:val="dotted" w:color="auto" w:sz="4" w:space="0"/>
            </w:tcBorders>
          </w:tcPr>
          <w:p w14:paraId="357373B1">
            <w:pPr>
              <w:tabs>
                <w:tab w:val="right" w:leader="dot" w:pos="4500"/>
                <w:tab w:val="left" w:pos="5040"/>
                <w:tab w:val="right" w:leader="dot" w:pos="9360"/>
              </w:tabs>
              <w:spacing w:before="360"/>
              <w:ind w:right="-132"/>
            </w:pPr>
          </w:p>
        </w:tc>
      </w:tr>
      <w:tr w14:paraId="32CC4A3C">
        <w:tblPrEx>
          <w:tblBorders>
            <w:top w:val="none" w:color="auto" w:sz="0" w:space="0"/>
            <w:left w:val="none" w:color="auto" w:sz="0" w:space="0"/>
            <w:bottom w:val="dotted"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380" w:type="dxa"/>
            <w:gridSpan w:val="2"/>
            <w:tcBorders>
              <w:bottom w:val="nil"/>
            </w:tcBorders>
          </w:tcPr>
          <w:p w14:paraId="50E484FB">
            <w:pPr>
              <w:tabs>
                <w:tab w:val="right" w:leader="dot" w:pos="4500"/>
                <w:tab w:val="left" w:pos="5040"/>
                <w:tab w:val="right" w:leader="dot" w:pos="9360"/>
              </w:tabs>
              <w:ind w:right="288"/>
              <w:jc w:val="center"/>
              <w:rPr>
                <w:sz w:val="20"/>
                <w:szCs w:val="20"/>
              </w:rPr>
            </w:pPr>
            <w:r>
              <w:rPr>
                <w:sz w:val="20"/>
                <w:szCs w:val="20"/>
              </w:rPr>
              <w:t>Witness, Name, Signature, Address, Date</w:t>
            </w:r>
          </w:p>
        </w:tc>
        <w:tc>
          <w:tcPr>
            <w:tcW w:w="5088" w:type="dxa"/>
            <w:gridSpan w:val="2"/>
            <w:tcBorders>
              <w:bottom w:val="nil"/>
            </w:tcBorders>
          </w:tcPr>
          <w:p w14:paraId="69CE84DF">
            <w:pPr>
              <w:tabs>
                <w:tab w:val="right" w:leader="dot" w:pos="4500"/>
                <w:tab w:val="left" w:pos="5040"/>
                <w:tab w:val="right" w:leader="dot" w:pos="9360"/>
              </w:tabs>
              <w:ind w:right="288"/>
              <w:jc w:val="center"/>
              <w:rPr>
                <w:sz w:val="20"/>
                <w:szCs w:val="20"/>
              </w:rPr>
            </w:pPr>
            <w:r>
              <w:rPr>
                <w:sz w:val="20"/>
                <w:szCs w:val="20"/>
              </w:rPr>
              <w:t>Witness, Name, Signature, Address, Date</w:t>
            </w:r>
          </w:p>
        </w:tc>
      </w:tr>
    </w:tbl>
    <w:p w14:paraId="6248B6DD">
      <w:pPr>
        <w:tabs>
          <w:tab w:val="right" w:pos="4500"/>
          <w:tab w:val="left" w:pos="5040"/>
          <w:tab w:val="right" w:leader="dot" w:pos="9360"/>
        </w:tabs>
        <w:ind w:left="180" w:right="288"/>
        <w:jc w:val="both"/>
      </w:pPr>
    </w:p>
    <w:p w14:paraId="1A9C18AD">
      <w:pPr>
        <w:tabs>
          <w:tab w:val="right" w:pos="4500"/>
          <w:tab w:val="left" w:pos="5040"/>
          <w:tab w:val="right" w:leader="dot" w:pos="9360"/>
        </w:tabs>
        <w:ind w:left="180" w:right="288"/>
        <w:jc w:val="both"/>
      </w:pPr>
    </w:p>
    <w:p w14:paraId="716B56E6">
      <w:pPr>
        <w:pStyle w:val="160"/>
      </w:pPr>
      <w:r>
        <w:br w:type="page"/>
      </w:r>
      <w:bookmarkStart w:id="768" w:name="_Toc111009246"/>
      <w:bookmarkStart w:id="769" w:name="_Toc23238065"/>
      <w:bookmarkStart w:id="770" w:name="_Toc78273068"/>
      <w:bookmarkStart w:id="771" w:name="_Toc41971557"/>
      <w:bookmarkStart w:id="772" w:name="_Toc178607079"/>
      <w:bookmarkStart w:id="773" w:name="_Toc438907298"/>
      <w:bookmarkStart w:id="774" w:name="_Toc428352207"/>
      <w:bookmarkStart w:id="775" w:name="_Toc438907198"/>
      <w:r>
        <w:t>Performance Security</w:t>
      </w:r>
      <w:bookmarkEnd w:id="768"/>
      <w:bookmarkEnd w:id="769"/>
      <w:bookmarkEnd w:id="770"/>
      <w:bookmarkEnd w:id="771"/>
      <w:r>
        <w:t xml:space="preserve"> (Bank Guarantee)</w:t>
      </w:r>
      <w:bookmarkEnd w:id="772"/>
    </w:p>
    <w:bookmarkEnd w:id="773"/>
    <w:bookmarkEnd w:id="774"/>
    <w:bookmarkEnd w:id="775"/>
    <w:p w14:paraId="3DF19C48">
      <w:pPr>
        <w:jc w:val="center"/>
        <w:rPr>
          <w:b/>
          <w:iCs/>
          <w:sz w:val="28"/>
          <w:szCs w:val="28"/>
        </w:rPr>
      </w:pPr>
      <w:r>
        <w:rPr>
          <w:b/>
          <w:iCs/>
          <w:sz w:val="28"/>
          <w:szCs w:val="28"/>
        </w:rPr>
        <w:t xml:space="preserve"> </w:t>
      </w:r>
    </w:p>
    <w:p w14:paraId="79055131">
      <w:pPr>
        <w:pStyle w:val="50"/>
        <w:rPr>
          <w:rFonts w:ascii="Times New Roman" w:hAnsi="Times New Roman"/>
          <w:i/>
          <w:sz w:val="24"/>
        </w:rPr>
      </w:pPr>
      <w:r>
        <w:rPr>
          <w:rFonts w:ascii="Times New Roman" w:hAnsi="Times New Roman"/>
          <w:i/>
          <w:sz w:val="24"/>
        </w:rPr>
        <w:t>[Guarantor letterhead or SWIFT identifier code]</w:t>
      </w:r>
    </w:p>
    <w:p w14:paraId="5C08B93D">
      <w:pPr>
        <w:pStyle w:val="50"/>
        <w:rPr>
          <w:rFonts w:ascii="Times New Roman" w:hAnsi="Times New Roman"/>
          <w:i/>
          <w:sz w:val="24"/>
        </w:rPr>
      </w:pPr>
      <w:r>
        <w:rPr>
          <w:rFonts w:ascii="Times New Roman" w:hAnsi="Times New Roman"/>
          <w:b/>
          <w:sz w:val="24"/>
        </w:rPr>
        <w:t>Beneficiary:</w:t>
      </w:r>
      <w:r>
        <w:rPr>
          <w:rFonts w:ascii="Times New Roman" w:hAnsi="Times New Roman"/>
          <w:sz w:val="24"/>
        </w:rPr>
        <w:tab/>
      </w:r>
      <w:r>
        <w:rPr>
          <w:rFonts w:ascii="Times New Roman" w:hAnsi="Times New Roman"/>
          <w:i/>
          <w:sz w:val="24"/>
        </w:rPr>
        <w:t xml:space="preserve">[insert name and Address of </w:t>
      </w:r>
      <w:r>
        <w:rPr>
          <w:rFonts w:ascii="Times New Roman" w:hAnsi="Times New Roman"/>
          <w:sz w:val="24"/>
        </w:rPr>
        <w:t>Employer</w:t>
      </w:r>
      <w:r>
        <w:rPr>
          <w:rFonts w:ascii="Times New Roman" w:hAnsi="Times New Roman"/>
          <w:i/>
          <w:sz w:val="24"/>
        </w:rPr>
        <w:t>]</w:t>
      </w:r>
      <w:r>
        <w:rPr>
          <w:rFonts w:ascii="Times New Roman" w:hAnsi="Times New Roman"/>
          <w:i/>
          <w:sz w:val="24"/>
        </w:rPr>
        <w:tab/>
      </w:r>
      <w:r>
        <w:rPr>
          <w:rFonts w:ascii="Times New Roman" w:hAnsi="Times New Roman"/>
          <w:i/>
          <w:sz w:val="24"/>
        </w:rPr>
        <w:tab/>
      </w:r>
    </w:p>
    <w:p w14:paraId="55B73D7D">
      <w:pPr>
        <w:pStyle w:val="50"/>
        <w:rPr>
          <w:rFonts w:ascii="Times New Roman" w:hAnsi="Times New Roman"/>
          <w:sz w:val="24"/>
        </w:rPr>
      </w:pPr>
      <w:r>
        <w:rPr>
          <w:rFonts w:ascii="Times New Roman" w:hAnsi="Times New Roman"/>
          <w:b/>
          <w:sz w:val="24"/>
        </w:rPr>
        <w:t>Date:</w:t>
      </w:r>
      <w:r>
        <w:rPr>
          <w:rFonts w:ascii="Times New Roman" w:hAnsi="Times New Roman"/>
          <w:sz w:val="24"/>
        </w:rPr>
        <w:tab/>
      </w:r>
      <w:r>
        <w:rPr>
          <w:rFonts w:ascii="Times New Roman" w:hAnsi="Times New Roman"/>
          <w:sz w:val="24"/>
        </w:rPr>
        <w:t>_</w:t>
      </w:r>
      <w:r>
        <w:rPr>
          <w:rFonts w:ascii="Times New Roman" w:hAnsi="Times New Roman"/>
          <w:i/>
          <w:sz w:val="24"/>
        </w:rPr>
        <w:t xml:space="preserve"> [Insert date of issue]</w:t>
      </w:r>
    </w:p>
    <w:p w14:paraId="71BEC690">
      <w:pPr>
        <w:pStyle w:val="50"/>
        <w:rPr>
          <w:rFonts w:ascii="Times New Roman" w:hAnsi="Times New Roman"/>
          <w:sz w:val="24"/>
        </w:rPr>
      </w:pPr>
      <w:r>
        <w:rPr>
          <w:rFonts w:ascii="Times New Roman" w:hAnsi="Times New Roman"/>
          <w:b/>
          <w:sz w:val="24"/>
        </w:rPr>
        <w:t>PERFORMANCE GUARANTEE No.:</w:t>
      </w:r>
      <w:r>
        <w:rPr>
          <w:rFonts w:ascii="Times New Roman" w:hAnsi="Times New Roman"/>
          <w:sz w:val="24"/>
        </w:rPr>
        <w:tab/>
      </w:r>
      <w:r>
        <w:rPr>
          <w:rFonts w:ascii="Times New Roman" w:hAnsi="Times New Roman"/>
          <w:i/>
          <w:sz w:val="24"/>
        </w:rPr>
        <w:t>[Insert guarantee reference number]</w:t>
      </w:r>
    </w:p>
    <w:p w14:paraId="3ED48091">
      <w:pPr>
        <w:pStyle w:val="50"/>
        <w:rPr>
          <w:rFonts w:ascii="Times New Roman" w:hAnsi="Times New Roman"/>
          <w:sz w:val="24"/>
        </w:rPr>
      </w:pPr>
      <w:r>
        <w:rPr>
          <w:rFonts w:ascii="Times New Roman" w:hAnsi="Times New Roman"/>
          <w:b/>
          <w:sz w:val="24"/>
        </w:rPr>
        <w:t xml:space="preserve">Guarantor:  </w:t>
      </w:r>
      <w:r>
        <w:rPr>
          <w:rFonts w:ascii="Times New Roman" w:hAnsi="Times New Roman"/>
          <w:i/>
          <w:sz w:val="24"/>
        </w:rPr>
        <w:t>[Insert name and address of place of issue, unless indicated in the letterhead]</w:t>
      </w:r>
    </w:p>
    <w:p w14:paraId="29ADCA5C">
      <w:pPr>
        <w:pStyle w:val="50"/>
        <w:jc w:val="both"/>
        <w:rPr>
          <w:rFonts w:ascii="Times New Roman" w:hAnsi="Times New Roman"/>
          <w:sz w:val="24"/>
        </w:rPr>
      </w:pPr>
      <w:r>
        <w:rPr>
          <w:rFonts w:ascii="Times New Roman" w:hAnsi="Times New Roman"/>
          <w:sz w:val="24"/>
        </w:rPr>
        <w:t xml:space="preserve">We have been informed that _ </w:t>
      </w:r>
      <w:r>
        <w:rPr>
          <w:rFonts w:ascii="Times New Roman" w:hAnsi="Times New Roman"/>
          <w:i/>
          <w:sz w:val="24"/>
        </w:rPr>
        <w:t xml:space="preserve">[insert name of Contractor, which in the case of a joint venture shall be the name of the joint venture] </w:t>
      </w:r>
      <w:r>
        <w:rPr>
          <w:rFonts w:ascii="Times New Roman" w:hAnsi="Times New Roman"/>
          <w:sz w:val="24"/>
        </w:rPr>
        <w:t xml:space="preserve">(hereinafter called "the Applicant") has entered into Contract No. </w:t>
      </w:r>
      <w:r>
        <w:rPr>
          <w:b/>
          <w:bCs/>
          <w:color w:val="auto"/>
          <w:sz w:val="24"/>
          <w:szCs w:val="24"/>
          <w:highlight w:val="none"/>
        </w:rPr>
        <w:t>KE-WAJWASCO</w:t>
      </w:r>
      <w:r>
        <w:rPr>
          <w:rFonts w:hint="default"/>
          <w:b/>
          <w:bCs/>
          <w:color w:val="auto"/>
          <w:sz w:val="24"/>
          <w:szCs w:val="24"/>
          <w:highlight w:val="none"/>
          <w:lang w:val="en-US"/>
        </w:rPr>
        <w:t>-456993</w:t>
      </w:r>
      <w:r>
        <w:rPr>
          <w:b/>
          <w:bCs/>
          <w:color w:val="auto"/>
          <w:sz w:val="24"/>
          <w:szCs w:val="24"/>
          <w:highlight w:val="none"/>
        </w:rPr>
        <w:t>-</w:t>
      </w:r>
      <w:r>
        <w:rPr>
          <w:rFonts w:hint="default"/>
          <w:b/>
          <w:bCs/>
          <w:color w:val="auto"/>
          <w:sz w:val="24"/>
          <w:szCs w:val="24"/>
          <w:highlight w:val="none"/>
          <w:lang w:val="en-US"/>
        </w:rPr>
        <w:t>CW</w:t>
      </w:r>
      <w:r>
        <w:rPr>
          <w:b/>
          <w:bCs/>
          <w:color w:val="auto"/>
          <w:sz w:val="24"/>
          <w:szCs w:val="24"/>
          <w:highlight w:val="none"/>
        </w:rPr>
        <w:t>-RFB</w:t>
      </w:r>
      <w:r>
        <w:rPr>
          <w:rFonts w:ascii="Times New Roman" w:hAnsi="Times New Roman"/>
          <w:b/>
          <w:bCs/>
          <w:iCs/>
          <w:sz w:val="24"/>
        </w:rPr>
        <w:t xml:space="preserve"> </w:t>
      </w:r>
      <w:r>
        <w:rPr>
          <w:rFonts w:ascii="Times New Roman" w:hAnsi="Times New Roman"/>
          <w:i/>
          <w:sz w:val="24"/>
        </w:rPr>
        <w:t xml:space="preserve">[insert reference number of the contract] </w:t>
      </w:r>
      <w:r>
        <w:rPr>
          <w:rFonts w:ascii="Times New Roman" w:hAnsi="Times New Roman"/>
          <w:sz w:val="24"/>
        </w:rPr>
        <w:t xml:space="preserve">dated </w:t>
      </w:r>
      <w:r>
        <w:rPr>
          <w:rFonts w:ascii="Times New Roman" w:hAnsi="Times New Roman"/>
          <w:i/>
          <w:sz w:val="24"/>
        </w:rPr>
        <w:t>[insert date]</w:t>
      </w:r>
      <w:r>
        <w:rPr>
          <w:rFonts w:ascii="Times New Roman" w:hAnsi="Times New Roman"/>
          <w:sz w:val="24"/>
        </w:rPr>
        <w:t xml:space="preserve"> with the Beneficiary, for the execution of </w:t>
      </w:r>
      <w:r>
        <w:rPr>
          <w:rFonts w:ascii="Times New Roman" w:hAnsi="Times New Roman"/>
          <w:b/>
          <w:bCs/>
          <w:iCs/>
          <w:sz w:val="24"/>
          <w:highlight w:val="none"/>
        </w:rPr>
        <w:t>Construction of 1no. Faecal Sludge Treatment Plant in Wajir Town</w:t>
      </w:r>
      <w:r>
        <w:rPr>
          <w:rFonts w:ascii="Times New Roman" w:hAnsi="Times New Roman"/>
          <w:sz w:val="24"/>
        </w:rPr>
        <w:t xml:space="preserve"> _ </w:t>
      </w:r>
      <w:r>
        <w:rPr>
          <w:rFonts w:ascii="Times New Roman" w:hAnsi="Times New Roman"/>
          <w:i/>
          <w:sz w:val="24"/>
        </w:rPr>
        <w:t xml:space="preserve">[insert name of contract and brief description of </w:t>
      </w:r>
      <w:r>
        <w:rPr>
          <w:rFonts w:ascii="Times New Roman" w:hAnsi="Times New Roman"/>
          <w:sz w:val="24"/>
        </w:rPr>
        <w:t>Works</w:t>
      </w:r>
      <w:r>
        <w:rPr>
          <w:rFonts w:ascii="Times New Roman" w:hAnsi="Times New Roman"/>
          <w:i/>
          <w:sz w:val="24"/>
        </w:rPr>
        <w:t>]</w:t>
      </w:r>
      <w:r>
        <w:rPr>
          <w:rFonts w:ascii="Times New Roman" w:hAnsi="Times New Roman"/>
          <w:sz w:val="24"/>
        </w:rPr>
        <w:t xml:space="preserve"> (hereinafter called "the Contract").  </w:t>
      </w:r>
    </w:p>
    <w:p w14:paraId="5062993A">
      <w:pPr>
        <w:pStyle w:val="50"/>
        <w:jc w:val="both"/>
        <w:rPr>
          <w:rFonts w:ascii="Times New Roman" w:hAnsi="Times New Roman"/>
          <w:sz w:val="24"/>
        </w:rPr>
      </w:pPr>
      <w:r>
        <w:rPr>
          <w:rFonts w:ascii="Times New Roman" w:hAnsi="Times New Roman"/>
          <w:sz w:val="24"/>
        </w:rPr>
        <w:t>Furthermore, we understand that, according to the conditions of the Contract, a performance guarantee is required.</w:t>
      </w:r>
    </w:p>
    <w:p w14:paraId="719D2CCB">
      <w:pPr>
        <w:pStyle w:val="50"/>
        <w:jc w:val="both"/>
        <w:rPr>
          <w:rFonts w:ascii="Times New Roman" w:hAnsi="Times New Roman"/>
          <w:sz w:val="24"/>
        </w:rPr>
      </w:pPr>
      <w:r>
        <w:rPr>
          <w:rFonts w:ascii="Times New Roman" w:hAnsi="Times New Roman"/>
          <w:sz w:val="24"/>
        </w:rPr>
        <w:t xml:space="preserve">At the request of the Applicant, we as Guarantor, hereby irrevocably undertake to pay the Beneficiary any sum or sums not exceeding in total an amount of </w:t>
      </w:r>
      <w:r>
        <w:rPr>
          <w:rFonts w:ascii="Times New Roman" w:hAnsi="Times New Roman"/>
          <w:i/>
          <w:sz w:val="24"/>
        </w:rPr>
        <w:t xml:space="preserve">[insert amount in figures] </w:t>
      </w:r>
      <w:r>
        <w:rPr>
          <w:rFonts w:ascii="Times New Roman" w:hAnsi="Times New Roman"/>
          <w:sz w:val="24"/>
        </w:rPr>
        <w:t>(______)</w:t>
      </w:r>
      <w:r>
        <w:rPr>
          <w:rFonts w:ascii="Times New Roman" w:hAnsi="Times New Roman"/>
          <w:i/>
          <w:sz w:val="24"/>
        </w:rPr>
        <w:t xml:space="preserve"> [insert amount in words]</w:t>
      </w:r>
      <w:r>
        <w:rPr>
          <w:rFonts w:ascii="Times New Roman" w:hAnsi="Times New Roman"/>
          <w:sz w:val="24"/>
        </w:rPr>
        <w:t>,</w:t>
      </w:r>
      <w:r>
        <w:rPr>
          <w:rStyle w:val="28"/>
          <w:rFonts w:ascii="Times New Roman" w:hAnsi="Times New Roman"/>
          <w:sz w:val="24"/>
        </w:rPr>
        <w:footnoteReference w:id="42" w:customMarkFollows="1"/>
        <w:t>1</w:t>
      </w:r>
      <w:r>
        <w:rPr>
          <w:rFonts w:ascii="Times New Roman" w:hAnsi="Times New Roman"/>
          <w:sz w:val="24"/>
        </w:rPr>
        <w:t xml:space="preserve"> such sum being payable in the types and proportions of currencies in which the Contract Price is payable, upon receipt by us of the Beneficiary’s complying demand supported by the Beneficiary’s statement, whether in the demand itself or in a separate signed document accompanying or identifying the demand, stating that the Applicant is in breach of its obligation(s) under the Contract, without the Beneficiary needing to prove or to show grounds for your demand or the sum specified therein. </w:t>
      </w:r>
    </w:p>
    <w:p w14:paraId="35CC6913">
      <w:pPr>
        <w:pStyle w:val="50"/>
        <w:jc w:val="both"/>
        <w:rPr>
          <w:rFonts w:ascii="Times New Roman" w:hAnsi="Times New Roman"/>
          <w:sz w:val="24"/>
        </w:rPr>
      </w:pPr>
      <w:r>
        <w:rPr>
          <w:rFonts w:ascii="Times New Roman" w:hAnsi="Times New Roman"/>
          <w:sz w:val="24"/>
        </w:rPr>
        <w:t xml:space="preserve">This guarantee shall expire, no later than the …. Day of ……, 2… </w:t>
      </w:r>
      <w:r>
        <w:rPr>
          <w:rStyle w:val="28"/>
          <w:rFonts w:ascii="Times New Roman" w:hAnsi="Times New Roman"/>
          <w:sz w:val="24"/>
        </w:rPr>
        <w:footnoteReference w:id="43" w:customMarkFollows="1"/>
        <w:t>2</w:t>
      </w:r>
      <w:r>
        <w:rPr>
          <w:rFonts w:ascii="Times New Roman" w:hAnsi="Times New Roman"/>
          <w:sz w:val="24"/>
        </w:rPr>
        <w:t xml:space="preserve">, and any demand for payment under it must be received by us at this office indicated above on or before that date.  </w:t>
      </w:r>
    </w:p>
    <w:p w14:paraId="7DE7C528">
      <w:pPr>
        <w:pStyle w:val="50"/>
        <w:rPr>
          <w:rFonts w:ascii="Times New Roman" w:hAnsi="Times New Roman"/>
          <w:sz w:val="24"/>
        </w:rPr>
      </w:pPr>
      <w:r>
        <w:rPr>
          <w:rFonts w:ascii="Times New Roman" w:hAnsi="Times New Roman"/>
          <w:sz w:val="24"/>
        </w:rPr>
        <w:t>This guarantee is subject to the Uniform Rules for Demand Guarantees (URDG) 2010 Revision, ICC Publication No. 758, except that the supporting statement under Article 15(a) is hereby excluded.</w:t>
      </w:r>
      <w:r>
        <w:rPr>
          <w:rFonts w:ascii="Times New Roman" w:hAnsi="Times New Roman"/>
          <w:sz w:val="24"/>
        </w:rPr>
        <w:br w:type="textWrapping"/>
      </w:r>
    </w:p>
    <w:p w14:paraId="3F8385C5">
      <w:pPr>
        <w:jc w:val="center"/>
      </w:pPr>
      <w:r>
        <w:t xml:space="preserve">_____________________ </w:t>
      </w:r>
      <w:r>
        <w:br w:type="textWrapping"/>
      </w:r>
      <w:r>
        <w:rPr>
          <w:i/>
        </w:rPr>
        <w:t>[signature(s)]</w:t>
      </w:r>
      <w:r>
        <w:t xml:space="preserve"> </w:t>
      </w:r>
    </w:p>
    <w:p w14:paraId="33AFA252">
      <w:pPr>
        <w:pStyle w:val="15"/>
      </w:pPr>
      <w:r>
        <w:br w:type="textWrapping"/>
      </w:r>
      <w:r>
        <w:t xml:space="preserve"> </w:t>
      </w:r>
    </w:p>
    <w:p w14:paraId="3B128B6A">
      <w:pPr>
        <w:pStyle w:val="50"/>
        <w:tabs>
          <w:tab w:val="center" w:leader="dot" w:pos="4860"/>
          <w:tab w:val="right" w:leader="dot" w:pos="9360"/>
        </w:tabs>
        <w:spacing w:before="120" w:beforeAutospacing="0" w:after="120" w:afterAutospacing="0"/>
        <w:ind w:left="180" w:right="288"/>
        <w:jc w:val="both"/>
        <w:rPr>
          <w:b/>
          <w:i/>
        </w:rPr>
      </w:pPr>
    </w:p>
    <w:p w14:paraId="6577A9E4">
      <w:pPr>
        <w:pStyle w:val="50"/>
        <w:tabs>
          <w:tab w:val="center" w:leader="dot" w:pos="4860"/>
          <w:tab w:val="right" w:leader="dot" w:pos="9360"/>
        </w:tabs>
        <w:spacing w:before="120" w:beforeAutospacing="0" w:after="120" w:afterAutospacing="0"/>
        <w:ind w:left="180" w:right="288"/>
        <w:jc w:val="both"/>
        <w:rPr>
          <w:b/>
          <w:i/>
        </w:rPr>
      </w:pPr>
    </w:p>
    <w:p w14:paraId="1BF6CFEA">
      <w:pPr>
        <w:pStyle w:val="50"/>
        <w:tabs>
          <w:tab w:val="center" w:leader="dot" w:pos="4860"/>
          <w:tab w:val="right" w:leader="dot" w:pos="9360"/>
        </w:tabs>
        <w:spacing w:before="120" w:beforeAutospacing="0" w:after="120" w:afterAutospacing="0"/>
        <w:ind w:left="180" w:right="288"/>
        <w:jc w:val="both"/>
        <w:rPr>
          <w:b/>
          <w:i/>
        </w:rPr>
      </w:pPr>
    </w:p>
    <w:p w14:paraId="44B1CB14">
      <w:pPr>
        <w:pStyle w:val="50"/>
        <w:tabs>
          <w:tab w:val="center" w:leader="dot" w:pos="4860"/>
          <w:tab w:val="right" w:leader="dot" w:pos="9360"/>
        </w:tabs>
        <w:spacing w:before="120" w:beforeAutospacing="0" w:after="120" w:afterAutospacing="0"/>
        <w:ind w:left="180" w:right="288"/>
        <w:jc w:val="both"/>
        <w:rPr>
          <w:b/>
          <w:i/>
        </w:rPr>
      </w:pPr>
    </w:p>
    <w:p w14:paraId="1624ECC8">
      <w:pPr>
        <w:pStyle w:val="50"/>
        <w:tabs>
          <w:tab w:val="center" w:leader="dot" w:pos="4860"/>
          <w:tab w:val="right" w:leader="dot" w:pos="9360"/>
        </w:tabs>
        <w:spacing w:before="120" w:beforeAutospacing="0" w:after="120" w:afterAutospacing="0"/>
        <w:ind w:left="180" w:right="288"/>
        <w:jc w:val="both"/>
        <w:rPr>
          <w:b/>
          <w:i/>
        </w:rPr>
      </w:pPr>
    </w:p>
    <w:p w14:paraId="34F2BC80">
      <w:pPr>
        <w:pStyle w:val="50"/>
        <w:tabs>
          <w:tab w:val="center" w:leader="dot" w:pos="4860"/>
          <w:tab w:val="right" w:leader="dot" w:pos="9360"/>
        </w:tabs>
        <w:spacing w:before="120" w:beforeAutospacing="0" w:after="120" w:afterAutospacing="0"/>
        <w:ind w:left="180" w:right="288"/>
        <w:jc w:val="both"/>
        <w:rPr>
          <w:b/>
          <w:i/>
        </w:rPr>
      </w:pPr>
    </w:p>
    <w:p w14:paraId="5C29C43F">
      <w:pPr>
        <w:pStyle w:val="50"/>
        <w:tabs>
          <w:tab w:val="center" w:leader="dot" w:pos="4860"/>
          <w:tab w:val="right" w:leader="dot" w:pos="9360"/>
        </w:tabs>
        <w:spacing w:before="120" w:beforeAutospacing="0" w:after="120" w:afterAutospacing="0"/>
        <w:ind w:left="180" w:right="288"/>
        <w:jc w:val="both"/>
        <w:rPr>
          <w:b/>
          <w:i/>
        </w:rPr>
      </w:pPr>
    </w:p>
    <w:p w14:paraId="1B6CC79A">
      <w:pPr>
        <w:pStyle w:val="50"/>
        <w:tabs>
          <w:tab w:val="center" w:leader="dot" w:pos="4860"/>
          <w:tab w:val="right" w:leader="dot" w:pos="9360"/>
        </w:tabs>
        <w:spacing w:before="120" w:beforeAutospacing="0" w:after="120" w:afterAutospacing="0"/>
        <w:ind w:left="180" w:right="288"/>
        <w:jc w:val="both"/>
        <w:rPr>
          <w:b/>
          <w:i/>
        </w:rPr>
      </w:pPr>
    </w:p>
    <w:p w14:paraId="593230F0">
      <w:pPr>
        <w:pStyle w:val="50"/>
        <w:tabs>
          <w:tab w:val="center" w:leader="dot" w:pos="4860"/>
          <w:tab w:val="right" w:leader="dot" w:pos="9360"/>
        </w:tabs>
        <w:spacing w:before="120" w:beforeAutospacing="0" w:after="120" w:afterAutospacing="0"/>
        <w:ind w:left="180" w:right="288"/>
        <w:jc w:val="both"/>
        <w:rPr>
          <w:b/>
          <w:i/>
        </w:rPr>
      </w:pPr>
    </w:p>
    <w:p w14:paraId="0AD618D2">
      <w:pPr>
        <w:pStyle w:val="50"/>
        <w:tabs>
          <w:tab w:val="center" w:leader="dot" w:pos="4860"/>
          <w:tab w:val="right" w:leader="dot" w:pos="9360"/>
        </w:tabs>
        <w:spacing w:before="120" w:beforeAutospacing="0" w:after="120" w:afterAutospacing="0"/>
        <w:ind w:left="180" w:right="288"/>
        <w:jc w:val="both"/>
        <w:rPr>
          <w:b/>
          <w:i/>
        </w:rPr>
      </w:pPr>
    </w:p>
    <w:p w14:paraId="7E2DA994">
      <w:pPr>
        <w:pStyle w:val="50"/>
        <w:tabs>
          <w:tab w:val="center" w:leader="dot" w:pos="4860"/>
          <w:tab w:val="right" w:leader="dot" w:pos="9360"/>
        </w:tabs>
        <w:spacing w:before="120" w:beforeAutospacing="0" w:after="120" w:afterAutospacing="0"/>
        <w:ind w:left="180" w:right="288"/>
        <w:jc w:val="both"/>
        <w:rPr>
          <w:b/>
          <w:i/>
        </w:rPr>
      </w:pPr>
    </w:p>
    <w:p w14:paraId="77203CFA">
      <w:pPr>
        <w:pStyle w:val="50"/>
        <w:tabs>
          <w:tab w:val="center" w:leader="dot" w:pos="4860"/>
          <w:tab w:val="right" w:leader="dot" w:pos="9360"/>
        </w:tabs>
        <w:spacing w:before="120" w:beforeAutospacing="0" w:after="120" w:afterAutospacing="0"/>
        <w:ind w:left="180" w:right="288"/>
        <w:jc w:val="both"/>
        <w:rPr>
          <w:b/>
          <w:i/>
        </w:rPr>
      </w:pPr>
    </w:p>
    <w:p w14:paraId="628360C0">
      <w:pPr>
        <w:pStyle w:val="50"/>
        <w:tabs>
          <w:tab w:val="center" w:leader="dot" w:pos="4860"/>
          <w:tab w:val="right" w:leader="dot" w:pos="9360"/>
        </w:tabs>
        <w:spacing w:before="120" w:beforeAutospacing="0" w:after="120" w:afterAutospacing="0"/>
        <w:ind w:left="180" w:right="288"/>
        <w:jc w:val="both"/>
        <w:rPr>
          <w:b/>
          <w:i/>
        </w:rPr>
      </w:pPr>
    </w:p>
    <w:p w14:paraId="7068653F">
      <w:pPr>
        <w:pStyle w:val="50"/>
        <w:tabs>
          <w:tab w:val="center" w:leader="dot" w:pos="4860"/>
          <w:tab w:val="right" w:leader="dot" w:pos="9360"/>
        </w:tabs>
        <w:spacing w:before="120" w:beforeAutospacing="0" w:after="120" w:afterAutospacing="0"/>
        <w:ind w:left="180" w:right="288"/>
        <w:jc w:val="both"/>
        <w:rPr>
          <w:b/>
          <w:i/>
        </w:rPr>
      </w:pPr>
    </w:p>
    <w:p w14:paraId="076B3434">
      <w:pPr>
        <w:pStyle w:val="50"/>
        <w:tabs>
          <w:tab w:val="center" w:leader="dot" w:pos="4860"/>
          <w:tab w:val="right" w:leader="dot" w:pos="9360"/>
        </w:tabs>
        <w:spacing w:before="120" w:beforeAutospacing="0" w:after="120" w:afterAutospacing="0"/>
        <w:ind w:left="180" w:right="288"/>
        <w:jc w:val="both"/>
        <w:rPr>
          <w:b/>
          <w:i/>
        </w:rPr>
      </w:pPr>
    </w:p>
    <w:p w14:paraId="7DACA993">
      <w:pPr>
        <w:pStyle w:val="50"/>
        <w:tabs>
          <w:tab w:val="center" w:leader="dot" w:pos="4860"/>
          <w:tab w:val="right" w:leader="dot" w:pos="9360"/>
        </w:tabs>
        <w:spacing w:before="120" w:beforeAutospacing="0" w:after="120" w:afterAutospacing="0"/>
        <w:ind w:left="180" w:right="288"/>
        <w:jc w:val="both"/>
        <w:rPr>
          <w:b/>
          <w:i/>
        </w:rPr>
      </w:pPr>
    </w:p>
    <w:p w14:paraId="4C30DD58">
      <w:pPr>
        <w:pStyle w:val="50"/>
        <w:tabs>
          <w:tab w:val="center" w:leader="dot" w:pos="4860"/>
          <w:tab w:val="right" w:leader="dot" w:pos="9360"/>
        </w:tabs>
        <w:spacing w:before="120" w:beforeAutospacing="0" w:after="120" w:afterAutospacing="0"/>
        <w:ind w:left="180" w:right="288"/>
        <w:jc w:val="both"/>
        <w:rPr>
          <w:b/>
          <w:i/>
        </w:rPr>
      </w:pPr>
    </w:p>
    <w:p w14:paraId="6C3357BE">
      <w:pPr>
        <w:pStyle w:val="50"/>
        <w:tabs>
          <w:tab w:val="center" w:leader="dot" w:pos="4860"/>
          <w:tab w:val="right" w:leader="dot" w:pos="9360"/>
        </w:tabs>
        <w:spacing w:before="120" w:beforeAutospacing="0" w:after="120" w:afterAutospacing="0"/>
        <w:ind w:left="180" w:right="288"/>
        <w:jc w:val="both"/>
        <w:rPr>
          <w:b/>
          <w:i/>
        </w:rPr>
      </w:pPr>
    </w:p>
    <w:p w14:paraId="4EFDD8E5">
      <w:pPr>
        <w:pStyle w:val="50"/>
        <w:tabs>
          <w:tab w:val="center" w:leader="dot" w:pos="4860"/>
          <w:tab w:val="right" w:leader="dot" w:pos="9360"/>
        </w:tabs>
        <w:spacing w:before="120" w:beforeAutospacing="0" w:after="120" w:afterAutospacing="0"/>
        <w:ind w:left="180" w:right="288"/>
        <w:jc w:val="both"/>
        <w:rPr>
          <w:b/>
          <w:i/>
        </w:rPr>
      </w:pPr>
    </w:p>
    <w:p w14:paraId="0F944C68">
      <w:pPr>
        <w:pStyle w:val="50"/>
        <w:tabs>
          <w:tab w:val="center" w:leader="dot" w:pos="4860"/>
          <w:tab w:val="right" w:leader="dot" w:pos="9360"/>
        </w:tabs>
        <w:spacing w:before="120" w:beforeAutospacing="0" w:after="120" w:afterAutospacing="0"/>
        <w:ind w:left="180" w:right="288"/>
        <w:jc w:val="both"/>
        <w:rPr>
          <w:b/>
          <w:i/>
        </w:rPr>
      </w:pPr>
    </w:p>
    <w:p w14:paraId="61239670">
      <w:pPr>
        <w:pStyle w:val="50"/>
        <w:tabs>
          <w:tab w:val="center" w:leader="dot" w:pos="4860"/>
          <w:tab w:val="right" w:leader="dot" w:pos="9360"/>
        </w:tabs>
        <w:spacing w:before="120" w:beforeAutospacing="0" w:after="120" w:afterAutospacing="0"/>
        <w:ind w:left="180" w:right="288"/>
        <w:jc w:val="both"/>
        <w:rPr>
          <w:b/>
          <w:i/>
        </w:rPr>
      </w:pPr>
    </w:p>
    <w:p w14:paraId="3B3A3E3E">
      <w:pPr>
        <w:pStyle w:val="50"/>
        <w:tabs>
          <w:tab w:val="center" w:leader="dot" w:pos="4860"/>
          <w:tab w:val="right" w:leader="dot" w:pos="9360"/>
        </w:tabs>
        <w:spacing w:before="120" w:beforeAutospacing="0" w:after="120" w:afterAutospacing="0"/>
        <w:ind w:right="288"/>
        <w:jc w:val="both"/>
        <w:rPr>
          <w:b/>
          <w:i/>
        </w:rPr>
      </w:pPr>
    </w:p>
    <w:p w14:paraId="0A9118C9">
      <w:pPr>
        <w:pStyle w:val="50"/>
        <w:tabs>
          <w:tab w:val="center" w:leader="dot" w:pos="4860"/>
          <w:tab w:val="right" w:leader="dot" w:pos="9360"/>
        </w:tabs>
        <w:spacing w:before="120" w:beforeAutospacing="0" w:after="120" w:afterAutospacing="0"/>
        <w:ind w:left="180" w:right="288"/>
        <w:jc w:val="both"/>
        <w:rPr>
          <w:b/>
          <w:i/>
        </w:rPr>
      </w:pPr>
    </w:p>
    <w:tbl>
      <w:tblPr>
        <w:tblStyle w:val="12"/>
        <w:tblW w:w="9198" w:type="dxa"/>
        <w:tblInd w:w="0" w:type="dxa"/>
        <w:tblLayout w:type="fixed"/>
        <w:tblCellMar>
          <w:top w:w="0" w:type="dxa"/>
          <w:left w:w="108" w:type="dxa"/>
          <w:bottom w:w="0" w:type="dxa"/>
          <w:right w:w="108" w:type="dxa"/>
        </w:tblCellMar>
      </w:tblPr>
      <w:tblGrid>
        <w:gridCol w:w="9198"/>
      </w:tblGrid>
      <w:tr w14:paraId="2E07EA93">
        <w:tblPrEx>
          <w:tblCellMar>
            <w:top w:w="0" w:type="dxa"/>
            <w:left w:w="108" w:type="dxa"/>
            <w:bottom w:w="0" w:type="dxa"/>
            <w:right w:w="108" w:type="dxa"/>
          </w:tblCellMar>
        </w:tblPrEx>
        <w:trPr>
          <w:trHeight w:val="900" w:hRule="atLeast"/>
        </w:trPr>
        <w:tc>
          <w:tcPr>
            <w:tcW w:w="9198" w:type="dxa"/>
            <w:vAlign w:val="center"/>
          </w:tcPr>
          <w:p w14:paraId="5BB79CD1">
            <w:pPr>
              <w:pStyle w:val="160"/>
              <w:rPr>
                <w:b w:val="0"/>
                <w:color w:val="000000"/>
              </w:rPr>
            </w:pPr>
            <w:bookmarkStart w:id="776" w:name="_Toc178607080"/>
            <w:bookmarkStart w:id="777" w:name="_Toc29909409"/>
            <w:r>
              <w:t>Environmental and Social(ES) Performance Security</w:t>
            </w:r>
            <w:bookmarkEnd w:id="776"/>
            <w:bookmarkEnd w:id="777"/>
          </w:p>
        </w:tc>
      </w:tr>
    </w:tbl>
    <w:p w14:paraId="00BECB6B">
      <w:pPr>
        <w:spacing w:before="120" w:after="120"/>
        <w:jc w:val="center"/>
        <w:rPr>
          <w:rFonts w:eastAsia="Arial Unicode MS"/>
          <w:b/>
          <w:bCs/>
          <w:iCs/>
          <w:color w:val="000000"/>
          <w:sz w:val="28"/>
          <w:szCs w:val="28"/>
        </w:rPr>
      </w:pPr>
      <w:r>
        <w:rPr>
          <w:b/>
          <w:bCs/>
          <w:iCs/>
          <w:color w:val="000000"/>
          <w:sz w:val="28"/>
          <w:szCs w:val="28"/>
        </w:rPr>
        <w:t>ES Demand Guarantee</w:t>
      </w:r>
    </w:p>
    <w:p w14:paraId="328E7C52">
      <w:pPr>
        <w:spacing w:before="240" w:after="120"/>
        <w:rPr>
          <w:color w:val="000000"/>
        </w:rPr>
      </w:pPr>
    </w:p>
    <w:p w14:paraId="1F443553">
      <w:pPr>
        <w:spacing w:before="240" w:after="120"/>
        <w:jc w:val="center"/>
        <w:rPr>
          <w:rFonts w:eastAsia="Arial Unicode MS"/>
          <w:i/>
          <w:color w:val="000000"/>
        </w:rPr>
      </w:pPr>
      <w:r>
        <w:rPr>
          <w:rFonts w:eastAsia="Arial Unicode MS"/>
          <w:i/>
          <w:color w:val="000000"/>
        </w:rPr>
        <w:t>[Guarantor letterhead or SWIFT identifier code]</w:t>
      </w:r>
    </w:p>
    <w:p w14:paraId="16BE86D6">
      <w:pPr>
        <w:spacing w:before="240" w:after="120"/>
        <w:rPr>
          <w:rFonts w:eastAsia="Arial Unicode MS"/>
          <w:i/>
          <w:color w:val="000000"/>
        </w:rPr>
      </w:pPr>
      <w:r>
        <w:rPr>
          <w:rFonts w:eastAsia="Arial Unicode MS"/>
          <w:b/>
          <w:color w:val="000000"/>
        </w:rPr>
        <w:t>Beneficiary:</w:t>
      </w:r>
      <w:r>
        <w:rPr>
          <w:rFonts w:eastAsia="Arial Unicode MS"/>
          <w:color w:val="000000"/>
        </w:rPr>
        <w:tab/>
      </w:r>
      <w:r>
        <w:rPr>
          <w:rFonts w:eastAsia="Arial Unicode MS"/>
          <w:i/>
          <w:color w:val="000000"/>
        </w:rPr>
        <w:t xml:space="preserve">[insert name and Address of </w:t>
      </w:r>
      <w:r>
        <w:rPr>
          <w:rFonts w:eastAsia="Arial Unicode MS"/>
          <w:color w:val="000000"/>
        </w:rPr>
        <w:t>Employer</w:t>
      </w:r>
      <w:r>
        <w:rPr>
          <w:rFonts w:eastAsia="Arial Unicode MS"/>
          <w:i/>
          <w:color w:val="000000"/>
        </w:rPr>
        <w:t>]</w:t>
      </w:r>
      <w:r>
        <w:rPr>
          <w:rFonts w:eastAsia="Arial Unicode MS"/>
          <w:i/>
          <w:color w:val="000000"/>
        </w:rPr>
        <w:tab/>
      </w:r>
      <w:r>
        <w:rPr>
          <w:rFonts w:eastAsia="Arial Unicode MS"/>
          <w:i/>
          <w:color w:val="000000"/>
        </w:rPr>
        <w:tab/>
      </w:r>
    </w:p>
    <w:p w14:paraId="26477B20">
      <w:pPr>
        <w:spacing w:before="240" w:after="120"/>
        <w:rPr>
          <w:rFonts w:eastAsia="Arial Unicode MS"/>
          <w:color w:val="000000"/>
        </w:rPr>
      </w:pPr>
      <w:r>
        <w:rPr>
          <w:rFonts w:eastAsia="Arial Unicode MS"/>
          <w:b/>
          <w:color w:val="000000"/>
        </w:rPr>
        <w:t>Date:</w:t>
      </w:r>
      <w:r>
        <w:rPr>
          <w:rFonts w:eastAsia="Arial Unicode MS"/>
          <w:color w:val="000000"/>
        </w:rPr>
        <w:tab/>
      </w:r>
      <w:r>
        <w:rPr>
          <w:rFonts w:eastAsia="Arial Unicode MS"/>
          <w:i/>
          <w:color w:val="000000"/>
        </w:rPr>
        <w:t>[Insert date of issue]</w:t>
      </w:r>
    </w:p>
    <w:p w14:paraId="1F4B3F60">
      <w:pPr>
        <w:spacing w:before="240" w:after="120"/>
        <w:rPr>
          <w:rFonts w:eastAsia="Arial Unicode MS"/>
          <w:color w:val="000000"/>
        </w:rPr>
      </w:pPr>
      <w:r>
        <w:rPr>
          <w:rFonts w:eastAsia="Arial Unicode MS"/>
          <w:b/>
          <w:color w:val="000000"/>
        </w:rPr>
        <w:t>ES PERFORMANCE GUARANTEE No.:</w:t>
      </w:r>
      <w:r>
        <w:rPr>
          <w:rFonts w:eastAsia="Arial Unicode MS"/>
          <w:color w:val="000000"/>
        </w:rPr>
        <w:tab/>
      </w:r>
      <w:r>
        <w:rPr>
          <w:rFonts w:eastAsia="Arial Unicode MS"/>
          <w:i/>
          <w:color w:val="000000"/>
        </w:rPr>
        <w:t>[Insert guarantee reference number]</w:t>
      </w:r>
    </w:p>
    <w:p w14:paraId="24CAFF4F">
      <w:pPr>
        <w:spacing w:before="240" w:after="120"/>
        <w:rPr>
          <w:rFonts w:eastAsia="Arial Unicode MS"/>
          <w:color w:val="000000"/>
        </w:rPr>
      </w:pPr>
      <w:r>
        <w:rPr>
          <w:rFonts w:eastAsia="Arial Unicode MS"/>
          <w:b/>
          <w:color w:val="000000"/>
        </w:rPr>
        <w:t xml:space="preserve">Guarantor:  </w:t>
      </w:r>
      <w:r>
        <w:rPr>
          <w:rFonts w:eastAsia="Arial Unicode MS"/>
          <w:i/>
          <w:color w:val="000000"/>
        </w:rPr>
        <w:t>[Insert name and address of place of issue, unless indicated in the letterhead]</w:t>
      </w:r>
    </w:p>
    <w:p w14:paraId="1AB14917">
      <w:pPr>
        <w:spacing w:before="240" w:after="120"/>
        <w:rPr>
          <w:rFonts w:eastAsia="Arial Unicode MS"/>
          <w:color w:val="000000"/>
        </w:rPr>
      </w:pPr>
      <w:r>
        <w:rPr>
          <w:rFonts w:eastAsia="Arial Unicode MS"/>
          <w:color w:val="000000"/>
        </w:rPr>
        <w:t>We have been informed that ________________ (hereinafter called "the Applicant") has entered into Contract No.</w:t>
      </w:r>
      <w:r>
        <w:rPr>
          <w:color w:val="auto"/>
          <w:highlight w:val="none"/>
        </w:rPr>
        <w:t>KE-WAJWASCO</w:t>
      </w:r>
      <w:r>
        <w:rPr>
          <w:rFonts w:hint="default"/>
          <w:color w:val="auto"/>
          <w:highlight w:val="none"/>
          <w:lang w:val="en-US"/>
        </w:rPr>
        <w:t>-456993</w:t>
      </w:r>
      <w:r>
        <w:rPr>
          <w:color w:val="auto"/>
          <w:highlight w:val="none"/>
        </w:rPr>
        <w:t>-</w:t>
      </w:r>
      <w:r>
        <w:rPr>
          <w:rFonts w:hint="default"/>
          <w:color w:val="auto"/>
          <w:highlight w:val="none"/>
          <w:lang w:val="en-US"/>
        </w:rPr>
        <w:t>CW</w:t>
      </w:r>
      <w:r>
        <w:rPr>
          <w:color w:val="auto"/>
          <w:highlight w:val="none"/>
        </w:rPr>
        <w:t>-RFB</w:t>
      </w:r>
      <w:r>
        <w:rPr>
          <w:rFonts w:eastAsia="Arial Unicode MS"/>
          <w:i/>
          <w:color w:val="000000"/>
          <w:sz w:val="20"/>
        </w:rPr>
        <w:t xml:space="preserve"> </w:t>
      </w:r>
      <w:r>
        <w:rPr>
          <w:rFonts w:eastAsia="Arial Unicode MS"/>
          <w:color w:val="000000"/>
        </w:rPr>
        <w:t xml:space="preserve">dated ____________ with the Beneficiary, for the execution of </w:t>
      </w:r>
      <w:r>
        <w:rPr>
          <w:b/>
          <w:bCs/>
          <w:iCs/>
          <w:color w:val="auto"/>
          <w:highlight w:val="none"/>
        </w:rPr>
        <w:t xml:space="preserve">Construction of 1no. Faecal Sludge Treatment Plant in Wajir </w:t>
      </w:r>
      <w:r>
        <w:rPr>
          <w:b/>
          <w:bCs/>
          <w:iCs/>
          <w:color w:val="auto"/>
          <w:highlight w:val="none"/>
          <w:lang w:val="en-US"/>
        </w:rPr>
        <w:t>Town-bid</w:t>
      </w:r>
      <w:r>
        <w:rPr>
          <w:rFonts w:ascii="Times New Roman" w:hAnsi="Times New Roman" w:cs="Times New Roman"/>
          <w:b/>
          <w:bCs/>
          <w:iCs/>
          <w:sz w:val="24"/>
          <w:highlight w:val="none"/>
        </w:rPr>
        <w:t xml:space="preserve"> No </w:t>
      </w:r>
      <w:r>
        <w:rPr>
          <w:b/>
          <w:bCs/>
          <w:color w:val="auto"/>
          <w:highlight w:val="none"/>
        </w:rPr>
        <w:t>KE-WAJWASCO</w:t>
      </w:r>
      <w:r>
        <w:rPr>
          <w:rFonts w:hint="default"/>
          <w:b/>
          <w:bCs/>
          <w:color w:val="auto"/>
          <w:highlight w:val="none"/>
          <w:lang w:val="en-US"/>
        </w:rPr>
        <w:t>-456993</w:t>
      </w:r>
      <w:r>
        <w:rPr>
          <w:b/>
          <w:bCs/>
          <w:color w:val="auto"/>
          <w:highlight w:val="none"/>
        </w:rPr>
        <w:t>-</w:t>
      </w:r>
      <w:r>
        <w:rPr>
          <w:rFonts w:hint="default"/>
          <w:b/>
          <w:bCs/>
          <w:color w:val="auto"/>
          <w:highlight w:val="none"/>
          <w:lang w:val="en-US"/>
        </w:rPr>
        <w:t>CW</w:t>
      </w:r>
      <w:r>
        <w:rPr>
          <w:b/>
          <w:bCs/>
          <w:color w:val="auto"/>
          <w:highlight w:val="none"/>
        </w:rPr>
        <w:t>-RF</w:t>
      </w:r>
      <w:r>
        <w:rPr>
          <w:color w:val="auto"/>
          <w:highlight w:val="none"/>
        </w:rPr>
        <w:t>B</w:t>
      </w:r>
      <w:r>
        <w:rPr>
          <w:rFonts w:eastAsia="Arial Unicode MS"/>
          <w:color w:val="000000"/>
          <w:highlight w:val="none"/>
        </w:rPr>
        <w:t xml:space="preserve"> </w:t>
      </w:r>
      <w:r>
        <w:rPr>
          <w:rFonts w:eastAsia="Arial Unicode MS"/>
          <w:color w:val="000000"/>
        </w:rPr>
        <w:t xml:space="preserve">(hereinafter called "the Contract"). </w:t>
      </w:r>
    </w:p>
    <w:p w14:paraId="720BD8F9">
      <w:pPr>
        <w:spacing w:before="240" w:after="120"/>
        <w:rPr>
          <w:rFonts w:eastAsia="Arial Unicode MS"/>
          <w:color w:val="000000"/>
        </w:rPr>
      </w:pPr>
      <w:r>
        <w:rPr>
          <w:rFonts w:eastAsia="Arial Unicode MS"/>
          <w:color w:val="000000"/>
        </w:rPr>
        <w:t>Furthermore, we understand that, according to the conditions of the Contract, a performance guarantee is required.</w:t>
      </w:r>
    </w:p>
    <w:p w14:paraId="2453527B">
      <w:pPr>
        <w:spacing w:before="240" w:after="120"/>
        <w:rPr>
          <w:rFonts w:eastAsia="Arial Unicode MS"/>
          <w:color w:val="000000"/>
        </w:rPr>
      </w:pPr>
      <w:r>
        <w:rPr>
          <w:rFonts w:eastAsia="Arial Unicode MS"/>
          <w:color w:val="000000"/>
        </w:rPr>
        <w:t>At the request of the Applicant, we as Guarantor, hereby irrevocably undertake to pay the Beneficiary any sum or sums not exceeding in total an amount of ___________ (</w:t>
      </w:r>
      <w:r>
        <w:rPr>
          <w:rFonts w:eastAsia="Arial Unicode MS"/>
          <w:color w:val="000000"/>
          <w:u w:val="single"/>
        </w:rPr>
        <w:t xml:space="preserve">                    </w:t>
      </w:r>
      <w:r>
        <w:rPr>
          <w:rFonts w:eastAsia="Arial Unicode MS"/>
          <w:color w:val="000000"/>
        </w:rPr>
        <w:t>),</w:t>
      </w:r>
      <w:r>
        <w:rPr>
          <w:rFonts w:eastAsia="Arial Unicode MS"/>
          <w:color w:val="000000"/>
          <w:vertAlign w:val="superscript"/>
        </w:rPr>
        <w:footnoteReference w:id="44" w:customMarkFollows="1"/>
        <w:t>1</w:t>
      </w:r>
      <w:r>
        <w:rPr>
          <w:rFonts w:eastAsia="Arial Unicode MS"/>
          <w:color w:val="000000"/>
        </w:rPr>
        <w:t xml:space="preserve"> such sum being payable in the types and proportions of currencies in which the Contract Price is payable, upon receipt by us of the Beneficiary’s complying demand supported by the Beneficiary’s statement, whether in the demand itself or in a separate signed document accompanying or identifying the demand, stating that the Applicant is in breach of its </w:t>
      </w:r>
      <w:r>
        <w:rPr>
          <w:spacing w:val="-6"/>
          <w:szCs w:val="20"/>
        </w:rPr>
        <w:t xml:space="preserve">Environmental and/or Social  (ES) </w:t>
      </w:r>
      <w:r>
        <w:rPr>
          <w:rFonts w:eastAsia="Arial Unicode MS"/>
          <w:color w:val="000000"/>
        </w:rPr>
        <w:t xml:space="preserve">obligation(s) under the Contract, without the Beneficiary needing to prove or to show grounds for your demand or the sum specified therein. </w:t>
      </w:r>
    </w:p>
    <w:p w14:paraId="2B8FF903">
      <w:pPr>
        <w:spacing w:before="240" w:after="120"/>
        <w:rPr>
          <w:rFonts w:eastAsia="Arial Unicode MS"/>
          <w:color w:val="000000"/>
        </w:rPr>
      </w:pPr>
      <w:r>
        <w:rPr>
          <w:rFonts w:eastAsia="Arial Unicode MS"/>
          <w:color w:val="000000"/>
        </w:rPr>
        <w:t xml:space="preserve">This guarantee shall expire, no later than the …. Day of ……, 2… </w:t>
      </w:r>
      <w:r>
        <w:rPr>
          <w:rFonts w:eastAsia="Arial Unicode MS"/>
          <w:color w:val="000000"/>
          <w:vertAlign w:val="superscript"/>
        </w:rPr>
        <w:footnoteReference w:id="45" w:customMarkFollows="1"/>
        <w:t>2</w:t>
      </w:r>
      <w:r>
        <w:rPr>
          <w:rFonts w:eastAsia="Arial Unicode MS"/>
          <w:color w:val="000000"/>
        </w:rPr>
        <w:t xml:space="preserve">, and any demand for payment under it must be received by us at this office indicated above on or before that date.  </w:t>
      </w:r>
    </w:p>
    <w:p w14:paraId="4D50AC63">
      <w:pPr>
        <w:spacing w:before="240" w:after="120"/>
        <w:rPr>
          <w:rFonts w:eastAsia="Arial Unicode MS"/>
          <w:color w:val="000000"/>
        </w:rPr>
      </w:pPr>
      <w:r>
        <w:rPr>
          <w:rFonts w:eastAsia="Arial Unicode MS"/>
          <w:color w:val="000000"/>
        </w:rPr>
        <w:t>This guarantee is subject to the Uniform Rules for Demand Guarantees (URDG) 2010 Revision, ICC Publication No. 758, except that the supporting statement under Article 15(a) is hereby excluded.</w:t>
      </w:r>
    </w:p>
    <w:p w14:paraId="2AF22E51">
      <w:pPr>
        <w:spacing w:before="240" w:after="120"/>
        <w:rPr>
          <w:rFonts w:eastAsia="Arial Unicode MS"/>
          <w:color w:val="000000"/>
        </w:rPr>
      </w:pPr>
      <w:r>
        <w:rPr>
          <w:rFonts w:eastAsia="Arial Unicode MS"/>
          <w:color w:val="000000"/>
        </w:rPr>
        <w:br w:type="textWrapping"/>
      </w:r>
    </w:p>
    <w:p w14:paraId="27E79B37">
      <w:pPr>
        <w:spacing w:before="240" w:after="120"/>
        <w:jc w:val="center"/>
        <w:rPr>
          <w:color w:val="000000"/>
        </w:rPr>
      </w:pPr>
      <w:r>
        <w:rPr>
          <w:color w:val="000000"/>
        </w:rPr>
        <w:t xml:space="preserve">_____________________ </w:t>
      </w:r>
      <w:r>
        <w:rPr>
          <w:color w:val="000000"/>
        </w:rPr>
        <w:br w:type="textWrapping"/>
      </w:r>
      <w:r>
        <w:rPr>
          <w:i/>
          <w:color w:val="000000"/>
        </w:rPr>
        <w:t>[signature(s)]</w:t>
      </w:r>
      <w:r>
        <w:rPr>
          <w:color w:val="000000"/>
        </w:rPr>
        <w:t xml:space="preserve"> </w:t>
      </w:r>
    </w:p>
    <w:p w14:paraId="7B3A52E3">
      <w:pPr>
        <w:suppressAutoHyphens/>
        <w:spacing w:before="240" w:after="120"/>
        <w:ind w:right="-72"/>
        <w:rPr>
          <w:color w:val="000000"/>
          <w:spacing w:val="-4"/>
        </w:rPr>
      </w:pPr>
      <w:r>
        <w:rPr>
          <w:color w:val="000000"/>
          <w:spacing w:val="-4"/>
        </w:rPr>
        <w:br w:type="textWrapping"/>
      </w:r>
      <w:r>
        <w:rPr>
          <w:color w:val="000000"/>
          <w:spacing w:val="-4"/>
        </w:rPr>
        <w:t xml:space="preserve"> </w:t>
      </w:r>
    </w:p>
    <w:p w14:paraId="4EC67E85">
      <w:pPr>
        <w:spacing w:before="240" w:after="120"/>
        <w:rPr>
          <w:bCs/>
          <w:iCs/>
        </w:rPr>
      </w:pPr>
      <w:r>
        <w:br w:type="page"/>
      </w:r>
    </w:p>
    <w:p w14:paraId="64590B2E">
      <w:pPr>
        <w:pStyle w:val="160"/>
      </w:pPr>
      <w:bookmarkStart w:id="778" w:name="_Toc111009247"/>
      <w:bookmarkStart w:id="779" w:name="_Toc78273069"/>
      <w:bookmarkStart w:id="780" w:name="_Toc178607081"/>
      <w:bookmarkStart w:id="781" w:name="_Toc428352208"/>
      <w:bookmarkStart w:id="782" w:name="_Toc438907199"/>
      <w:bookmarkStart w:id="783" w:name="_Toc438907299"/>
      <w:r>
        <w:t>Advance Payment Security</w:t>
      </w:r>
      <w:bookmarkEnd w:id="778"/>
      <w:bookmarkEnd w:id="779"/>
      <w:bookmarkEnd w:id="780"/>
    </w:p>
    <w:bookmarkEnd w:id="781"/>
    <w:bookmarkEnd w:id="782"/>
    <w:bookmarkEnd w:id="783"/>
    <w:p w14:paraId="470EC63E">
      <w:pPr>
        <w:pStyle w:val="50"/>
        <w:tabs>
          <w:tab w:val="center" w:leader="dot" w:pos="4860"/>
          <w:tab w:val="right" w:leader="dot" w:pos="9360"/>
        </w:tabs>
        <w:spacing w:before="0" w:beforeAutospacing="0" w:after="0" w:afterAutospacing="0"/>
        <w:ind w:left="187" w:right="288"/>
        <w:jc w:val="center"/>
        <w:rPr>
          <w:rFonts w:ascii="Comic Sans MS" w:hAnsi="Comic Sans MS" w:cs="Arial"/>
          <w:b/>
          <w:bCs/>
          <w:i/>
          <w:sz w:val="16"/>
        </w:rPr>
      </w:pPr>
    </w:p>
    <w:p w14:paraId="1CD80CE5">
      <w:pPr>
        <w:pStyle w:val="50"/>
        <w:rPr>
          <w:rFonts w:ascii="Times New Roman" w:hAnsi="Times New Roman"/>
          <w:i/>
          <w:sz w:val="24"/>
        </w:rPr>
      </w:pPr>
      <w:r>
        <w:rPr>
          <w:rFonts w:ascii="Times New Roman" w:hAnsi="Times New Roman"/>
          <w:i/>
          <w:sz w:val="24"/>
        </w:rPr>
        <w:t xml:space="preserve">[Guarantor letterhead or SWIFT identifier code] </w:t>
      </w:r>
    </w:p>
    <w:p w14:paraId="277374E6">
      <w:pPr>
        <w:pStyle w:val="50"/>
        <w:rPr>
          <w:rFonts w:ascii="Times New Roman" w:hAnsi="Times New Roman"/>
          <w:i/>
          <w:sz w:val="24"/>
        </w:rPr>
      </w:pPr>
      <w:r>
        <w:rPr>
          <w:rFonts w:ascii="Times New Roman" w:hAnsi="Times New Roman"/>
          <w:b/>
          <w:sz w:val="24"/>
        </w:rPr>
        <w:t>Beneficiary:</w:t>
      </w:r>
      <w:r>
        <w:rPr>
          <w:rFonts w:ascii="Times New Roman" w:hAnsi="Times New Roman"/>
          <w:sz w:val="24"/>
        </w:rPr>
        <w:t xml:space="preserve"> </w:t>
      </w:r>
      <w:r>
        <w:rPr>
          <w:rFonts w:ascii="Times New Roman" w:hAnsi="Times New Roman"/>
          <w:i/>
          <w:sz w:val="24"/>
        </w:rPr>
        <w:t xml:space="preserve">[Insert name and Address of </w:t>
      </w:r>
      <w:r>
        <w:rPr>
          <w:rFonts w:ascii="Times New Roman" w:hAnsi="Times New Roman"/>
          <w:sz w:val="24"/>
        </w:rPr>
        <w:t>Employer</w:t>
      </w:r>
      <w:r>
        <w:rPr>
          <w:rFonts w:ascii="Times New Roman" w:hAnsi="Times New Roman"/>
          <w:i/>
          <w:sz w:val="24"/>
        </w:rPr>
        <w:t>]</w:t>
      </w:r>
      <w:r>
        <w:rPr>
          <w:rFonts w:ascii="Times New Roman" w:hAnsi="Times New Roman"/>
          <w:i/>
          <w:sz w:val="24"/>
        </w:rPr>
        <w:tab/>
      </w:r>
      <w:r>
        <w:rPr>
          <w:rFonts w:ascii="Times New Roman" w:hAnsi="Times New Roman"/>
          <w:i/>
          <w:sz w:val="24"/>
        </w:rPr>
        <w:tab/>
      </w:r>
    </w:p>
    <w:p w14:paraId="13586EE1">
      <w:pPr>
        <w:pStyle w:val="50"/>
        <w:rPr>
          <w:rFonts w:ascii="Times New Roman" w:hAnsi="Times New Roman"/>
          <w:sz w:val="24"/>
        </w:rPr>
      </w:pPr>
      <w:r>
        <w:rPr>
          <w:rFonts w:ascii="Times New Roman" w:hAnsi="Times New Roman"/>
          <w:b/>
          <w:sz w:val="24"/>
        </w:rPr>
        <w:t>Date:</w:t>
      </w:r>
      <w:r>
        <w:rPr>
          <w:rFonts w:ascii="Times New Roman" w:hAnsi="Times New Roman"/>
          <w:sz w:val="24"/>
        </w:rPr>
        <w:tab/>
      </w:r>
      <w:r>
        <w:rPr>
          <w:rFonts w:ascii="Times New Roman" w:hAnsi="Times New Roman"/>
          <w:i/>
          <w:sz w:val="24"/>
        </w:rPr>
        <w:t>[Insert date of issue]</w:t>
      </w:r>
    </w:p>
    <w:p w14:paraId="42A2609D">
      <w:pPr>
        <w:pStyle w:val="50"/>
        <w:rPr>
          <w:rFonts w:ascii="Times New Roman" w:hAnsi="Times New Roman"/>
          <w:sz w:val="24"/>
        </w:rPr>
      </w:pPr>
      <w:r>
        <w:rPr>
          <w:rFonts w:ascii="Times New Roman" w:hAnsi="Times New Roman"/>
          <w:b/>
          <w:sz w:val="24"/>
        </w:rPr>
        <w:t>ADVANCE PAYMENT GUARANTEE No.:</w:t>
      </w:r>
      <w:r>
        <w:rPr>
          <w:rFonts w:ascii="Times New Roman" w:hAnsi="Times New Roman"/>
          <w:sz w:val="24"/>
        </w:rPr>
        <w:tab/>
      </w:r>
      <w:r>
        <w:rPr>
          <w:rFonts w:ascii="Times New Roman" w:hAnsi="Times New Roman"/>
          <w:i/>
          <w:sz w:val="24"/>
        </w:rPr>
        <w:t>[Insert guarantee reference number]</w:t>
      </w:r>
    </w:p>
    <w:p w14:paraId="6A614DAF">
      <w:pPr>
        <w:pStyle w:val="50"/>
        <w:rPr>
          <w:rFonts w:ascii="Times New Roman" w:hAnsi="Times New Roman"/>
          <w:sz w:val="24"/>
        </w:rPr>
      </w:pPr>
      <w:r>
        <w:rPr>
          <w:rFonts w:ascii="Times New Roman" w:hAnsi="Times New Roman"/>
          <w:b/>
          <w:sz w:val="24"/>
        </w:rPr>
        <w:t xml:space="preserve">Guarantor: </w:t>
      </w:r>
      <w:r>
        <w:rPr>
          <w:rFonts w:ascii="Times New Roman" w:hAnsi="Times New Roman"/>
          <w:i/>
          <w:sz w:val="24"/>
        </w:rPr>
        <w:t xml:space="preserve"> [Insert name and address of place of issue, unless indicated in the letterhead]</w:t>
      </w:r>
    </w:p>
    <w:p w14:paraId="31EE2CEF">
      <w:pPr>
        <w:pStyle w:val="50"/>
        <w:jc w:val="both"/>
        <w:rPr>
          <w:rFonts w:ascii="Times New Roman" w:hAnsi="Times New Roman"/>
          <w:sz w:val="24"/>
        </w:rPr>
      </w:pPr>
    </w:p>
    <w:p w14:paraId="193E980E">
      <w:pPr>
        <w:pStyle w:val="50"/>
        <w:jc w:val="both"/>
        <w:rPr>
          <w:rFonts w:ascii="Times New Roman" w:hAnsi="Times New Roman"/>
          <w:sz w:val="24"/>
        </w:rPr>
      </w:pPr>
      <w:r>
        <w:rPr>
          <w:rFonts w:ascii="Times New Roman" w:hAnsi="Times New Roman"/>
          <w:sz w:val="24"/>
        </w:rPr>
        <w:t xml:space="preserve">We have been informed that </w:t>
      </w:r>
      <w:r>
        <w:rPr>
          <w:rFonts w:ascii="Times New Roman" w:hAnsi="Times New Roman"/>
          <w:i/>
          <w:sz w:val="24"/>
        </w:rPr>
        <w:t>[insert name of Contractor, which in the case of a joint venture shall be the name of the joint venture]</w:t>
      </w:r>
      <w:r>
        <w:rPr>
          <w:rFonts w:ascii="Times New Roman" w:hAnsi="Times New Roman"/>
          <w:sz w:val="24"/>
        </w:rPr>
        <w:t xml:space="preserve"> (hereinafter called “the Applicant”) has entered into Contract No. </w:t>
      </w:r>
      <w:r>
        <w:rPr>
          <w:b/>
          <w:bCs/>
          <w:color w:val="auto"/>
          <w:highlight w:val="none"/>
        </w:rPr>
        <w:t>KE-WAJWASCO</w:t>
      </w:r>
      <w:r>
        <w:rPr>
          <w:rFonts w:hint="default"/>
          <w:b/>
          <w:bCs/>
          <w:color w:val="auto"/>
          <w:highlight w:val="none"/>
          <w:lang w:val="en-US"/>
        </w:rPr>
        <w:t>-456993</w:t>
      </w:r>
      <w:r>
        <w:rPr>
          <w:b/>
          <w:bCs/>
          <w:color w:val="auto"/>
          <w:highlight w:val="none"/>
        </w:rPr>
        <w:t>-</w:t>
      </w:r>
      <w:r>
        <w:rPr>
          <w:rFonts w:hint="default"/>
          <w:b/>
          <w:bCs/>
          <w:color w:val="auto"/>
          <w:highlight w:val="none"/>
          <w:lang w:val="en-US"/>
        </w:rPr>
        <w:t>CW</w:t>
      </w:r>
      <w:r>
        <w:rPr>
          <w:b/>
          <w:bCs/>
          <w:color w:val="auto"/>
          <w:highlight w:val="none"/>
        </w:rPr>
        <w:t>-RFB</w:t>
      </w:r>
      <w:r>
        <w:rPr>
          <w:rFonts w:ascii="Times New Roman" w:hAnsi="Times New Roman"/>
          <w:b/>
          <w:bCs/>
          <w:iCs/>
          <w:sz w:val="24"/>
        </w:rPr>
        <w:t xml:space="preserve"> </w:t>
      </w:r>
      <w:r>
        <w:rPr>
          <w:rFonts w:ascii="Times New Roman" w:hAnsi="Times New Roman"/>
          <w:i/>
          <w:sz w:val="24"/>
        </w:rPr>
        <w:t xml:space="preserve">[insert reference number of the contract] </w:t>
      </w:r>
      <w:r>
        <w:rPr>
          <w:rFonts w:ascii="Times New Roman" w:hAnsi="Times New Roman"/>
          <w:sz w:val="24"/>
        </w:rPr>
        <w:t xml:space="preserve">dated </w:t>
      </w:r>
      <w:r>
        <w:rPr>
          <w:rFonts w:ascii="Times New Roman" w:hAnsi="Times New Roman"/>
          <w:i/>
          <w:sz w:val="24"/>
        </w:rPr>
        <w:t>[insert date]</w:t>
      </w:r>
      <w:r>
        <w:rPr>
          <w:rFonts w:ascii="Times New Roman" w:hAnsi="Times New Roman"/>
          <w:sz w:val="24"/>
        </w:rPr>
        <w:t xml:space="preserve"> with the Beneficiary, for the execution of </w:t>
      </w:r>
      <w:r>
        <w:rPr>
          <w:rFonts w:ascii="Times New Roman" w:hAnsi="Times New Roman"/>
          <w:b/>
          <w:bCs/>
          <w:iCs/>
          <w:sz w:val="24"/>
          <w:highlight w:val="none"/>
        </w:rPr>
        <w:t xml:space="preserve">Construction of 1no. Faecal Sludge Treatment Plant in Wajir Town </w:t>
      </w:r>
      <w:r>
        <w:rPr>
          <w:rFonts w:ascii="Times New Roman" w:hAnsi="Times New Roman"/>
          <w:i/>
          <w:sz w:val="24"/>
        </w:rPr>
        <w:t xml:space="preserve">[insert name of contract and brief description of </w:t>
      </w:r>
      <w:r>
        <w:rPr>
          <w:rFonts w:ascii="Times New Roman" w:hAnsi="Times New Roman"/>
          <w:sz w:val="24"/>
        </w:rPr>
        <w:t>Works</w:t>
      </w:r>
      <w:r>
        <w:rPr>
          <w:rFonts w:ascii="Times New Roman" w:hAnsi="Times New Roman"/>
          <w:i/>
          <w:sz w:val="24"/>
        </w:rPr>
        <w:t>]</w:t>
      </w:r>
      <w:r>
        <w:rPr>
          <w:rFonts w:ascii="Times New Roman" w:hAnsi="Times New Roman"/>
          <w:sz w:val="24"/>
        </w:rPr>
        <w:t xml:space="preserve"> (hereinafter called "the Contract"). </w:t>
      </w:r>
    </w:p>
    <w:p w14:paraId="115C12A7">
      <w:pPr>
        <w:pStyle w:val="50"/>
        <w:jc w:val="both"/>
        <w:rPr>
          <w:rFonts w:ascii="Times New Roman" w:hAnsi="Times New Roman"/>
          <w:sz w:val="24"/>
        </w:rPr>
      </w:pPr>
      <w:r>
        <w:rPr>
          <w:rFonts w:ascii="Times New Roman" w:hAnsi="Times New Roman"/>
          <w:sz w:val="24"/>
        </w:rPr>
        <w:t xml:space="preserve">Furthermore, we understand that, according to the conditions of the Contract, an advance payment in the sum </w:t>
      </w:r>
      <w:r>
        <w:rPr>
          <w:rFonts w:ascii="Times New Roman" w:hAnsi="Times New Roman"/>
          <w:i/>
          <w:sz w:val="24"/>
        </w:rPr>
        <w:t xml:space="preserve">[insert amount in figures] </w:t>
      </w:r>
      <w:r>
        <w:rPr>
          <w:rFonts w:ascii="Times New Roman" w:hAnsi="Times New Roman"/>
          <w:sz w:val="24"/>
        </w:rPr>
        <w:t>()</w:t>
      </w:r>
      <w:r>
        <w:rPr>
          <w:rFonts w:ascii="Times New Roman" w:hAnsi="Times New Roman"/>
          <w:i/>
          <w:sz w:val="24"/>
        </w:rPr>
        <w:t xml:space="preserve"> [insert amount in words]</w:t>
      </w:r>
      <w:r>
        <w:rPr>
          <w:rFonts w:ascii="Times New Roman" w:hAnsi="Times New Roman"/>
          <w:sz w:val="24"/>
        </w:rPr>
        <w:t xml:space="preserve"> is to be made against an advance payment guarantee.</w:t>
      </w:r>
    </w:p>
    <w:p w14:paraId="144441AD">
      <w:pPr>
        <w:pStyle w:val="50"/>
        <w:jc w:val="both"/>
        <w:rPr>
          <w:rFonts w:ascii="Times New Roman" w:hAnsi="Times New Roman"/>
          <w:sz w:val="24"/>
        </w:rPr>
      </w:pPr>
      <w:r>
        <w:rPr>
          <w:rFonts w:ascii="Times New Roman" w:hAnsi="Times New Roman"/>
          <w:sz w:val="24"/>
        </w:rPr>
        <w:t xml:space="preserve">At the request of the Applicant, we as Guarantor, hereby irrevocably undertake to pay the Beneficiary any sum or sums not exceeding in total an amount of </w:t>
      </w:r>
      <w:r>
        <w:rPr>
          <w:rFonts w:ascii="Times New Roman" w:hAnsi="Times New Roman"/>
          <w:i/>
          <w:sz w:val="24"/>
        </w:rPr>
        <w:t xml:space="preserve">[insert amount in figures] </w:t>
      </w:r>
      <w:r>
        <w:rPr>
          <w:rFonts w:ascii="Times New Roman" w:hAnsi="Times New Roman"/>
          <w:sz w:val="24"/>
        </w:rPr>
        <w:t>(</w:t>
      </w:r>
      <w:r>
        <w:rPr>
          <w:rFonts w:ascii="Times New Roman" w:hAnsi="Times New Roman"/>
          <w:sz w:val="24"/>
          <w:u w:val="single"/>
        </w:rPr>
        <w:t xml:space="preserve">                    </w:t>
      </w:r>
      <w:r>
        <w:rPr>
          <w:rFonts w:ascii="Times New Roman" w:hAnsi="Times New Roman"/>
          <w:sz w:val="24"/>
        </w:rPr>
        <w:t>)</w:t>
      </w:r>
      <w:r>
        <w:rPr>
          <w:rFonts w:ascii="Times New Roman" w:hAnsi="Times New Roman"/>
          <w:i/>
          <w:sz w:val="24"/>
        </w:rPr>
        <w:t xml:space="preserve"> [insert amount in words]</w:t>
      </w:r>
      <w:r>
        <w:rPr>
          <w:rStyle w:val="28"/>
          <w:rFonts w:ascii="Times New Roman" w:hAnsi="Times New Roman"/>
          <w:i/>
          <w:sz w:val="24"/>
        </w:rPr>
        <w:footnoteReference w:id="46" w:customMarkFollows="1"/>
        <w:t>1</w:t>
      </w:r>
      <w:r>
        <w:rPr>
          <w:rFonts w:ascii="Times New Roman" w:hAnsi="Times New Roman"/>
          <w:sz w:val="24"/>
        </w:rPr>
        <w:t xml:space="preserve"> upon receipt by us of the Beneficiary’s complying demand supported by the Beneficiary’s statement, whether in the demand itself or in a separate signed document accompanying or identifying the demand, stating either that the Applicant:</w:t>
      </w:r>
    </w:p>
    <w:p w14:paraId="19983562">
      <w:pPr>
        <w:pStyle w:val="70"/>
        <w:numPr>
          <w:ilvl w:val="2"/>
          <w:numId w:val="98"/>
        </w:numPr>
        <w:tabs>
          <w:tab w:val="left" w:pos="972"/>
        </w:tabs>
        <w:rPr>
          <w:szCs w:val="24"/>
        </w:rPr>
      </w:pPr>
      <w:r>
        <w:rPr>
          <w:szCs w:val="24"/>
        </w:rPr>
        <w:t>has used the advance payment for purposes other than the costs of mobilization in respect of the Works; or</w:t>
      </w:r>
    </w:p>
    <w:p w14:paraId="7F44B887">
      <w:pPr>
        <w:pStyle w:val="70"/>
        <w:numPr>
          <w:ilvl w:val="2"/>
          <w:numId w:val="12"/>
        </w:numPr>
        <w:tabs>
          <w:tab w:val="left" w:pos="828"/>
          <w:tab w:val="left" w:pos="972"/>
          <w:tab w:val="clear" w:pos="864"/>
        </w:tabs>
        <w:ind w:left="396" w:firstLine="144"/>
        <w:rPr>
          <w:szCs w:val="24"/>
        </w:rPr>
      </w:pPr>
      <w:r>
        <w:rPr>
          <w:szCs w:val="24"/>
        </w:rPr>
        <w:t xml:space="preserve"> has failed to repay the advance payment in accordance with the Contract conditions, specifying the amount which the Applicant has failed to repay. </w:t>
      </w:r>
    </w:p>
    <w:p w14:paraId="0A6821A3">
      <w:pPr>
        <w:pStyle w:val="50"/>
        <w:jc w:val="both"/>
        <w:rPr>
          <w:rFonts w:ascii="Times New Roman" w:hAnsi="Times New Roman"/>
          <w:sz w:val="24"/>
        </w:rPr>
      </w:pPr>
    </w:p>
    <w:p w14:paraId="57DF10CD">
      <w:pPr>
        <w:pStyle w:val="50"/>
        <w:jc w:val="both"/>
        <w:rPr>
          <w:rFonts w:ascii="Times New Roman" w:hAnsi="Times New Roman"/>
          <w:sz w:val="24"/>
        </w:rPr>
      </w:pPr>
      <w:r>
        <w:rPr>
          <w:rFonts w:ascii="Times New Roman" w:hAnsi="Times New Roman"/>
          <w:sz w:val="24"/>
        </w:rPr>
        <w:t xml:space="preserve">A demand under this guarantee may be presented as from the presentation to the Guarantor of a certificate from the Beneficiary’s bank stating that the advance payment referred to above has been credited to the Applicant on its account number </w:t>
      </w:r>
      <w:r>
        <w:rPr>
          <w:rFonts w:ascii="Times New Roman" w:hAnsi="Times New Roman"/>
          <w:i/>
          <w:sz w:val="24"/>
        </w:rPr>
        <w:t>[insert number]</w:t>
      </w:r>
      <w:r>
        <w:rPr>
          <w:rFonts w:ascii="Times New Roman" w:hAnsi="Times New Roman"/>
          <w:sz w:val="24"/>
        </w:rPr>
        <w:t xml:space="preserve"> at  </w:t>
      </w:r>
      <w:r>
        <w:rPr>
          <w:rFonts w:ascii="Times New Roman" w:hAnsi="Times New Roman"/>
          <w:i/>
          <w:sz w:val="24"/>
        </w:rPr>
        <w:t>[insert name and address of Applicant’s bank]</w:t>
      </w:r>
      <w:r>
        <w:rPr>
          <w:rFonts w:ascii="Times New Roman" w:hAnsi="Times New Roman"/>
          <w:sz w:val="24"/>
        </w:rPr>
        <w:t>..</w:t>
      </w:r>
    </w:p>
    <w:p w14:paraId="23947738">
      <w:pPr>
        <w:pStyle w:val="50"/>
        <w:jc w:val="both"/>
        <w:rPr>
          <w:rFonts w:ascii="Times New Roman" w:hAnsi="Times New Roman"/>
          <w:sz w:val="24"/>
        </w:rPr>
      </w:pPr>
      <w:r>
        <w:rPr>
          <w:rFonts w:ascii="Times New Roman" w:hAnsi="Times New Roman"/>
          <w:sz w:val="24"/>
        </w:rPr>
        <w:t xml:space="preserve">The maximum amount of this guarantee shall be progressively reduced by the amount of the advance payment repaid by the Applicant as specified in copies of interim statements or payment certificates which shall be presented to us.  This guarantee shall expire, at the latest, upon our receipt of a copy of the interim payment certificate indicating that ninety (90) percent of the Accepted Contract Amount, less provisional sums, has been certified for payment, or on the </w:t>
      </w:r>
      <w:r>
        <w:rPr>
          <w:rFonts w:ascii="Times New Roman" w:hAnsi="Times New Roman"/>
          <w:i/>
          <w:sz w:val="24"/>
        </w:rPr>
        <w:t>[insert day]</w:t>
      </w:r>
      <w:r>
        <w:rPr>
          <w:rFonts w:ascii="Times New Roman" w:hAnsi="Times New Roman"/>
          <w:sz w:val="24"/>
        </w:rPr>
        <w:t xml:space="preserve"> day of </w:t>
      </w:r>
      <w:r>
        <w:rPr>
          <w:rFonts w:ascii="Times New Roman" w:hAnsi="Times New Roman"/>
          <w:i/>
          <w:sz w:val="24"/>
        </w:rPr>
        <w:t>[insert month]</w:t>
      </w:r>
      <w:r>
        <w:rPr>
          <w:rFonts w:ascii="Times New Roman" w:hAnsi="Times New Roman"/>
          <w:sz w:val="24"/>
        </w:rPr>
        <w:t xml:space="preserve">, 2 </w:t>
      </w:r>
      <w:r>
        <w:rPr>
          <w:rFonts w:ascii="Times New Roman" w:hAnsi="Times New Roman"/>
          <w:i/>
          <w:sz w:val="24"/>
        </w:rPr>
        <w:t>[insert year]</w:t>
      </w:r>
      <w:r>
        <w:rPr>
          <w:rFonts w:ascii="Times New Roman" w:hAnsi="Times New Roman"/>
          <w:sz w:val="24"/>
        </w:rPr>
        <w:t>,</w:t>
      </w:r>
      <w:r>
        <w:rPr>
          <w:rStyle w:val="28"/>
          <w:rFonts w:ascii="Times New Roman" w:hAnsi="Times New Roman"/>
          <w:sz w:val="24"/>
        </w:rPr>
        <w:footnoteReference w:id="47" w:customMarkFollows="1"/>
        <w:t>2</w:t>
      </w:r>
      <w:r>
        <w:rPr>
          <w:rFonts w:ascii="Times New Roman" w:hAnsi="Times New Roman"/>
          <w:sz w:val="24"/>
        </w:rPr>
        <w:t xml:space="preserve"> whichever is earlier.</w:t>
      </w:r>
      <w:r>
        <w:rPr>
          <w:sz w:val="24"/>
        </w:rPr>
        <w:t xml:space="preserve">  </w:t>
      </w:r>
      <w:r>
        <w:rPr>
          <w:rFonts w:ascii="Times New Roman" w:hAnsi="Times New Roman"/>
          <w:sz w:val="24"/>
        </w:rPr>
        <w:t>Consequently, any demand for payment under this</w:t>
      </w:r>
      <w:r>
        <w:rPr>
          <w:sz w:val="24"/>
        </w:rPr>
        <w:t xml:space="preserve"> </w:t>
      </w:r>
      <w:r>
        <w:rPr>
          <w:rFonts w:ascii="Times New Roman" w:hAnsi="Times New Roman"/>
          <w:sz w:val="24"/>
        </w:rPr>
        <w:t>guarantee must be received by us at this office on or before that date.</w:t>
      </w:r>
    </w:p>
    <w:p w14:paraId="11AE64A8">
      <w:pPr>
        <w:pStyle w:val="50"/>
        <w:spacing w:before="0" w:after="0"/>
        <w:jc w:val="both"/>
        <w:rPr>
          <w:rFonts w:ascii="Times New Roman" w:hAnsi="Times New Roman"/>
          <w:sz w:val="24"/>
        </w:rPr>
      </w:pPr>
      <w:r>
        <w:rPr>
          <w:rFonts w:ascii="Times New Roman" w:hAnsi="Times New Roman"/>
          <w:sz w:val="24"/>
        </w:rPr>
        <w:t>This guarantee is subject to the Uniform Rules for Demand Guarantees (URDG) 2010 Revision, ICC Publication No. 758, except that the supporting statement under Article 15(a) is hereby excluded.</w:t>
      </w:r>
    </w:p>
    <w:p w14:paraId="6A58352E">
      <w:pPr>
        <w:jc w:val="center"/>
      </w:pPr>
      <w:r>
        <w:t xml:space="preserve">____________________ </w:t>
      </w:r>
      <w:r>
        <w:br w:type="textWrapping"/>
      </w:r>
      <w:r>
        <w:rPr>
          <w:i/>
        </w:rPr>
        <w:t>[signature(s)]</w:t>
      </w:r>
    </w:p>
    <w:p w14:paraId="54FD0FBC">
      <w:pPr>
        <w:pStyle w:val="50"/>
        <w:tabs>
          <w:tab w:val="center" w:leader="dot" w:pos="4860"/>
          <w:tab w:val="right" w:leader="dot" w:pos="9000"/>
        </w:tabs>
        <w:spacing w:before="0" w:beforeAutospacing="0" w:after="0" w:afterAutospacing="0"/>
        <w:jc w:val="both"/>
        <w:rPr>
          <w:b/>
          <w:i/>
        </w:rPr>
      </w:pPr>
      <w:r>
        <w:br w:type="textWrapping"/>
      </w:r>
    </w:p>
    <w:p w14:paraId="0B5179F7">
      <w:pPr>
        <w:ind w:right="468"/>
        <w:jc w:val="both"/>
        <w:rPr>
          <w:b/>
          <w:bCs/>
          <w:i/>
          <w:iCs/>
          <w:sz w:val="20"/>
          <w:szCs w:val="20"/>
          <w14:shadow w14:blurRad="50800" w14:dist="38100" w14:dir="2700000" w14:sx="100000" w14:sy="100000" w14:kx="0" w14:ky="0" w14:algn="tl">
            <w14:srgbClr w14:val="000000">
              <w14:alpha w14:val="60000"/>
            </w14:srgbClr>
          </w14:shadow>
        </w:rPr>
      </w:pPr>
    </w:p>
    <w:p w14:paraId="4FC0A3F7">
      <w:pPr>
        <w:ind w:right="468"/>
        <w:jc w:val="both"/>
        <w:rPr>
          <w:b/>
          <w:bCs/>
          <w:i/>
          <w:iCs/>
          <w:sz w:val="20"/>
          <w:szCs w:val="20"/>
          <w14:shadow w14:blurRad="50800" w14:dist="38100" w14:dir="2700000" w14:sx="100000" w14:sy="100000" w14:kx="0" w14:ky="0" w14:algn="tl">
            <w14:srgbClr w14:val="000000">
              <w14:alpha w14:val="60000"/>
            </w14:srgbClr>
          </w14:shadow>
        </w:rPr>
      </w:pPr>
    </w:p>
    <w:p w14:paraId="7556F155">
      <w:pPr>
        <w:pStyle w:val="189"/>
        <w:keepNext w:val="0"/>
        <w:keepLines w:val="0"/>
        <w:tabs>
          <w:tab w:val="clear" w:pos="-720"/>
        </w:tabs>
        <w:suppressAutoHyphens w:val="0"/>
        <w:jc w:val="left"/>
      </w:pPr>
    </w:p>
    <w:p w14:paraId="50FDFE02">
      <w:pPr>
        <w:pStyle w:val="189"/>
        <w:keepNext w:val="0"/>
        <w:keepLines w:val="0"/>
        <w:tabs>
          <w:tab w:val="clear" w:pos="-720"/>
        </w:tabs>
        <w:suppressAutoHyphens w:val="0"/>
        <w:jc w:val="left"/>
      </w:pPr>
    </w:p>
    <w:p w14:paraId="64C2CFBB">
      <w:pPr>
        <w:pStyle w:val="189"/>
        <w:keepNext w:val="0"/>
        <w:keepLines w:val="0"/>
        <w:tabs>
          <w:tab w:val="clear" w:pos="-720"/>
        </w:tabs>
        <w:suppressAutoHyphens w:val="0"/>
        <w:jc w:val="left"/>
      </w:pPr>
    </w:p>
    <w:p w14:paraId="637EF6B0">
      <w:pPr>
        <w:pStyle w:val="189"/>
        <w:keepNext w:val="0"/>
        <w:keepLines w:val="0"/>
        <w:tabs>
          <w:tab w:val="clear" w:pos="-720"/>
        </w:tabs>
        <w:suppressAutoHyphens w:val="0"/>
        <w:jc w:val="left"/>
      </w:pPr>
    </w:p>
    <w:p w14:paraId="1B6DEF4F">
      <w:pPr>
        <w:pStyle w:val="189"/>
        <w:keepNext w:val="0"/>
        <w:keepLines w:val="0"/>
        <w:tabs>
          <w:tab w:val="clear" w:pos="-720"/>
        </w:tabs>
        <w:suppressAutoHyphens w:val="0"/>
        <w:jc w:val="left"/>
      </w:pPr>
    </w:p>
    <w:p w14:paraId="6713841A">
      <w:pPr>
        <w:pStyle w:val="189"/>
        <w:keepNext w:val="0"/>
        <w:keepLines w:val="0"/>
        <w:tabs>
          <w:tab w:val="clear" w:pos="-720"/>
        </w:tabs>
        <w:suppressAutoHyphens w:val="0"/>
        <w:jc w:val="left"/>
      </w:pPr>
    </w:p>
    <w:p w14:paraId="406D8255">
      <w:pPr>
        <w:pStyle w:val="189"/>
        <w:keepNext w:val="0"/>
        <w:keepLines w:val="0"/>
        <w:tabs>
          <w:tab w:val="clear" w:pos="-720"/>
        </w:tabs>
        <w:suppressAutoHyphens w:val="0"/>
        <w:jc w:val="left"/>
      </w:pPr>
    </w:p>
    <w:p w14:paraId="40B72C3C">
      <w:pPr>
        <w:pStyle w:val="189"/>
        <w:keepNext w:val="0"/>
        <w:keepLines w:val="0"/>
        <w:tabs>
          <w:tab w:val="clear" w:pos="-720"/>
        </w:tabs>
        <w:suppressAutoHyphens w:val="0"/>
        <w:jc w:val="left"/>
      </w:pPr>
    </w:p>
    <w:p w14:paraId="5C729573">
      <w:pPr>
        <w:pStyle w:val="189"/>
        <w:keepNext w:val="0"/>
        <w:keepLines w:val="0"/>
        <w:tabs>
          <w:tab w:val="clear" w:pos="-720"/>
        </w:tabs>
        <w:suppressAutoHyphens w:val="0"/>
        <w:jc w:val="left"/>
      </w:pPr>
    </w:p>
    <w:p w14:paraId="39643108">
      <w:pPr>
        <w:pStyle w:val="189"/>
        <w:keepNext w:val="0"/>
        <w:keepLines w:val="0"/>
        <w:tabs>
          <w:tab w:val="clear" w:pos="-720"/>
        </w:tabs>
        <w:suppressAutoHyphens w:val="0"/>
        <w:jc w:val="left"/>
      </w:pPr>
    </w:p>
    <w:p w14:paraId="06A0903B">
      <w:pPr>
        <w:pStyle w:val="189"/>
        <w:keepNext w:val="0"/>
        <w:keepLines w:val="0"/>
        <w:tabs>
          <w:tab w:val="clear" w:pos="-720"/>
        </w:tabs>
        <w:suppressAutoHyphens w:val="0"/>
        <w:jc w:val="left"/>
      </w:pPr>
    </w:p>
    <w:p w14:paraId="30EF3DF3">
      <w:pPr>
        <w:spacing w:before="10"/>
        <w:ind w:left="14" w:right="14" w:firstLine="0"/>
        <w:jc w:val="center"/>
        <w:rPr>
          <w:b/>
          <w:sz w:val="19"/>
        </w:rPr>
      </w:pPr>
      <w:r>
        <w:rPr>
          <w:b/>
          <w:spacing w:val="-1"/>
          <w:sz w:val="24"/>
        </w:rPr>
        <w:t>A</w:t>
      </w:r>
      <w:r>
        <w:rPr>
          <w:b/>
          <w:spacing w:val="-1"/>
          <w:sz w:val="19"/>
        </w:rPr>
        <w:t xml:space="preserve">NNEX </w:t>
      </w:r>
      <w:r>
        <w:rPr>
          <w:b/>
          <w:spacing w:val="-1"/>
          <w:sz w:val="24"/>
        </w:rPr>
        <w:t>1</w:t>
      </w:r>
      <w:r>
        <w:rPr>
          <w:b/>
          <w:spacing w:val="-13"/>
          <w:sz w:val="24"/>
        </w:rPr>
        <w:t xml:space="preserve"> </w:t>
      </w:r>
      <w:r>
        <w:rPr>
          <w:b/>
          <w:spacing w:val="-1"/>
          <w:sz w:val="24"/>
        </w:rPr>
        <w:t>-</w:t>
      </w:r>
      <w:r>
        <w:rPr>
          <w:b/>
          <w:spacing w:val="-14"/>
          <w:sz w:val="24"/>
        </w:rPr>
        <w:t xml:space="preserve"> </w:t>
      </w:r>
      <w:r>
        <w:rPr>
          <w:b/>
          <w:spacing w:val="-1"/>
          <w:sz w:val="24"/>
        </w:rPr>
        <w:t>CV</w:t>
      </w:r>
      <w:r>
        <w:rPr>
          <w:b/>
          <w:spacing w:val="-14"/>
          <w:sz w:val="24"/>
        </w:rPr>
        <w:t xml:space="preserve"> </w:t>
      </w:r>
      <w:r>
        <w:rPr>
          <w:b/>
          <w:spacing w:val="-1"/>
          <w:sz w:val="19"/>
        </w:rPr>
        <w:t>OF THE</w:t>
      </w:r>
      <w:r>
        <w:rPr>
          <w:b/>
          <w:sz w:val="19"/>
        </w:rPr>
        <w:t xml:space="preserve"> </w:t>
      </w:r>
      <w:r>
        <w:rPr>
          <w:b/>
          <w:spacing w:val="-1"/>
          <w:sz w:val="24"/>
        </w:rPr>
        <w:t>N</w:t>
      </w:r>
      <w:r>
        <w:rPr>
          <w:b/>
          <w:spacing w:val="-1"/>
          <w:sz w:val="19"/>
        </w:rPr>
        <w:t xml:space="preserve">OMINATED </w:t>
      </w:r>
      <w:r>
        <w:rPr>
          <w:b/>
          <w:sz w:val="24"/>
        </w:rPr>
        <w:t>A</w:t>
      </w:r>
      <w:r>
        <w:rPr>
          <w:b/>
          <w:sz w:val="19"/>
        </w:rPr>
        <w:t>DJUDICATOR</w:t>
      </w:r>
      <w:r>
        <w:rPr>
          <w:b/>
          <w:spacing w:val="-1"/>
          <w:sz w:val="19"/>
        </w:rPr>
        <w:t xml:space="preserve"> </w:t>
      </w:r>
      <w:r>
        <w:rPr>
          <w:b/>
          <w:sz w:val="19"/>
        </w:rPr>
        <w:t>FROM THE</w:t>
      </w:r>
      <w:r>
        <w:rPr>
          <w:b/>
          <w:spacing w:val="1"/>
          <w:sz w:val="19"/>
        </w:rPr>
        <w:t xml:space="preserve"> </w:t>
      </w:r>
      <w:r>
        <w:rPr>
          <w:b/>
          <w:sz w:val="24"/>
        </w:rPr>
        <w:t>C</w:t>
      </w:r>
      <w:r>
        <w:rPr>
          <w:b/>
          <w:sz w:val="19"/>
        </w:rPr>
        <w:t>HARTERED</w:t>
      </w:r>
      <w:r>
        <w:rPr>
          <w:b/>
          <w:spacing w:val="-1"/>
          <w:sz w:val="19"/>
        </w:rPr>
        <w:t xml:space="preserve"> </w:t>
      </w:r>
      <w:r>
        <w:rPr>
          <w:b/>
          <w:sz w:val="24"/>
        </w:rPr>
        <w:t>I</w:t>
      </w:r>
      <w:r>
        <w:rPr>
          <w:b/>
          <w:sz w:val="19"/>
        </w:rPr>
        <w:t>NSTITUTE OF</w:t>
      </w:r>
    </w:p>
    <w:p w14:paraId="3413918A">
      <w:pPr>
        <w:spacing w:before="0"/>
        <w:ind w:left="13" w:right="14" w:firstLine="0"/>
        <w:jc w:val="center"/>
        <w:rPr>
          <w:b/>
          <w:sz w:val="19"/>
        </w:rPr>
      </w:pPr>
      <w:r>
        <w:rPr>
          <w:b/>
          <w:sz w:val="24"/>
        </w:rPr>
        <w:t>A</w:t>
      </w:r>
      <w:r>
        <w:rPr>
          <w:b/>
          <w:sz w:val="19"/>
        </w:rPr>
        <w:t>RBITRATORS</w:t>
      </w:r>
    </w:p>
    <w:p w14:paraId="690F267E">
      <w:pPr>
        <w:pStyle w:val="189"/>
        <w:keepNext w:val="0"/>
        <w:keepLines w:val="0"/>
        <w:tabs>
          <w:tab w:val="clear" w:pos="-720"/>
        </w:tabs>
        <w:suppressAutoHyphens w:val="0"/>
        <w:jc w:val="left"/>
      </w:pPr>
    </w:p>
    <w:p w14:paraId="2CA91656">
      <w:pPr>
        <w:pStyle w:val="189"/>
        <w:keepNext w:val="0"/>
        <w:keepLines w:val="0"/>
        <w:tabs>
          <w:tab w:val="clear" w:pos="-720"/>
        </w:tabs>
        <w:suppressAutoHyphens w:val="0"/>
        <w:jc w:val="left"/>
        <w:rPr>
          <w:sz w:val="20"/>
        </w:rPr>
      </w:pPr>
      <w:r>
        <w:rPr>
          <w:sz w:val="20"/>
        </w:rPr>
        <w:drawing>
          <wp:inline distT="0" distB="0" distL="0" distR="0">
            <wp:extent cx="5749925" cy="7395845"/>
            <wp:effectExtent l="0" t="0" r="3175" b="8255"/>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6.png"/>
                    <pic:cNvPicPr>
                      <a:picLocks noChangeAspect="1"/>
                    </pic:cNvPicPr>
                  </pic:nvPicPr>
                  <pic:blipFill>
                    <a:blip r:embed="rId48" cstate="print"/>
                    <a:stretch>
                      <a:fillRect/>
                    </a:stretch>
                  </pic:blipFill>
                  <pic:spPr>
                    <a:xfrm>
                      <a:off x="0" y="0"/>
                      <a:ext cx="5750539" cy="7396162"/>
                    </a:xfrm>
                    <a:prstGeom prst="rect">
                      <a:avLst/>
                    </a:prstGeom>
                  </pic:spPr>
                </pic:pic>
              </a:graphicData>
            </a:graphic>
          </wp:inline>
        </w:drawing>
      </w:r>
    </w:p>
    <w:p w14:paraId="305E181E">
      <w:pPr>
        <w:pStyle w:val="189"/>
        <w:keepNext w:val="0"/>
        <w:keepLines w:val="0"/>
        <w:tabs>
          <w:tab w:val="clear" w:pos="-720"/>
        </w:tabs>
        <w:suppressAutoHyphens w:val="0"/>
        <w:jc w:val="left"/>
        <w:rPr>
          <w:sz w:val="20"/>
        </w:rPr>
      </w:pPr>
    </w:p>
    <w:p w14:paraId="1CFA05D5">
      <w:pPr>
        <w:pStyle w:val="189"/>
        <w:keepNext w:val="0"/>
        <w:keepLines w:val="0"/>
        <w:tabs>
          <w:tab w:val="clear" w:pos="-720"/>
        </w:tabs>
        <w:suppressAutoHyphens w:val="0"/>
        <w:jc w:val="left"/>
        <w:rPr>
          <w:sz w:val="20"/>
        </w:rPr>
      </w:pPr>
      <w:r>
        <w:rPr>
          <w:sz w:val="20"/>
        </w:rPr>
        <w:drawing>
          <wp:inline distT="0" distB="0" distL="0" distR="0">
            <wp:extent cx="5749925" cy="7395845"/>
            <wp:effectExtent l="0" t="0" r="3175" b="8255"/>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7.png"/>
                    <pic:cNvPicPr>
                      <a:picLocks noChangeAspect="1"/>
                    </pic:cNvPicPr>
                  </pic:nvPicPr>
                  <pic:blipFill>
                    <a:blip r:embed="rId49" cstate="print"/>
                    <a:stretch>
                      <a:fillRect/>
                    </a:stretch>
                  </pic:blipFill>
                  <pic:spPr>
                    <a:xfrm>
                      <a:off x="0" y="0"/>
                      <a:ext cx="5750539" cy="7396162"/>
                    </a:xfrm>
                    <a:prstGeom prst="rect">
                      <a:avLst/>
                    </a:prstGeom>
                  </pic:spPr>
                </pic:pic>
              </a:graphicData>
            </a:graphic>
          </wp:inline>
        </w:drawing>
      </w:r>
    </w:p>
    <w:p w14:paraId="0A0BFA4B">
      <w:pPr>
        <w:pStyle w:val="189"/>
        <w:keepNext w:val="0"/>
        <w:keepLines w:val="0"/>
        <w:tabs>
          <w:tab w:val="clear" w:pos="-720"/>
        </w:tabs>
        <w:suppressAutoHyphens w:val="0"/>
        <w:jc w:val="left"/>
        <w:rPr>
          <w:sz w:val="20"/>
        </w:rPr>
      </w:pPr>
    </w:p>
    <w:p w14:paraId="0BA9DF25">
      <w:pPr>
        <w:pStyle w:val="189"/>
        <w:keepNext w:val="0"/>
        <w:keepLines w:val="0"/>
        <w:tabs>
          <w:tab w:val="clear" w:pos="-720"/>
        </w:tabs>
        <w:suppressAutoHyphens w:val="0"/>
        <w:jc w:val="left"/>
        <w:rPr>
          <w:sz w:val="20"/>
        </w:rPr>
      </w:pPr>
    </w:p>
    <w:p w14:paraId="1FBAAAC4">
      <w:pPr>
        <w:pStyle w:val="189"/>
        <w:keepNext w:val="0"/>
        <w:keepLines w:val="0"/>
        <w:tabs>
          <w:tab w:val="clear" w:pos="-720"/>
        </w:tabs>
        <w:suppressAutoHyphens w:val="0"/>
        <w:jc w:val="left"/>
        <w:rPr>
          <w:sz w:val="20"/>
        </w:rPr>
      </w:pPr>
    </w:p>
    <w:p w14:paraId="15A16A2B">
      <w:pPr>
        <w:pStyle w:val="189"/>
        <w:keepNext w:val="0"/>
        <w:keepLines w:val="0"/>
        <w:tabs>
          <w:tab w:val="clear" w:pos="-720"/>
        </w:tabs>
        <w:suppressAutoHyphens w:val="0"/>
        <w:jc w:val="left"/>
        <w:rPr>
          <w:sz w:val="20"/>
        </w:rPr>
      </w:pPr>
    </w:p>
    <w:p w14:paraId="4AD32D15">
      <w:pPr>
        <w:pStyle w:val="189"/>
        <w:keepNext w:val="0"/>
        <w:keepLines w:val="0"/>
        <w:tabs>
          <w:tab w:val="clear" w:pos="-720"/>
        </w:tabs>
        <w:suppressAutoHyphens w:val="0"/>
        <w:jc w:val="left"/>
        <w:rPr>
          <w:sz w:val="20"/>
        </w:rPr>
      </w:pPr>
    </w:p>
    <w:p w14:paraId="242352F5">
      <w:pPr>
        <w:pStyle w:val="189"/>
        <w:keepNext w:val="0"/>
        <w:keepLines w:val="0"/>
        <w:tabs>
          <w:tab w:val="clear" w:pos="-720"/>
        </w:tabs>
        <w:suppressAutoHyphens w:val="0"/>
        <w:jc w:val="left"/>
        <w:rPr>
          <w:sz w:val="20"/>
        </w:rPr>
      </w:pPr>
      <w:bookmarkStart w:id="785" w:name="_GoBack"/>
      <w:bookmarkEnd w:id="785"/>
      <w:r>
        <mc:AlternateContent>
          <mc:Choice Requires="wpg">
            <w:drawing>
              <wp:anchor distT="0" distB="0" distL="114300" distR="114300" simplePos="0" relativeHeight="251668480" behindDoc="1" locked="0" layoutInCell="1" allowOverlap="1">
                <wp:simplePos x="0" y="0"/>
                <wp:positionH relativeFrom="page">
                  <wp:posOffset>1739900</wp:posOffset>
                </wp:positionH>
                <wp:positionV relativeFrom="paragraph">
                  <wp:posOffset>1134745</wp:posOffset>
                </wp:positionV>
                <wp:extent cx="5105400" cy="6501765"/>
                <wp:effectExtent l="635" t="0" r="0" b="635"/>
                <wp:wrapTopAndBottom/>
                <wp:docPr id="6" name="Group 6"/>
                <wp:cNvGraphicFramePr/>
                <a:graphic xmlns:a="http://schemas.openxmlformats.org/drawingml/2006/main">
                  <a:graphicData uri="http://schemas.microsoft.com/office/word/2010/wordprocessingGroup">
                    <wpg:wgp>
                      <wpg:cNvGrpSpPr/>
                      <wpg:grpSpPr>
                        <a:xfrm>
                          <a:off x="0" y="0"/>
                          <a:ext cx="5105400" cy="6501765"/>
                          <a:chOff x="2741" y="257"/>
                          <a:chExt cx="8040" cy="10239"/>
                        </a:xfrm>
                      </wpg:grpSpPr>
                      <pic:pic xmlns:pic="http://schemas.openxmlformats.org/drawingml/2006/picture">
                        <pic:nvPicPr>
                          <pic:cNvPr id="3" name="Picture 3"/>
                          <pic:cNvPicPr>
                            <a:picLocks noChangeAspect="1"/>
                          </pic:cNvPicPr>
                        </pic:nvPicPr>
                        <pic:blipFill>
                          <a:blip r:embed="rId50"/>
                          <a:stretch>
                            <a:fillRect/>
                          </a:stretch>
                        </pic:blipFill>
                        <pic:spPr>
                          <a:xfrm>
                            <a:off x="2740" y="257"/>
                            <a:ext cx="6521" cy="10239"/>
                          </a:xfrm>
                          <a:prstGeom prst="rect">
                            <a:avLst/>
                          </a:prstGeom>
                          <a:noFill/>
                          <a:ln>
                            <a:noFill/>
                          </a:ln>
                        </pic:spPr>
                      </pic:pic>
                      <wps:wsp>
                        <wps:cNvPr id="4" name="Rectangles 4"/>
                        <wps:cNvSpPr/>
                        <wps:spPr>
                          <a:xfrm>
                            <a:off x="7000" y="9809"/>
                            <a:ext cx="3780" cy="430"/>
                          </a:xfrm>
                          <a:prstGeom prst="rect">
                            <a:avLst/>
                          </a:prstGeom>
                          <a:solidFill>
                            <a:srgbClr val="FFFFFF"/>
                          </a:solidFill>
                          <a:ln>
                            <a:noFill/>
                          </a:ln>
                        </wps:spPr>
                        <wps:bodyPr upright="1"/>
                      </wps:wsp>
                      <wps:wsp>
                        <wps:cNvPr id="5" name="Text Box 5"/>
                        <wps:cNvSpPr txBox="1"/>
                        <wps:spPr>
                          <a:xfrm>
                            <a:off x="7543" y="9947"/>
                            <a:ext cx="900" cy="179"/>
                          </a:xfrm>
                          <a:prstGeom prst="rect">
                            <a:avLst/>
                          </a:prstGeom>
                          <a:noFill/>
                          <a:ln>
                            <a:noFill/>
                          </a:ln>
                        </wps:spPr>
                        <wps:txbx>
                          <w:txbxContent>
                            <w:p w14:paraId="7F9947F0">
                              <w:pPr>
                                <w:spacing w:before="0" w:line="178" w:lineRule="exact"/>
                                <w:ind w:left="0" w:right="0" w:firstLine="0"/>
                                <w:jc w:val="left"/>
                                <w:rPr>
                                  <w:b/>
                                  <w:sz w:val="16"/>
                                </w:rPr>
                              </w:pPr>
                              <w:r>
                                <w:rPr>
                                  <w:b/>
                                  <w:color w:val="756E6E"/>
                                  <w:spacing w:val="-2"/>
                                  <w:sz w:val="16"/>
                                </w:rPr>
                                <w:t>22</w:t>
                              </w:r>
                              <w:r>
                                <w:rPr>
                                  <w:b/>
                                  <w:color w:val="756E6E"/>
                                  <w:spacing w:val="-3"/>
                                  <w:sz w:val="16"/>
                                </w:rPr>
                                <w:t xml:space="preserve"> </w:t>
                              </w:r>
                              <w:r>
                                <w:rPr>
                                  <w:b/>
                                  <w:color w:val="756E6E"/>
                                  <w:spacing w:val="-2"/>
                                  <w:sz w:val="16"/>
                                </w:rPr>
                                <w:t>-</w:t>
                              </w:r>
                              <w:r>
                                <w:rPr>
                                  <w:b/>
                                  <w:color w:val="756E6E"/>
                                  <w:spacing w:val="-10"/>
                                  <w:sz w:val="16"/>
                                </w:rPr>
                                <w:t xml:space="preserve"> </w:t>
                              </w:r>
                              <w:r>
                                <w:rPr>
                                  <w:b/>
                                  <w:color w:val="756E6E"/>
                                  <w:spacing w:val="-1"/>
                                  <w:sz w:val="16"/>
                                </w:rPr>
                                <w:t>12 -</w:t>
                              </w:r>
                              <w:r>
                                <w:rPr>
                                  <w:b/>
                                  <w:color w:val="756E6E"/>
                                  <w:spacing w:val="-5"/>
                                  <w:sz w:val="16"/>
                                </w:rPr>
                                <w:t xml:space="preserve"> </w:t>
                              </w:r>
                              <w:r>
                                <w:rPr>
                                  <w:b/>
                                  <w:color w:val="756E6E"/>
                                  <w:spacing w:val="-1"/>
                                  <w:sz w:val="16"/>
                                </w:rPr>
                                <w:t>2023</w:t>
                              </w:r>
                            </w:p>
                          </w:txbxContent>
                        </wps:txbx>
                        <wps:bodyPr lIns="0" tIns="0" rIns="0" bIns="0" upright="1"/>
                      </wps:wsp>
                    </wpg:wgp>
                  </a:graphicData>
                </a:graphic>
              </wp:anchor>
            </w:drawing>
          </mc:Choice>
          <mc:Fallback>
            <w:pict>
              <v:group id="_x0000_s1026" o:spid="_x0000_s1026" o:spt="203" style="position:absolute;left:0pt;margin-left:137pt;margin-top:89.35pt;height:511.95pt;width:402pt;mso-position-horizontal-relative:page;mso-wrap-distance-bottom:0pt;mso-wrap-distance-top:0pt;z-index:-251648000;mso-width-relative:page;mso-height-relative:page;" coordorigin="2741,257" coordsize="8040,10239" o:gfxdata="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">
                <o:lock v:ext="edit" aspectratio="f"/>
                <v:shape id="_x0000_s1026" o:spid="_x0000_s1026" o:spt="75" alt="" type="#_x0000_t75" style="position:absolute;left:2740;top:257;height:10239;width:6521;" filled="f" o:preferrelative="t" stroked="f" coordsize="21600,21600" o:gfxdata="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fxcMr4A&#10;AADaAAAADwAAAAAAAAABACAAAAAiAAAAZHJzL2Rvd25yZXYueG1sUEsBAhQAFAAAAAgAh07iQDMv&#10;BZ47AAAAOQAAABAAAAAAAAAAAQAgAAAADQEAAGRycy9zaGFwZXhtbC54bWxQSwUGAAAAAAYABgBb&#10;AQAAtwMAAAAA&#10;">
                  <v:fill on="f" focussize="0,0"/>
                  <v:stroke on="f"/>
                  <v:imagedata r:id="rId50" o:title=""/>
                  <o:lock v:ext="edit" aspectratio="t"/>
                </v:shape>
                <v:rect id="_x0000_s1026" o:spid="_x0000_s1026" o:spt="1" style="position:absolute;left:7000;top:9809;height:430;width:3780;" fillcolor="#FFFFFF" filled="t" stroked="f" coordsize="21600,21600" o:gfxdata="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873bq8AAAA&#10;2gAAAA8AAAAAAAAAAQAgAAAAIgAAAGRycy9kb3ducmV2LnhtbFBLAQIUABQAAAAIAIdO4kAzLwWe&#10;OwAAADkAAAAQAAAAAAAAAAEAIAAAAAsBAABkcnMvc2hhcGV4bWwueG1sUEsFBgAAAAAGAAYAWwEA&#10;ALUDAAAAAA==&#10;">
                  <v:fill on="t" focussize="0,0"/>
                  <v:stroke on="f"/>
                  <v:imagedata o:title=""/>
                  <o:lock v:ext="edit" aspectratio="f"/>
                </v:rect>
                <v:shape id="_x0000_s1026" o:spid="_x0000_s1026" o:spt="202" type="#_x0000_t202" style="position:absolute;left:7543;top:9947;height:179;width:900;" filled="f" stroked="f" coordsize="21600,21600" o:gfxdata="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TMV8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F9947F0">
                        <w:pPr>
                          <w:spacing w:before="0" w:line="178" w:lineRule="exact"/>
                          <w:ind w:left="0" w:right="0" w:firstLine="0"/>
                          <w:jc w:val="left"/>
                          <w:rPr>
                            <w:b/>
                            <w:sz w:val="16"/>
                          </w:rPr>
                        </w:pPr>
                        <w:r>
                          <w:rPr>
                            <w:b/>
                            <w:color w:val="756E6E"/>
                            <w:spacing w:val="-2"/>
                            <w:sz w:val="16"/>
                          </w:rPr>
                          <w:t>22</w:t>
                        </w:r>
                        <w:r>
                          <w:rPr>
                            <w:b/>
                            <w:color w:val="756E6E"/>
                            <w:spacing w:val="-3"/>
                            <w:sz w:val="16"/>
                          </w:rPr>
                          <w:t xml:space="preserve"> </w:t>
                        </w:r>
                        <w:r>
                          <w:rPr>
                            <w:b/>
                            <w:color w:val="756E6E"/>
                            <w:spacing w:val="-2"/>
                            <w:sz w:val="16"/>
                          </w:rPr>
                          <w:t>-</w:t>
                        </w:r>
                        <w:r>
                          <w:rPr>
                            <w:b/>
                            <w:color w:val="756E6E"/>
                            <w:spacing w:val="-10"/>
                            <w:sz w:val="16"/>
                          </w:rPr>
                          <w:t xml:space="preserve"> </w:t>
                        </w:r>
                        <w:r>
                          <w:rPr>
                            <w:b/>
                            <w:color w:val="756E6E"/>
                            <w:spacing w:val="-1"/>
                            <w:sz w:val="16"/>
                          </w:rPr>
                          <w:t>12 -</w:t>
                        </w:r>
                        <w:r>
                          <w:rPr>
                            <w:b/>
                            <w:color w:val="756E6E"/>
                            <w:spacing w:val="-5"/>
                            <w:sz w:val="16"/>
                          </w:rPr>
                          <w:t xml:space="preserve"> </w:t>
                        </w:r>
                        <w:r>
                          <w:rPr>
                            <w:b/>
                            <w:color w:val="756E6E"/>
                            <w:spacing w:val="-1"/>
                            <w:sz w:val="16"/>
                          </w:rPr>
                          <w:t>2023</w:t>
                        </w:r>
                      </w:p>
                    </w:txbxContent>
                  </v:textbox>
                </v:shape>
                <w10:wrap type="topAndBottom"/>
              </v:group>
            </w:pict>
          </mc:Fallback>
        </mc:AlternateContent>
      </w:r>
    </w:p>
    <w:sectPr>
      <w:headerReference r:id="rId39" w:type="first"/>
      <w:headerReference r:id="rId38" w:type="default"/>
      <w:pgSz w:w="12240" w:h="15840"/>
      <w:pgMar w:top="1440" w:right="1440" w:bottom="1440" w:left="1800" w:header="720" w:footer="720" w:gutter="0"/>
      <w:paperSrc w:first="15" w:other="15"/>
      <w:cols w:space="720" w:num="1"/>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altName w:val="Arial Unicode MS"/>
    <w:panose1 w:val="00000000000000000000"/>
    <w:charset w:val="86"/>
    <w:family w:val="auto"/>
    <w:pitch w:val="default"/>
    <w:sig w:usb0="00000000" w:usb1="00000000" w:usb2="00000000" w:usb3="00000000" w:csb0="00000000" w:csb1="00000000"/>
  </w:font>
  <w:font w:name="Tahoma">
    <w:panose1 w:val="020B0604030504040204"/>
    <w:charset w:val="00"/>
    <w:family w:val="swiss"/>
    <w:pitch w:val="default"/>
    <w:sig w:usb0="E1002EFF" w:usb1="C000605B" w:usb2="00000029" w:usb3="00000000" w:csb0="200101FF" w:csb1="20280000"/>
  </w:font>
  <w:font w:name="Comic Sans MS">
    <w:panose1 w:val="030F0702030302020204"/>
    <w:charset w:val="00"/>
    <w:family w:val="script"/>
    <w:pitch w:val="default"/>
    <w:sig w:usb0="00000287" w:usb1="00000013" w:usb2="00000000" w:usb3="00000000" w:csb0="2000009F" w:csb1="00000000"/>
  </w:font>
  <w:font w:name="Symbol">
    <w:panose1 w:val="05050102010706020507"/>
    <w:charset w:val="02"/>
    <w:family w:val="roman"/>
    <w:pitch w:val="default"/>
    <w:sig w:usb0="00000000" w:usb1="00000000" w:usb2="00000000" w:usb3="00000000" w:csb0="80000000" w:csb1="00000000"/>
  </w:font>
  <w:font w:name="Arial Unicode MS">
    <w:panose1 w:val="020B0604020202020204"/>
    <w:charset w:val="86"/>
    <w:family w:val="roman"/>
    <w:pitch w:val="default"/>
    <w:sig w:usb0="FFFFFFFF" w:usb1="E9FFFFFF" w:usb2="0000003F" w:usb3="00000000" w:csb0="603F01FF" w:csb1="FFFF0000"/>
  </w:font>
  <w:font w:name="Tms Rmn">
    <w:altName w:val="Segoe Print"/>
    <w:panose1 w:val="02020603040505020304"/>
    <w:charset w:val="00"/>
    <w:family w:val="roman"/>
    <w:pitch w:val="default"/>
    <w:sig w:usb0="00000000" w:usb1="00000000" w:usb2="00000000" w:usb3="00000000" w:csb0="00000001" w:csb1="00000000"/>
  </w:font>
  <w:font w:name="Times New Roman Bold">
    <w:altName w:val="Times New Roman"/>
    <w:panose1 w:val="02020803070505020304"/>
    <w:charset w:val="00"/>
    <w:family w:val="roman"/>
    <w:pitch w:val="default"/>
    <w:sig w:usb0="00000000" w:usb1="00000000" w:usb2="00000000" w:usb3="00000000" w:csb0="00000000" w:csb1="00000000"/>
  </w:font>
  <w:font w:name="Times">
    <w:altName w:val="Times New Roman"/>
    <w:panose1 w:val="02020603050405020304"/>
    <w:charset w:val="00"/>
    <w:family w:val="roman"/>
    <w:pitch w:val="default"/>
    <w:sig w:usb0="00000000" w:usb1="00000000" w:usb2="00000009" w:usb3="00000000" w:csb0="000001FF" w:csb1="00000000"/>
  </w:font>
  <w:font w:name="Optima">
    <w:altName w:val="Segoe Print"/>
    <w:panose1 w:val="00000000000000000000"/>
    <w:charset w:val="00"/>
    <w:family w:val="auto"/>
    <w:pitch w:val="default"/>
    <w:sig w:usb0="00000000" w:usb1="00000000" w:usb2="00000000" w:usb3="00000000" w:csb0="00000001" w:csb1="00000000"/>
  </w:font>
  <w:font w:name="CG Times">
    <w:altName w:val="Times New Roman"/>
    <w:panose1 w:val="00000000000000000000"/>
    <w:charset w:val="00"/>
    <w:family w:val="roman"/>
    <w:pitch w:val="default"/>
    <w:sig w:usb0="00000000" w:usb1="00000000" w:usb2="00000000" w:usb3="00000000" w:csb0="00000093" w:csb1="00000000"/>
  </w:font>
  <w:font w:name="Times-Bold">
    <w:altName w:val="Times New Roman"/>
    <w:panose1 w:val="00000000000000000000"/>
    <w:charset w:val="00"/>
    <w:family w:val="roman"/>
    <w:pitch w:val="default"/>
    <w:sig w:usb0="00000000" w:usb1="00000000" w:usb2="00000000" w:usb3="00000000" w:csb0="00000000" w:csb1="00000000"/>
  </w:font>
  <w:font w:name="Times-Italic">
    <w:altName w:val="Times New Roman"/>
    <w:panose1 w:val="00000000000000000000"/>
    <w:charset w:val="00"/>
    <w:family w:val="roman"/>
    <w:pitch w:val="default"/>
    <w:sig w:usb0="00000000" w:usb1="00000000" w:usb2="00000000" w:usb3="00000000" w:csb0="00000000" w:csb1="00000000"/>
  </w:font>
  <w:font w:name="Arial Narrow">
    <w:panose1 w:val="020B0606020202030204"/>
    <w:charset w:val="00"/>
    <w:family w:val="swiss"/>
    <w:pitch w:val="default"/>
    <w:sig w:usb0="00000287" w:usb1="00000800" w:usb2="00000000" w:usb3="00000000" w:csb0="2000009F" w:csb1="DFD70000"/>
  </w:font>
  <w:font w:name="Open Sans">
    <w:altName w:val="Times New Roman"/>
    <w:panose1 w:val="00000000000000000000"/>
    <w:charset w:val="00"/>
    <w:family w:val="auto"/>
    <w:pitch w:val="default"/>
    <w:sig w:usb0="00000000" w:usb1="00000000" w:usb2="00000000" w:usb3="00000000" w:csb0="00000000" w:csb1="00000000"/>
  </w:font>
  <w:font w:name="Helv">
    <w:altName w:val="Arial"/>
    <w:panose1 w:val="020B0604020202030204"/>
    <w:charset w:val="00"/>
    <w:family w:val="swiss"/>
    <w:pitch w:val="default"/>
    <w:sig w:usb0="00000000" w:usb1="00000000" w:usb2="00000000" w:usb3="00000000" w:csb0="00000001" w:csb1="00000000"/>
  </w:font>
  <w:font w:name="Times-Roman">
    <w:altName w:val="Times New Roman"/>
    <w:panose1 w:val="00000000000000000000"/>
    <w:charset w:val="00"/>
    <w:family w:val="roman"/>
    <w:pitch w:val="default"/>
    <w:sig w:usb0="00000000" w:usb1="00000000" w:usb2="00000000" w:usb3="00000000" w:csb0="00000000" w:csb1="00000000"/>
  </w:font>
  <w:font w:name="MS Mincho">
    <w:altName w:val="Yu Gothic UI"/>
    <w:panose1 w:val="02020609040205080304"/>
    <w:charset w:val="80"/>
    <w:family w:val="modern"/>
    <w:pitch w:val="default"/>
    <w:sig w:usb0="00000000" w:usb1="00000000" w:usb2="08000012" w:usb3="00000000" w:csb0="0002009F" w:csb1="00000000"/>
  </w:font>
  <w:font w:name="Trebuchet MS">
    <w:panose1 w:val="020B0603020202020204"/>
    <w:charset w:val="00"/>
    <w:family w:val="swiss"/>
    <w:pitch w:val="default"/>
    <w:sig w:usb0="00000687" w:usb1="00000000" w:usb2="00000000" w:usb3="00000000" w:csb0="2000009F" w:csb1="00000000"/>
  </w:font>
  <w:font w:name="Yu Gothic UI">
    <w:panose1 w:val="020B0500000000000000"/>
    <w:charset w:val="80"/>
    <w:family w:val="auto"/>
    <w:pitch w:val="default"/>
    <w:sig w:usb0="E00002FF" w:usb1="2AC7FDFF" w:usb2="00000016" w:usb3="00000000" w:csb0="2002009F" w:csb1="00000000"/>
  </w:font>
  <w:font w:name="Segoe Print">
    <w:panose1 w:val="02000600000000000000"/>
    <w:charset w:val="00"/>
    <w:family w:val="auto"/>
    <w:pitch w:val="default"/>
    <w:sig w:usb0="0000028F" w:usb1="00000000" w:usb2="00000000" w:usb3="00000000" w:csb0="2000009F" w:csb1="47010000"/>
  </w:font>
  <w:font w:name="Calibri">
    <w:panose1 w:val="020F0502020204030204"/>
    <w:charset w:val="86"/>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575F37">
    <w:pPr>
      <w:pStyle w:val="27"/>
      <w:framePr w:wrap="around" w:vAnchor="text" w:hAnchor="margin" w:xAlign="center" w:y="1"/>
      <w:rPr>
        <w:rStyle w:val="53"/>
      </w:rPr>
    </w:pPr>
    <w:r>
      <w:rPr>
        <w:rStyle w:val="53"/>
      </w:rPr>
      <w:fldChar w:fldCharType="begin"/>
    </w:r>
    <w:r>
      <w:rPr>
        <w:rStyle w:val="53"/>
      </w:rPr>
      <w:instrText xml:space="preserve">PAGE  </w:instrText>
    </w:r>
    <w:r>
      <w:rPr>
        <w:rStyle w:val="53"/>
      </w:rPr>
      <w:fldChar w:fldCharType="end"/>
    </w:r>
  </w:p>
  <w:p w14:paraId="2AEC9C78">
    <w:pPr>
      <w:pStyle w:val="2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582A7D">
    <w:pPr>
      <w:pStyle w:val="27"/>
      <w:tabs>
        <w:tab w:val="center" w:pos="5400"/>
        <w:tab w:val="right" w:pos="9657"/>
        <w:tab w:val="clear" w:pos="9504"/>
      </w:tabs>
      <w:spacing w:before="0"/>
    </w:pPr>
  </w:p>
  <w:p w14:paraId="3062EF27">
    <w:pPr>
      <w:pStyle w:val="27"/>
      <w:tabs>
        <w:tab w:val="right" w:pos="9666"/>
        <w:tab w:val="clear" w:pos="9504"/>
      </w:tabs>
      <w:spacing w:before="0"/>
    </w:pPr>
    <w:r>
      <w:rPr>
        <w:sz w:val="16"/>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744642">
    <w:pPr>
      <w:pStyle w:val="27"/>
      <w:tabs>
        <w:tab w:val="center" w:pos="3960"/>
        <w:tab w:val="right" w:pos="9657"/>
        <w:tab w:val="clear" w:pos="9504"/>
      </w:tabs>
      <w:spacing w:before="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01709D">
    <w:pPr>
      <w:pStyle w:val="2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7859B7">
    <w:pPr>
      <w:pStyle w:val="27"/>
      <w:tabs>
        <w:tab w:val="center" w:pos="3960"/>
        <w:tab w:val="right" w:pos="9657"/>
        <w:tab w:val="clear" w:pos="9504"/>
      </w:tabs>
      <w:spacing w:befor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96">
    <w:p>
      <w:r>
        <w:separator/>
      </w:r>
    </w:p>
  </w:footnote>
  <w:footnote w:type="continuationSeparator" w:id="97">
    <w:p>
      <w:r>
        <w:continuationSeparator/>
      </w:r>
    </w:p>
  </w:footnote>
  <w:footnote w:id="0">
    <w:p w14:paraId="5C0B5A9D">
      <w:pPr>
        <w:pStyle w:val="29"/>
      </w:pPr>
      <w:r>
        <w:rPr>
          <w:rStyle w:val="28"/>
        </w:rPr>
        <w:footnoteRef/>
      </w:r>
      <w:r>
        <w:t xml:space="preserve"> </w:t>
      </w:r>
      <w:r>
        <w:tab/>
      </w:r>
      <w:r>
        <w:t>In lump sum contracts, delete “rates and prices and the.”</w:t>
      </w:r>
    </w:p>
  </w:footnote>
  <w:footnote w:id="1">
    <w:p w14:paraId="3AA00D68">
      <w:pPr>
        <w:pStyle w:val="29"/>
      </w:pPr>
      <w:r>
        <w:rPr>
          <w:rStyle w:val="28"/>
        </w:rPr>
        <w:footnoteRef/>
      </w:r>
      <w:r>
        <w:t xml:space="preserve"> </w:t>
      </w:r>
      <w:r>
        <w:tab/>
      </w:r>
      <w:r>
        <w:t>For lump sum contracts, delete “unit rates and prices and shown in the Schedule of Adjustment Data are reasonable” and replace with “Lump Sum.”</w:t>
      </w:r>
    </w:p>
  </w:footnote>
  <w:footnote w:id="2">
    <w:p w14:paraId="292F167D">
      <w:pPr>
        <w:pStyle w:val="29"/>
      </w:pPr>
      <w:r>
        <w:rPr>
          <w:rStyle w:val="28"/>
        </w:rPr>
        <w:footnoteRef/>
      </w:r>
      <w:r>
        <w:t xml:space="preserve">    </w:t>
      </w:r>
      <w:r>
        <w:tab/>
      </w:r>
      <w:r>
        <w:t>An individual firm is considered a domestic bidder for purposes of the margin of preference if it is registered in the country of the Employer, has more than 50 percent ownership by nationals of the country of the Employer, and if it does not subcontract more than 10 percent of the contract price, excluding provisional sums, to foreign contractors. JVs are considered as domestic bidders and eligible for domestic preference only if the individual member firms are registered in the country of the Employer or have more than 50 percent ownership by nationals of the country of the Employer, and the JV shall be registered in the country of the Borrower. The JV shall not subcontract more than 10 percent of the contract price, excluding provisional sums, to foreign firms. JVs between foreign and national firms will not be eligible for domestic preference.</w:t>
      </w:r>
    </w:p>
  </w:footnote>
  <w:footnote w:id="3">
    <w:p w14:paraId="0E7E8CBC">
      <w:pPr>
        <w:pStyle w:val="29"/>
      </w:pPr>
      <w:r>
        <w:rPr>
          <w:rStyle w:val="28"/>
        </w:rPr>
        <w:footnoteRef/>
      </w:r>
      <w:r>
        <w:t xml:space="preserve"> </w:t>
      </w:r>
      <w:r>
        <w:tab/>
      </w:r>
      <w:r>
        <w:t>In lump sum contracts, delete “Bill of Quantities” and replace with “Activity Schedule.”</w:t>
      </w:r>
    </w:p>
  </w:footnote>
  <w:footnote w:id="4">
    <w:p w14:paraId="27E9BB2D">
      <w:pPr>
        <w:pStyle w:val="29"/>
      </w:pPr>
      <w:r>
        <w:rPr>
          <w:rStyle w:val="28"/>
        </w:rPr>
        <w:footnoteRef/>
      </w:r>
      <w:r>
        <w:t xml:space="preserve"> </w:t>
      </w:r>
      <w:r>
        <w:tab/>
      </w:r>
      <w:r>
        <w:t>Daywork is work carried out following instructions of the Project Manager and paid for on the basis of time spent by workers, and the use of materials and the Contractor’s equipment, at the rates quoted in the Bid.  For Daywork to be priced competitively for Bid evaluation purposes, the Employer must list tentative quantities for individual items to be costed against Daywork (e.g., a specific number of tractor driver staff-days, or a specific tonnage of Portland cement), to be multiplied by the bidders’ quoted rates and included in the total Bid price.</w:t>
      </w:r>
    </w:p>
  </w:footnote>
  <w:footnote w:id="5">
    <w:p w14:paraId="6722F1CE">
      <w:pPr>
        <w:pStyle w:val="29"/>
      </w:pPr>
      <w:r>
        <w:rPr>
          <w:rStyle w:val="28"/>
        </w:rPr>
        <w:footnoteRef/>
      </w:r>
      <w:r>
        <w:t xml:space="preserve"> Non-performance, as decided by the Employer, shall include all contracts where (a) non-performance was not challenged by the contractor, including through referral to the dispute resolution mechanism under the respective contract, and (b) contracts that were so challenged but fully settled against the contractor. Non-performance shall not include contracts where Employers decision was overruled by the dispute resolution mechanism. Non-performance must be based on all information on fully settled disputes or litigation, i.e. dispute or litigation that has been resolved in accordance with the dispute resolution mechanism under the respective contract and where all appeal instances available to the Bidder have been exhausted.</w:t>
      </w:r>
    </w:p>
  </w:footnote>
  <w:footnote w:id="6">
    <w:p w14:paraId="42A35470">
      <w:pPr>
        <w:pStyle w:val="29"/>
      </w:pPr>
      <w:r>
        <w:rPr>
          <w:rStyle w:val="28"/>
        </w:rPr>
        <w:footnoteRef/>
      </w:r>
      <w:r>
        <w:t xml:space="preserve"> This requirement also applies to contracts executed by the Bidder as JV member.</w:t>
      </w:r>
    </w:p>
  </w:footnote>
  <w:footnote w:id="7">
    <w:p w14:paraId="0EEB160C">
      <w:pPr>
        <w:pStyle w:val="29"/>
      </w:pPr>
      <w:r>
        <w:rPr>
          <w:rStyle w:val="28"/>
        </w:rPr>
        <w:footnoteRef/>
      </w:r>
      <w:r>
        <w:t xml:space="preserve"> The Bidder shall provide accurate information on the letter of Bid about any litigation or arbitration resulting from contracts completed or ongoing under its execution over the last five years. A consistent history of court/arbitral awards against the Bidder or any member of a joint venture may result in disqualifying the Bidder.</w:t>
      </w:r>
    </w:p>
  </w:footnote>
  <w:footnote w:id="8">
    <w:p w14:paraId="6BB9772A">
      <w:pPr>
        <w:rPr>
          <w:sz w:val="18"/>
          <w:szCs w:val="18"/>
        </w:rPr>
      </w:pPr>
      <w:r>
        <w:rPr>
          <w:rStyle w:val="28"/>
          <w:sz w:val="20"/>
        </w:rPr>
        <w:footnoteRef/>
      </w:r>
      <w:r>
        <w:rPr>
          <w:rStyle w:val="28"/>
          <w:sz w:val="20"/>
        </w:rPr>
        <w:t xml:space="preserve"> </w:t>
      </w:r>
      <w:r>
        <w:rPr>
          <w:sz w:val="18"/>
          <w:szCs w:val="18"/>
        </w:rPr>
        <w:t xml:space="preserve">The Employer may use this information to seek further information or clarifications in carrying out its due diligence.  </w:t>
      </w:r>
    </w:p>
  </w:footnote>
  <w:footnote w:id="9">
    <w:p w14:paraId="451D77ED">
      <w:pPr>
        <w:pStyle w:val="29"/>
      </w:pPr>
      <w:r>
        <w:rPr>
          <w:rStyle w:val="28"/>
        </w:rPr>
        <w:footnoteRef/>
      </w:r>
      <w:r>
        <w:t xml:space="preserve"> The similarity shall be based on the physical size, complexity, methods/technology and/or other characteristics described in Section VII, Work’s Requirements. Summation of number of small value contracts (less than the value specified under requirement) to meet the overall requirement will not be accepted.</w:t>
      </w:r>
    </w:p>
  </w:footnote>
  <w:footnote w:id="10">
    <w:p w14:paraId="168E87B5">
      <w:pPr>
        <w:pStyle w:val="29"/>
      </w:pPr>
      <w:r>
        <w:rPr>
          <w:rStyle w:val="28"/>
        </w:rPr>
        <w:footnoteRef/>
      </w:r>
      <w:r>
        <w:t xml:space="preserve"> Substantial completion shall be based on 80% or more works completed under the contract.</w:t>
      </w:r>
    </w:p>
  </w:footnote>
  <w:footnote w:id="11">
    <w:p w14:paraId="74F8DE9A">
      <w:pPr>
        <w:pStyle w:val="29"/>
      </w:pPr>
      <w:r>
        <w:rPr>
          <w:rStyle w:val="28"/>
        </w:rPr>
        <w:footnoteRef/>
      </w:r>
      <w:r>
        <w:t xml:space="preserve"> For contracts under which the Bidder participated as a joint venture member or sub-contractor, only the Bidder’s share, by value, shall be considered to meet this requirement.</w:t>
      </w:r>
    </w:p>
  </w:footnote>
  <w:footnote w:id="12">
    <w:p w14:paraId="0A80AE76">
      <w:pPr>
        <w:pStyle w:val="29"/>
      </w:pPr>
      <w:r>
        <w:rPr>
          <w:rStyle w:val="28"/>
        </w:rPr>
        <w:footnoteRef/>
      </w:r>
      <w:r>
        <w:t xml:space="preserve"> In the case of JV, the value of contracts completed by its members shall not be aggregated to determine whether the requirement of the minimum value of a single contract has been met. Instead, each contract performed by each member shall satisfy the minimum value of a single contract as required for single entity. In determining whether the JV meets the requirement of total number of contracts, only the number of contracts completed by all members each of value equal or more than the minimum value required shall be aggregated.</w:t>
      </w:r>
    </w:p>
  </w:footnote>
  <w:footnote w:id="13">
    <w:p w14:paraId="05B1A9BB">
      <w:pPr>
        <w:pStyle w:val="29"/>
      </w:pPr>
      <w:r>
        <w:rPr>
          <w:rStyle w:val="28"/>
        </w:rPr>
        <w:footnoteRef/>
      </w:r>
      <w:r>
        <w:t xml:space="preserve"> For contracts under which the Bidder participated as a joint venture member or sub-contractor, only the Bidder’s share shall be counted to meet this requirement.</w:t>
      </w:r>
    </w:p>
  </w:footnote>
  <w:footnote w:id="14">
    <w:p w14:paraId="0BC91BA4">
      <w:pPr>
        <w:pStyle w:val="29"/>
        <w:tabs>
          <w:tab w:val="left" w:pos="180"/>
          <w:tab w:val="clear" w:pos="360"/>
        </w:tabs>
        <w:ind w:left="180" w:hanging="180"/>
      </w:pPr>
      <w:r>
        <w:rPr>
          <w:rStyle w:val="28"/>
        </w:rPr>
        <w:footnoteRef/>
      </w:r>
      <w:r>
        <w:t xml:space="preserve"> Volume, number or rate of production of any key activity can be demonstrated in one or more contracts combined if executed during same time period. The rate of production shall be the annual production rate for the key construction activity (or activities).</w:t>
      </w:r>
    </w:p>
  </w:footnote>
  <w:footnote w:id="15">
    <w:p w14:paraId="3D36189A">
      <w:pPr>
        <w:pStyle w:val="29"/>
      </w:pPr>
      <w:r>
        <w:rPr>
          <w:rStyle w:val="28"/>
        </w:rPr>
        <w:footnoteRef/>
      </w:r>
      <w:r>
        <w:t xml:space="preserve"> The minimum experience requirement for multiple contracts will be the sum of the minimum requirements for respective individual contracts, </w:t>
      </w:r>
    </w:p>
    <w:p w14:paraId="5F5AA45C">
      <w:pPr>
        <w:pStyle w:val="29"/>
      </w:pPr>
      <w:r>
        <w:t>unless specified otherwise.</w:t>
      </w:r>
    </w:p>
    <w:p w14:paraId="33604426">
      <w:pPr>
        <w:pStyle w:val="29"/>
        <w:ind w:left="0" w:firstLine="0"/>
      </w:pPr>
    </w:p>
  </w:footnote>
  <w:footnote w:id="16">
    <w:p w14:paraId="49E6D1D5">
      <w:pPr>
        <w:pStyle w:val="29"/>
        <w:rPr>
          <w:i/>
          <w:iCs/>
        </w:rPr>
      </w:pPr>
      <w:r>
        <w:rPr>
          <w:rStyle w:val="28"/>
        </w:rPr>
        <w:footnoteRef/>
      </w:r>
      <w:r>
        <w:t xml:space="preserve">  </w:t>
      </w:r>
      <w:r>
        <w:rPr>
          <w:i/>
          <w:iCs/>
        </w:rPr>
        <w:t xml:space="preserve">Bidder to use as appropriate  </w:t>
      </w:r>
    </w:p>
    <w:p w14:paraId="4F264E2E">
      <w:pPr>
        <w:pStyle w:val="29"/>
        <w:rPr>
          <w:i/>
          <w:iCs/>
        </w:rPr>
      </w:pPr>
    </w:p>
    <w:p w14:paraId="6DBAEC1C">
      <w:pPr>
        <w:pStyle w:val="29"/>
        <w:ind w:left="0" w:firstLine="0"/>
      </w:pPr>
    </w:p>
  </w:footnote>
  <w:footnote w:id="17">
    <w:p w14:paraId="5653E44F">
      <w:pPr>
        <w:pStyle w:val="29"/>
      </w:pPr>
      <w:r>
        <w:rPr>
          <w:rStyle w:val="28"/>
        </w:rPr>
        <w:footnoteRef/>
      </w:r>
      <w:r>
        <w:t xml:space="preserve"> </w:t>
      </w:r>
      <w:r>
        <w:tab/>
      </w:r>
      <w:r>
        <w:t>If the most recent set of financial statements is for a period earlier than 12 months from the date of bid, the reason for this should be justified.</w:t>
      </w:r>
    </w:p>
  </w:footnote>
  <w:footnote w:id="18">
    <w:p w14:paraId="6B6AA1C2">
      <w:pPr>
        <w:pStyle w:val="29"/>
      </w:pPr>
      <w:r>
        <w:rPr>
          <w:rStyle w:val="28"/>
        </w:rPr>
        <w:footnoteRef/>
      </w:r>
      <w:r>
        <w:t xml:space="preserve"> </w:t>
      </w:r>
      <w:r>
        <w:tab/>
      </w:r>
      <w:r>
        <w:t>If applicable.</w:t>
      </w:r>
    </w:p>
  </w:footnote>
  <w:footnote w:id="19">
    <w:p w14:paraId="74CC815D">
      <w:pPr>
        <w:pStyle w:val="29"/>
        <w:rPr>
          <w:sz w:val="24"/>
        </w:rPr>
      </w:pPr>
      <w:r>
        <w:rPr>
          <w:rStyle w:val="28"/>
        </w:rPr>
        <w:footnoteRef/>
      </w:r>
      <w:r>
        <w:t xml:space="preserve">     </w:t>
      </w:r>
      <w:r>
        <w:rPr>
          <w:szCs w:val="16"/>
        </w:rPr>
        <w:t xml:space="preserve">In this context, any action to influence the procurement process or contract execution for undue advantage is improper. </w:t>
      </w:r>
      <w:r>
        <w:rPr>
          <w:sz w:val="24"/>
        </w:rPr>
        <w:t xml:space="preserve"> </w:t>
      </w:r>
    </w:p>
  </w:footnote>
  <w:footnote w:id="20">
    <w:p w14:paraId="648BD095">
      <w:pPr>
        <w:pStyle w:val="29"/>
        <w:rPr>
          <w:szCs w:val="18"/>
        </w:rPr>
      </w:pPr>
      <w:r>
        <w:rPr>
          <w:rStyle w:val="28"/>
          <w:szCs w:val="18"/>
        </w:rPr>
        <w:footnoteRef/>
      </w:r>
      <w:r>
        <w:rPr>
          <w:szCs w:val="18"/>
        </w:rPr>
        <w:t xml:space="preserve"> </w:t>
      </w:r>
      <w:r>
        <w:rPr>
          <w:szCs w:val="18"/>
        </w:rPr>
        <w:tab/>
      </w:r>
      <w:r>
        <w:rPr>
          <w:szCs w:val="18"/>
        </w:rPr>
        <w:t>For the purpose of this sub-paragraph, “</w:t>
      </w:r>
      <w:r>
        <w:rPr>
          <w:i/>
          <w:iCs/>
          <w:szCs w:val="18"/>
        </w:rPr>
        <w:t>another party</w:t>
      </w:r>
      <w:r>
        <w:rPr>
          <w:szCs w:val="18"/>
        </w:rPr>
        <w:t>” refers to a public official acting in relation to the procurement process or contract execution. In this context, “</w:t>
      </w:r>
      <w:r>
        <w:rPr>
          <w:i/>
          <w:iCs/>
          <w:szCs w:val="18"/>
        </w:rPr>
        <w:t>public official</w:t>
      </w:r>
      <w:r>
        <w:rPr>
          <w:szCs w:val="18"/>
        </w:rPr>
        <w:t>” includes World Bank staff and employees of other organizations taking or reviewing procurement decisions.</w:t>
      </w:r>
    </w:p>
  </w:footnote>
  <w:footnote w:id="21">
    <w:p w14:paraId="62CDD173">
      <w:pPr>
        <w:pStyle w:val="29"/>
        <w:rPr>
          <w:szCs w:val="18"/>
        </w:rPr>
      </w:pPr>
      <w:r>
        <w:rPr>
          <w:rStyle w:val="28"/>
          <w:szCs w:val="18"/>
        </w:rPr>
        <w:footnoteRef/>
      </w:r>
      <w:r>
        <w:rPr>
          <w:szCs w:val="18"/>
        </w:rPr>
        <w:t xml:space="preserve"> </w:t>
      </w:r>
      <w:r>
        <w:rPr>
          <w:szCs w:val="18"/>
        </w:rPr>
        <w:tab/>
      </w:r>
      <w:r>
        <w:rPr>
          <w:szCs w:val="18"/>
        </w:rPr>
        <w:t xml:space="preserve"> For the purpose of this sub-paragraph, “party” refers to a public official; the terms “benefit” and “obligation” relate to the procurement process or contract execution; and the “act or omission” is intended to influence the procurement process or contract execution.</w:t>
      </w:r>
    </w:p>
  </w:footnote>
  <w:footnote w:id="22">
    <w:p w14:paraId="0CE90325">
      <w:pPr>
        <w:pStyle w:val="29"/>
      </w:pPr>
      <w:r>
        <w:rPr>
          <w:rStyle w:val="28"/>
        </w:rPr>
        <w:footnoteRef/>
      </w:r>
      <w:r>
        <w:t xml:space="preserve"> </w:t>
      </w:r>
      <w:r>
        <w:tab/>
      </w:r>
      <w:r>
        <w:t>For the purpose of this sub-paragraph, “parties” refers to participants in the procurement process (including public officials) attempting either themselves, or through another person or entity not participating in the procurement or selection process, to simulate competition or to establish bid prices at artificial, non-competitive levels, or are privy to each other’s bid prices or other conditions.</w:t>
      </w:r>
    </w:p>
  </w:footnote>
  <w:footnote w:id="23">
    <w:p w14:paraId="622A582A">
      <w:pPr>
        <w:pStyle w:val="29"/>
      </w:pPr>
      <w:r>
        <w:rPr>
          <w:rStyle w:val="28"/>
        </w:rPr>
        <w:footnoteRef/>
      </w:r>
      <w:r>
        <w:t xml:space="preserve"> </w:t>
      </w:r>
      <w:r>
        <w:tab/>
      </w:r>
      <w:r>
        <w:t>For the purpose of this sub-paragraph, “party” refers to a participant in the procurement process or contract execution.</w:t>
      </w:r>
    </w:p>
  </w:footnote>
  <w:footnote w:id="24">
    <w:p w14:paraId="0D85262B">
      <w:pPr>
        <w:pStyle w:val="29"/>
      </w:pPr>
      <w:r>
        <w:rPr>
          <w:rStyle w:val="28"/>
        </w:rPr>
        <w:footnoteRef/>
      </w:r>
      <w:r>
        <w:t xml:space="preserve"> </w:t>
      </w:r>
      <w:r>
        <w:tab/>
      </w:r>
      <w:r>
        <w:t>A firm or individual may be declared ineligible to be awarded a Bank financed contract upon: (i) completion of the Bank’s sanctions proceedings as per its sanctions procedures, including, inter alia, cross-debarment as agreed with other International Financial Institutions, including Multilateral Development Banks, and through the application the World Bank Group corporate administrative procurement sanctions procedures for fraud and corruption; and (ii) as a result of temporary suspension or early temporary suspension in connection with an ongoing sanctions proceeding. See footnote 14 and paragraph 8 of Appendix 1 of these Guidelines.</w:t>
      </w:r>
    </w:p>
  </w:footnote>
  <w:footnote w:id="25">
    <w:p w14:paraId="4815EA1B">
      <w:pPr>
        <w:pStyle w:val="29"/>
      </w:pPr>
      <w:r>
        <w:rPr>
          <w:rStyle w:val="28"/>
        </w:rPr>
        <w:footnoteRef/>
      </w:r>
      <w:r>
        <w:t xml:space="preserve"> </w:t>
      </w:r>
      <w:r>
        <w:tab/>
      </w:r>
      <w:r>
        <w:t>A nominated sub-contractor, consultant, manufacturer or supplier, or service provider (different names are used depending on the particular bidding document) is one which has either been: (i) included by the bidder in its pre-qualification application or bid because it brings specific and critical experience and know-how that allow the bidder to meet the qualification requirements for the particular bid; or (ii) appointed by the Borrower.</w:t>
      </w:r>
    </w:p>
  </w:footnote>
  <w:footnote w:id="26">
    <w:p w14:paraId="0BC2E747">
      <w:pPr>
        <w:pStyle w:val="29"/>
      </w:pPr>
      <w:r>
        <w:rPr>
          <w:rStyle w:val="28"/>
        </w:rPr>
        <w:footnoteRef/>
      </w:r>
      <w:r>
        <w:t xml:space="preserve"> </w:t>
      </w:r>
      <w:r>
        <w:tab/>
      </w:r>
      <w:r>
        <w:t>In lump-sum contracts, delete “Bill of Quantities” and replace with “Activity Schedule.”</w:t>
      </w:r>
    </w:p>
  </w:footnote>
  <w:footnote w:id="27">
    <w:p w14:paraId="4F2F3D9F">
      <w:pPr>
        <w:pStyle w:val="29"/>
      </w:pPr>
      <w:r>
        <w:rPr>
          <w:rStyle w:val="28"/>
        </w:rPr>
        <w:footnoteRef/>
      </w:r>
      <w:r>
        <w:t xml:space="preserve"> </w:t>
      </w:r>
      <w:r>
        <w:tab/>
      </w:r>
      <w:r>
        <w:t>In lump-sum contracts, replace GCC Sub-Clauses 38.1 as follows:</w:t>
      </w:r>
    </w:p>
    <w:p w14:paraId="625BEAC1">
      <w:pPr>
        <w:pStyle w:val="29"/>
        <w:tabs>
          <w:tab w:val="left" w:pos="1080"/>
        </w:tabs>
        <w:ind w:left="1080" w:hanging="540"/>
      </w:pPr>
      <w:r>
        <w:t>38.1</w:t>
      </w:r>
      <w:r>
        <w:tab/>
      </w:r>
      <w:r>
        <w:t>The Contractor shall provide updated Activity Schedules within 14 days of being instructed to by the Project Manager.  The Activity Schedule shall contain the priced activities for the Works to be performed by the Contractor. The Activity Schedule is used to monitor and control the performance of activities on which basis the Contractor will be paid. If payment for materials on site shall be made separately, the Contractor shall show delivery of Materials to the Site separately on the Activity Schedule.</w:t>
      </w:r>
    </w:p>
  </w:footnote>
  <w:footnote w:id="28">
    <w:p w14:paraId="7B49E0D3">
      <w:pPr>
        <w:pStyle w:val="29"/>
      </w:pPr>
      <w:r>
        <w:rPr>
          <w:rStyle w:val="28"/>
        </w:rPr>
        <w:footnoteRef/>
      </w:r>
      <w:r>
        <w:t xml:space="preserve"> </w:t>
      </w:r>
      <w:r>
        <w:tab/>
      </w:r>
      <w:r>
        <w:t>In lump-sum contracts, replace entire GCC Clause 39 with new GCC Sub-Clause 39.1, as follows:</w:t>
      </w:r>
    </w:p>
    <w:p w14:paraId="5C430260">
      <w:pPr>
        <w:pStyle w:val="29"/>
        <w:tabs>
          <w:tab w:val="left" w:pos="1080"/>
        </w:tabs>
        <w:ind w:left="1080" w:hanging="540"/>
      </w:pPr>
      <w:r>
        <w:t>39.1</w:t>
      </w:r>
      <w:r>
        <w:tab/>
      </w:r>
      <w:r>
        <w:t>The Activity Schedule shall be amended by the Contractor to accommodate changes of Program or method of working made at the Contractor’s own discretion.  Prices in the Activity Schedule shall not be altered when the Contractor makes such changes to the Activity Schedule.</w:t>
      </w:r>
    </w:p>
  </w:footnote>
  <w:footnote w:id="29">
    <w:p w14:paraId="11BF034E">
      <w:pPr>
        <w:pStyle w:val="29"/>
      </w:pPr>
      <w:r>
        <w:rPr>
          <w:rStyle w:val="28"/>
        </w:rPr>
        <w:footnoteRef/>
      </w:r>
      <w:r>
        <w:t xml:space="preserve"> </w:t>
      </w:r>
      <w:r>
        <w:tab/>
      </w:r>
      <w:r>
        <w:t>In lump-sum contracts, add “and Activity Schedules” after “Programs.”</w:t>
      </w:r>
    </w:p>
  </w:footnote>
  <w:footnote w:id="30">
    <w:p w14:paraId="67EE866C">
      <w:pPr>
        <w:pStyle w:val="29"/>
      </w:pPr>
      <w:r>
        <w:rPr>
          <w:rStyle w:val="28"/>
        </w:rPr>
        <w:footnoteRef/>
      </w:r>
      <w:r>
        <w:t xml:space="preserve"> </w:t>
      </w:r>
      <w:r>
        <w:tab/>
      </w:r>
      <w:r>
        <w:t>In lump-sum contracts, delete this paragraph.</w:t>
      </w:r>
    </w:p>
  </w:footnote>
  <w:footnote w:id="31">
    <w:p w14:paraId="44A7DB30">
      <w:pPr>
        <w:pStyle w:val="29"/>
      </w:pPr>
      <w:r>
        <w:rPr>
          <w:rStyle w:val="28"/>
        </w:rPr>
        <w:footnoteRef/>
      </w:r>
      <w:r>
        <w:t xml:space="preserve"> </w:t>
      </w:r>
      <w:r>
        <w:tab/>
      </w:r>
      <w:r>
        <w:t>In lump-sum contracts, add “or Activity Schedule” after “Program.”</w:t>
      </w:r>
    </w:p>
  </w:footnote>
  <w:footnote w:id="32">
    <w:p w14:paraId="7690A73C">
      <w:pPr>
        <w:pStyle w:val="29"/>
      </w:pPr>
      <w:r>
        <w:rPr>
          <w:rStyle w:val="28"/>
        </w:rPr>
        <w:footnoteRef/>
      </w:r>
      <w:r>
        <w:t xml:space="preserve"> </w:t>
      </w:r>
      <w:r>
        <w:tab/>
      </w:r>
      <w:r>
        <w:t>In lump-sum contracts, replace this paragraph with the following:  “The value of work executed shall comprise the value of completed activities in the Activity Schedule.”</w:t>
      </w:r>
    </w:p>
  </w:footnote>
  <w:footnote w:id="33">
    <w:p w14:paraId="266CB118">
      <w:pPr>
        <w:pStyle w:val="29"/>
      </w:pPr>
      <w:r>
        <w:rPr>
          <w:rStyle w:val="28"/>
        </w:rPr>
        <w:footnoteRef/>
      </w:r>
      <w:r>
        <w:t xml:space="preserve"> </w:t>
      </w:r>
      <w:r>
        <w:tab/>
      </w:r>
      <w:r>
        <w:t>The sum of the two coefficients A</w:t>
      </w:r>
      <w:r>
        <w:rPr>
          <w:vertAlign w:val="subscript"/>
        </w:rPr>
        <w:t>c</w:t>
      </w:r>
      <w:r>
        <w:t xml:space="preserve"> and B</w:t>
      </w:r>
      <w:r>
        <w:rPr>
          <w:vertAlign w:val="subscript"/>
        </w:rPr>
        <w:t>c</w:t>
      </w:r>
      <w:r>
        <w:t xml:space="preserve"> should be 1 (one) in the formula for each currency.  Normally, both coefficients shall be the same in the formulae for all currencies, since coefficient A, for the nonadjustable portion of the payments, is a very approximate figure (usually 0.15) to take account of fixed cost elements or other nonadjustable components.  The sum of the adjustments for each currency are added to the Contract Price.</w:t>
      </w:r>
    </w:p>
  </w:footnote>
  <w:footnote w:id="34">
    <w:p w14:paraId="32D2A8C8">
      <w:pPr>
        <w:pStyle w:val="29"/>
        <w:rPr>
          <w:sz w:val="24"/>
        </w:rPr>
      </w:pPr>
      <w:r>
        <w:rPr>
          <w:rStyle w:val="28"/>
        </w:rPr>
        <w:footnoteRef/>
      </w:r>
      <w:r>
        <w:t xml:space="preserve">     </w:t>
      </w:r>
      <w:r>
        <w:rPr>
          <w:szCs w:val="16"/>
        </w:rPr>
        <w:t xml:space="preserve">In this context, any action to influence the procurement process or contract execution for undue advantage is improper. </w:t>
      </w:r>
      <w:r>
        <w:rPr>
          <w:sz w:val="24"/>
        </w:rPr>
        <w:t xml:space="preserve"> </w:t>
      </w:r>
    </w:p>
  </w:footnote>
  <w:footnote w:id="35">
    <w:p w14:paraId="56A1C9EF">
      <w:pPr>
        <w:pStyle w:val="29"/>
        <w:rPr>
          <w:szCs w:val="18"/>
        </w:rPr>
      </w:pPr>
      <w:r>
        <w:rPr>
          <w:rStyle w:val="28"/>
          <w:szCs w:val="18"/>
        </w:rPr>
        <w:footnoteRef/>
      </w:r>
      <w:r>
        <w:rPr>
          <w:szCs w:val="18"/>
        </w:rPr>
        <w:t xml:space="preserve"> </w:t>
      </w:r>
      <w:r>
        <w:rPr>
          <w:szCs w:val="18"/>
        </w:rPr>
        <w:tab/>
      </w:r>
      <w:r>
        <w:rPr>
          <w:szCs w:val="18"/>
        </w:rPr>
        <w:t>For the purpose of this sub-paragraph, “</w:t>
      </w:r>
      <w:r>
        <w:rPr>
          <w:i/>
          <w:iCs/>
          <w:szCs w:val="18"/>
        </w:rPr>
        <w:t>another party</w:t>
      </w:r>
      <w:r>
        <w:rPr>
          <w:szCs w:val="18"/>
        </w:rPr>
        <w:t>” refers to a public official acting in relation to the procurement process or contract execution. In this context, “</w:t>
      </w:r>
      <w:r>
        <w:rPr>
          <w:i/>
          <w:iCs/>
          <w:szCs w:val="18"/>
        </w:rPr>
        <w:t>public official</w:t>
      </w:r>
      <w:r>
        <w:rPr>
          <w:szCs w:val="18"/>
        </w:rPr>
        <w:t>” includes World Bank staff and employees of other organizations taking or reviewing procurement decisions.</w:t>
      </w:r>
    </w:p>
  </w:footnote>
  <w:footnote w:id="36">
    <w:p w14:paraId="17CCC864">
      <w:pPr>
        <w:pStyle w:val="29"/>
        <w:rPr>
          <w:szCs w:val="18"/>
        </w:rPr>
      </w:pPr>
      <w:r>
        <w:rPr>
          <w:rStyle w:val="28"/>
          <w:szCs w:val="18"/>
        </w:rPr>
        <w:footnoteRef/>
      </w:r>
      <w:r>
        <w:rPr>
          <w:szCs w:val="18"/>
        </w:rPr>
        <w:t xml:space="preserve"> </w:t>
      </w:r>
      <w:r>
        <w:rPr>
          <w:szCs w:val="18"/>
        </w:rPr>
        <w:tab/>
      </w:r>
      <w:r>
        <w:rPr>
          <w:szCs w:val="18"/>
        </w:rPr>
        <w:t xml:space="preserve"> For the purpose of this sub-paragraph, “party” refers to a public official; the terms “benefit” and “obligation” relate to the procurement process or contract execution; and the “act or omission” is intended to influence the procurement process or contract execution.</w:t>
      </w:r>
    </w:p>
  </w:footnote>
  <w:footnote w:id="37">
    <w:p w14:paraId="263073C1">
      <w:pPr>
        <w:pStyle w:val="29"/>
      </w:pPr>
      <w:r>
        <w:rPr>
          <w:rStyle w:val="28"/>
        </w:rPr>
        <w:footnoteRef/>
      </w:r>
      <w:r>
        <w:t xml:space="preserve"> </w:t>
      </w:r>
      <w:r>
        <w:tab/>
      </w:r>
      <w:r>
        <w:t>For the purpose of this sub-paragraph, “parties” refers to participants in the procurement process (including public officials) attempting either themselves, or through another person or entity not participating in the procurement or selection process, to simulate competition or to establish bid prices at artificial, non-competitive levels, or are privy to each other’s bid prices or other conditions.</w:t>
      </w:r>
    </w:p>
  </w:footnote>
  <w:footnote w:id="38">
    <w:p w14:paraId="2BD57B45">
      <w:pPr>
        <w:pStyle w:val="29"/>
      </w:pPr>
      <w:r>
        <w:rPr>
          <w:rStyle w:val="28"/>
        </w:rPr>
        <w:footnoteRef/>
      </w:r>
      <w:r>
        <w:t xml:space="preserve"> </w:t>
      </w:r>
      <w:r>
        <w:tab/>
      </w:r>
      <w:r>
        <w:t>For the purpose of this sub-paragraph, “party” refers to a participant in the procurement process or contract execution.</w:t>
      </w:r>
    </w:p>
  </w:footnote>
  <w:footnote w:id="39">
    <w:p w14:paraId="37E6DCD6">
      <w:pPr>
        <w:pStyle w:val="29"/>
      </w:pPr>
      <w:r>
        <w:rPr>
          <w:rStyle w:val="28"/>
        </w:rPr>
        <w:footnoteRef/>
      </w:r>
      <w:r>
        <w:t xml:space="preserve"> </w:t>
      </w:r>
      <w:r>
        <w:tab/>
      </w:r>
      <w:r>
        <w:t>A firm or individual may be declared ineligible to be awarded a Bank financed contract upon: (i) completion of the Bank’s sanctions proceedings as per its sanctions procedures, including, inter alia, cross-debarment as agreed with other International Financial Institutions, including Multilateral Development Banks, and through the application the World Bank Group corporate administrative procurement sanctions procedures for fraud and corruption; and (ii) as a result of temporary suspension or early temporary suspension in connection with an ongoing sanctions proceeding. See footnote 14 and paragraph 8 of Appendix 1 of these Guidelines.</w:t>
      </w:r>
    </w:p>
  </w:footnote>
  <w:footnote w:id="40">
    <w:p w14:paraId="2EB2BE42">
      <w:pPr>
        <w:pStyle w:val="29"/>
      </w:pPr>
      <w:r>
        <w:rPr>
          <w:rStyle w:val="28"/>
        </w:rPr>
        <w:footnoteRef/>
      </w:r>
      <w:r>
        <w:t xml:space="preserve"> </w:t>
      </w:r>
      <w:r>
        <w:tab/>
      </w:r>
      <w:r>
        <w:t>A nominated sub-contractor, consultant, manufacturer or supplier, or service provider (different names are used depending on the particular bidding document) is one which has either been: (i) included by the bidder in its pre-qualification application or bid because it brings specific and critical experience and know-how that allow the bidder to meet the qualification requirements for the particular bid; or (ii) appointed by the Borrower.</w:t>
      </w:r>
    </w:p>
  </w:footnote>
  <w:footnote w:id="41">
    <w:p w14:paraId="1A39AC84">
      <w:pPr>
        <w:pStyle w:val="29"/>
      </w:pPr>
      <w:r>
        <w:rPr>
          <w:rStyle w:val="28"/>
        </w:rPr>
        <w:footnoteRef/>
      </w:r>
      <w:r>
        <w:t xml:space="preserve"> </w:t>
      </w:r>
      <w:r>
        <w:tab/>
      </w:r>
      <w:r>
        <w:t>In lump sum contracts, delete “Bill of Quantities” and replace with “Activity Schedule.”</w:t>
      </w:r>
    </w:p>
  </w:footnote>
  <w:footnote w:id="42">
    <w:p w14:paraId="319C02D2">
      <w:pPr>
        <w:pStyle w:val="29"/>
        <w:rPr>
          <w:i/>
        </w:rPr>
      </w:pPr>
      <w:r>
        <w:rPr>
          <w:rStyle w:val="28"/>
          <w:i/>
        </w:rPr>
        <w:t>1</w:t>
      </w:r>
      <w:r>
        <w:rPr>
          <w:i/>
        </w:rPr>
        <w:tab/>
      </w:r>
      <w:r>
        <w:rPr>
          <w:i/>
        </w:rPr>
        <w:t xml:space="preserve"> The Guarantor shall insert an amount representing the percentage of the Accepted Contract Amount specified in the Letter of Acceptance, less provisional sums, if any, and denominated either in the currency(cies) of the Contract or a freely convertible currency acceptable to the Beneficiary.</w:t>
      </w:r>
    </w:p>
  </w:footnote>
  <w:footnote w:id="43">
    <w:p w14:paraId="4924F4FA">
      <w:pPr>
        <w:pStyle w:val="29"/>
        <w:rPr>
          <w:i/>
          <w:iCs/>
        </w:rPr>
      </w:pPr>
      <w:r>
        <w:rPr>
          <w:rStyle w:val="28"/>
          <w:i/>
        </w:rPr>
        <w:t>2</w:t>
      </w:r>
      <w:r>
        <w:rPr>
          <w:i/>
        </w:rPr>
        <w:tab/>
      </w:r>
      <w:r>
        <w:rPr>
          <w:i/>
          <w:iCs/>
        </w:rPr>
        <w:t>Insert the date twenty-eight days after the expected completion date</w:t>
      </w:r>
      <w:r>
        <w:rPr>
          <w:i/>
          <w:iCs/>
          <w:sz w:val="24"/>
        </w:rPr>
        <w:t xml:space="preserve"> </w:t>
      </w:r>
      <w:r>
        <w:rPr>
          <w:i/>
          <w:iCs/>
        </w:rPr>
        <w:t>as described in GC Sub-Clause 55.1. The Employer should note that in the event of an extension of this date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Beneficiary’s written request for such extension, such request to be presented to the Guarantor before the expiry of the guarantee.”</w:t>
      </w:r>
    </w:p>
  </w:footnote>
  <w:footnote w:id="44">
    <w:p w14:paraId="086FF7C5">
      <w:pPr>
        <w:pStyle w:val="29"/>
        <w:rPr>
          <w:i/>
        </w:rPr>
      </w:pPr>
      <w:r>
        <w:rPr>
          <w:rStyle w:val="28"/>
          <w:i/>
        </w:rPr>
        <w:t>1</w:t>
      </w:r>
      <w:r>
        <w:rPr>
          <w:i/>
        </w:rPr>
        <w:tab/>
      </w:r>
      <w:r>
        <w:rPr>
          <w:i/>
        </w:rPr>
        <w:t>The Guarantor shall insert an amount representing the percentage of the Accepted Contract Amount specified in the Letter of Acceptance, less provisional sums, if any, and denominated either in the currency (cies) of the Contract or a freely convertible currency acceptable to the Beneficiary.</w:t>
      </w:r>
    </w:p>
  </w:footnote>
  <w:footnote w:id="45">
    <w:p w14:paraId="4A80F624">
      <w:pPr>
        <w:pStyle w:val="29"/>
        <w:rPr>
          <w:i/>
          <w:iCs/>
        </w:rPr>
      </w:pPr>
      <w:r>
        <w:rPr>
          <w:rStyle w:val="28"/>
          <w:i/>
        </w:rPr>
        <w:t>2</w:t>
      </w:r>
      <w:r>
        <w:rPr>
          <w:i/>
        </w:rPr>
        <w:tab/>
      </w:r>
      <w:r>
        <w:rPr>
          <w:i/>
          <w:iCs/>
        </w:rPr>
        <w:t xml:space="preserve">Insert the date twenty-eight days after the expected completion date as described in GC Clause 55.1. The Employer should note that in the event of an extension of this date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 [one year], in response to </w:t>
      </w:r>
      <w:r>
        <w:rPr>
          <w:i/>
          <w:iCs/>
          <w:sz w:val="22"/>
          <w:szCs w:val="22"/>
        </w:rPr>
        <w:t>the Beneficiary’s written request for such extension, such request to be presented to the Guarantor before the expiry of the guarantee.”</w:t>
      </w:r>
    </w:p>
  </w:footnote>
  <w:footnote w:id="46">
    <w:p w14:paraId="45767197">
      <w:pPr>
        <w:pStyle w:val="29"/>
      </w:pPr>
      <w:r>
        <w:rPr>
          <w:rStyle w:val="28"/>
        </w:rPr>
        <w:t>1</w:t>
      </w:r>
      <w:r>
        <w:tab/>
      </w:r>
      <w:r>
        <w:rPr>
          <w:i/>
        </w:rPr>
        <w:t xml:space="preserve">The Guarantor shall insert an amount representing the amount of the advance payment and denominated either in the currency(ies) of the advance payment as specified in the Contract, or in a freely convertible currency acceptable to the </w:t>
      </w:r>
      <w:r>
        <w:rPr>
          <w:i/>
          <w:iCs/>
        </w:rPr>
        <w:t>Employer</w:t>
      </w:r>
      <w:r>
        <w:rPr>
          <w:i/>
        </w:rPr>
        <w:t>.</w:t>
      </w:r>
    </w:p>
  </w:footnote>
  <w:footnote w:id="47">
    <w:p w14:paraId="6BF0879E">
      <w:pPr>
        <w:pStyle w:val="29"/>
      </w:pPr>
      <w:r>
        <w:rPr>
          <w:rStyle w:val="28"/>
        </w:rPr>
        <w:t>2</w:t>
      </w:r>
      <w:r>
        <w:t xml:space="preserve"> </w:t>
      </w:r>
      <w:r>
        <w:tab/>
      </w:r>
      <w:r>
        <w:rPr>
          <w:i/>
          <w:iCs/>
        </w:rPr>
        <w:t>Insert the expected completion date as described in GC Clause 55.1. The Employer should note that in the event of an extension of the expected completion date,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Beneficiary’s written request for such extension, such request to be presented to the Guarantor before the expiry of the guarantee.”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E1C80C">
    <w:pPr>
      <w:pStyle w:val="3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77DC7B">
    <w:pPr>
      <w:pStyle w:val="30"/>
    </w:pPr>
    <w:r>
      <w:rPr>
        <w:rStyle w:val="53"/>
        <w:rFonts w:cs="Arial"/>
      </w:rPr>
      <w:t>Section 1 - Instructions to Bidders</w:t>
    </w:r>
    <w:r>
      <w:rPr>
        <w:rStyle w:val="53"/>
        <w:rFonts w:cs="Arial"/>
      </w:rPr>
      <w:tab/>
    </w:r>
    <w:r>
      <w:rPr>
        <w:rStyle w:val="53"/>
        <w:rFonts w:cs="Arial"/>
      </w:rPr>
      <w:t>1-</w:t>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5</w:t>
    </w:r>
    <w:r>
      <w:rPr>
        <w:rStyle w:val="53"/>
        <w:rFonts w:cs="Aria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99D322">
    <w:pPr>
      <w:pStyle w:val="30"/>
    </w:pPr>
    <w:r>
      <w:rPr>
        <w:rStyle w:val="53"/>
        <w:rFonts w:cs="Arial"/>
      </w:rPr>
      <w:t>1-</w:t>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7</w:t>
    </w:r>
    <w:r>
      <w:rPr>
        <w:rStyle w:val="53"/>
        <w:rFonts w:cs="Arial"/>
      </w:rPr>
      <w:fldChar w:fldCharType="end"/>
    </w:r>
    <w:r>
      <w:rPr>
        <w:rStyle w:val="53"/>
        <w:rFonts w:cs="Arial"/>
      </w:rPr>
      <w:tab/>
    </w:r>
    <w:r>
      <w:rPr>
        <w:rStyle w:val="53"/>
        <w:rFonts w:cs="Arial"/>
      </w:rPr>
      <w:t>Section 1 - Instructions to Bidders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71D284">
    <w:pPr>
      <w:pStyle w:val="30"/>
      <w:pBdr>
        <w:bottom w:val="single" w:color="auto" w:sz="4" w:space="1"/>
      </w:pBdr>
    </w:pPr>
    <w:r>
      <w:tab/>
    </w:r>
    <w:r>
      <w:rPr>
        <w:rStyle w:val="53"/>
      </w:rPr>
      <w:fldChar w:fldCharType="begin"/>
    </w:r>
    <w:r>
      <w:rPr>
        <w:rStyle w:val="53"/>
      </w:rPr>
      <w:instrText xml:space="preserve"> PAGE </w:instrText>
    </w:r>
    <w:r>
      <w:rPr>
        <w:rStyle w:val="53"/>
      </w:rPr>
      <w:fldChar w:fldCharType="separate"/>
    </w:r>
    <w:r>
      <w:rPr>
        <w:rStyle w:val="53"/>
      </w:rPr>
      <w:t>iii</w:t>
    </w:r>
    <w:r>
      <w:rPr>
        <w:rStyle w:val="53"/>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EC2113">
    <w:pPr>
      <w:pStyle w:val="30"/>
      <w:pBdr>
        <w:bottom w:val="single" w:color="auto" w:sz="4" w:space="1"/>
      </w:pBdr>
    </w:pPr>
    <w:r>
      <w:tab/>
    </w:r>
    <w:r>
      <w:rPr>
        <w:rStyle w:val="53"/>
      </w:rPr>
      <w:fldChar w:fldCharType="begin"/>
    </w:r>
    <w:r>
      <w:rPr>
        <w:rStyle w:val="53"/>
      </w:rPr>
      <w:instrText xml:space="preserve"> PAGE </w:instrText>
    </w:r>
    <w:r>
      <w:rPr>
        <w:rStyle w:val="53"/>
      </w:rPr>
      <w:fldChar w:fldCharType="separate"/>
    </w:r>
    <w:r>
      <w:rPr>
        <w:rStyle w:val="53"/>
      </w:rPr>
      <w:t>1</w:t>
    </w:r>
    <w:r>
      <w:rPr>
        <w:rStyle w:val="53"/>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B8EB4E">
    <w:pPr>
      <w:pStyle w:val="30"/>
      <w:tabs>
        <w:tab w:val="left" w:pos="3250"/>
      </w:tabs>
    </w:pPr>
    <w:r>
      <w:rPr>
        <w:rStyle w:val="53"/>
        <w:rFonts w:cs="Arial"/>
      </w:rPr>
      <w:t>Section I - Instructions to Bidders</w:t>
    </w:r>
    <w:r>
      <w:rPr>
        <w:rStyle w:val="53"/>
        <w:rFonts w:cs="Arial"/>
      </w:rPr>
      <w:tab/>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26</w:t>
    </w:r>
    <w:r>
      <w:rPr>
        <w:rStyle w:val="53"/>
        <w:rFonts w:cs="Aria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372745">
    <w:pPr>
      <w:pStyle w:val="30"/>
    </w:pP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26</w:t>
    </w:r>
    <w:r>
      <w:rPr>
        <w:rStyle w:val="53"/>
        <w:rFonts w:cs="Arial"/>
      </w:rPr>
      <w:fldChar w:fldCharType="end"/>
    </w:r>
    <w:r>
      <w:rPr>
        <w:rStyle w:val="53"/>
        <w:rFonts w:cs="Arial"/>
      </w:rPr>
      <w:tab/>
    </w:r>
    <w:r>
      <w:rPr>
        <w:rStyle w:val="53"/>
        <w:rFonts w:cs="Arial"/>
      </w:rPr>
      <w:t>Section I - Instructions to Bidders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A198A6">
    <w:pPr>
      <w:pStyle w:val="30"/>
      <w:pBdr>
        <w:bottom w:val="single" w:color="auto" w:sz="4" w:space="1"/>
      </w:pBdr>
    </w:pPr>
    <w:r>
      <w:tab/>
    </w:r>
    <w:r>
      <w:rPr>
        <w:rStyle w:val="53"/>
      </w:rPr>
      <w:fldChar w:fldCharType="begin"/>
    </w:r>
    <w:r>
      <w:rPr>
        <w:rStyle w:val="53"/>
      </w:rPr>
      <w:instrText xml:space="preserve"> PAGE </w:instrText>
    </w:r>
    <w:r>
      <w:rPr>
        <w:rStyle w:val="53"/>
      </w:rPr>
      <w:fldChar w:fldCharType="separate"/>
    </w:r>
    <w:r>
      <w:rPr>
        <w:rStyle w:val="53"/>
      </w:rPr>
      <w:t>33</w:t>
    </w:r>
    <w:r>
      <w:rPr>
        <w:rStyle w:val="53"/>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A444D6">
    <w:pPr>
      <w:pStyle w:val="30"/>
    </w:pPr>
    <w:r>
      <w:rPr>
        <w:rStyle w:val="53"/>
        <w:rFonts w:cs="Arial"/>
      </w:rPr>
      <w:t>Section II - Bid Data Sheet</w:t>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29</w:t>
    </w:r>
    <w:r>
      <w:rPr>
        <w:rStyle w:val="53"/>
        <w:rFonts w:cs="Aria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1247FA">
    <w:pPr>
      <w:pStyle w:val="30"/>
    </w:pP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30</w:t>
    </w:r>
    <w:r>
      <w:rPr>
        <w:rStyle w:val="53"/>
        <w:rFonts w:cs="Arial"/>
      </w:rPr>
      <w:fldChar w:fldCharType="end"/>
    </w:r>
    <w:r>
      <w:rPr>
        <w:rStyle w:val="53"/>
        <w:rFonts w:cs="Arial"/>
      </w:rPr>
      <w:tab/>
    </w:r>
    <w:r>
      <w:rPr>
        <w:rStyle w:val="53"/>
        <w:rFonts w:cs="Arial"/>
      </w:rPr>
      <w:t>Section II - Bid Data Sheet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9F0CE2">
    <w:pPr>
      <w:pStyle w:val="30"/>
      <w:rPr>
        <w:sz w:val="24"/>
      </w:rPr>
    </w:pPr>
    <w:r>
      <w:rPr>
        <w:rStyle w:val="53"/>
        <w:rFonts w:cs="Arial"/>
      </w:rPr>
      <w:t>Section III - Evaluation and Qualification Criteria</w:t>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35</w:t>
    </w:r>
    <w:r>
      <w:rPr>
        <w:rStyle w:val="53"/>
        <w:rFonts w:cs="Arial"/>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07F757">
    <w:pPr>
      <w:pStyle w:val="30"/>
    </w:pP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38</w:t>
    </w:r>
    <w:r>
      <w:rPr>
        <w:rStyle w:val="53"/>
        <w:rFonts w:cs="Arial"/>
      </w:rPr>
      <w:fldChar w:fldCharType="end"/>
    </w:r>
    <w:r>
      <w:rPr>
        <w:rStyle w:val="53"/>
        <w:rFonts w:cs="Arial"/>
      </w:rPr>
      <w:tab/>
    </w:r>
    <w:r>
      <w:rPr>
        <w:rStyle w:val="53"/>
        <w:rFonts w:cs="Arial"/>
      </w:rPr>
      <w:t>Section III - Evaluation and Qualification Criteria</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A5C910">
    <w:pPr>
      <w:pStyle w:val="30"/>
      <w:tabs>
        <w:tab w:val="right" w:pos="12960"/>
        <w:tab w:val="clear" w:pos="9000"/>
      </w:tabs>
    </w:pPr>
    <w:r>
      <w:rPr>
        <w:rStyle w:val="53"/>
        <w:rFonts w:cs="Arial"/>
      </w:rPr>
      <w:t>Section III - Evaluation and Qualification Criteria</w:t>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43</w:t>
    </w:r>
    <w:r>
      <w:rPr>
        <w:rStyle w:val="53"/>
        <w:rFonts w:cs="Arial"/>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DD80FD">
    <w:pPr>
      <w:pStyle w:val="30"/>
      <w:tabs>
        <w:tab w:val="right" w:pos="12960"/>
        <w:tab w:val="clear" w:pos="9000"/>
      </w:tabs>
    </w:pP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50</w:t>
    </w:r>
    <w:r>
      <w:rPr>
        <w:rStyle w:val="53"/>
        <w:rFonts w:cs="Arial"/>
      </w:rPr>
      <w:fldChar w:fldCharType="end"/>
    </w:r>
    <w:r>
      <w:rPr>
        <w:rStyle w:val="53"/>
        <w:rFonts w:cs="Arial"/>
      </w:rPr>
      <w:tab/>
    </w:r>
    <w:r>
      <w:rPr>
        <w:rStyle w:val="53"/>
        <w:rFonts w:cs="Arial"/>
      </w:rPr>
      <w:t>Section III - Evaluation and Qualification Criteria</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F3D71A">
    <w:pPr>
      <w:pStyle w:val="30"/>
      <w:tabs>
        <w:tab w:val="left" w:pos="12552"/>
        <w:tab w:val="right" w:pos="12960"/>
      </w:tabs>
    </w:pPr>
    <w:r>
      <w:rPr>
        <w:rStyle w:val="53"/>
        <w:rFonts w:cs="Arial"/>
      </w:rPr>
      <w:t>Section III - Evaluation and Qualification Criteria</w:t>
    </w:r>
    <w:r>
      <w:rPr>
        <w:rStyle w:val="53"/>
        <w:rFonts w:cs="Arial"/>
      </w:rPr>
      <w:tab/>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45</w:t>
    </w:r>
    <w:r>
      <w:rPr>
        <w:rStyle w:val="53"/>
        <w:rFonts w:cs="Arial"/>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460494">
    <w:pPr>
      <w:pStyle w:val="30"/>
      <w:tabs>
        <w:tab w:val="right" w:pos="12960"/>
      </w:tabs>
    </w:pP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52</w:t>
    </w:r>
    <w:r>
      <w:rPr>
        <w:rStyle w:val="53"/>
        <w:rFonts w:cs="Arial"/>
      </w:rPr>
      <w:fldChar w:fldCharType="end"/>
    </w:r>
    <w:r>
      <w:rPr>
        <w:rStyle w:val="53"/>
        <w:rFonts w:cs="Arial"/>
      </w:rPr>
      <w:tab/>
    </w:r>
    <w:r>
      <w:rPr>
        <w:rStyle w:val="53"/>
        <w:rFonts w:cs="Arial"/>
      </w:rPr>
      <w:t>Section 3 - Evaluation and Qualification Criteria</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793FE4">
    <w:pPr>
      <w:pStyle w:val="30"/>
      <w:pBdr>
        <w:bottom w:val="single" w:color="auto" w:sz="4" w:space="1"/>
      </w:pBdr>
    </w:pPr>
    <w:r>
      <w:tab/>
    </w:r>
    <w:r>
      <w:rPr>
        <w:rStyle w:val="53"/>
      </w:rPr>
      <w:fldChar w:fldCharType="begin"/>
    </w:r>
    <w:r>
      <w:rPr>
        <w:rStyle w:val="53"/>
      </w:rPr>
      <w:instrText xml:space="preserve"> PAGE </w:instrText>
    </w:r>
    <w:r>
      <w:rPr>
        <w:rStyle w:val="53"/>
      </w:rPr>
      <w:fldChar w:fldCharType="separate"/>
    </w:r>
    <w:r>
      <w:rPr>
        <w:rStyle w:val="53"/>
      </w:rPr>
      <w:t>52</w:t>
    </w:r>
    <w:r>
      <w:rPr>
        <w:rStyle w:val="53"/>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2BAEE6">
    <w:pPr>
      <w:pStyle w:val="30"/>
      <w:pBdr>
        <w:bottom w:val="single" w:color="auto" w:sz="4" w:space="1"/>
      </w:pBdr>
      <w:tabs>
        <w:tab w:val="right" w:pos="9360"/>
        <w:tab w:val="right" w:pos="12960"/>
      </w:tabs>
      <w:rPr>
        <w:rFonts w:ascii="Times New Roman" w:hAnsi="Times New Roman"/>
      </w:rPr>
    </w:pPr>
    <w:r>
      <w:rPr>
        <w:rFonts w:ascii="Times New Roman" w:hAnsi="Times New Roman"/>
      </w:rPr>
      <w:t>S</w:t>
    </w:r>
    <w:r>
      <w:rPr>
        <w:rStyle w:val="177"/>
        <w:rFonts w:ascii="Times New Roman" w:hAnsi="Times New Roman"/>
      </w:rPr>
      <w:t>ection IV. Bidding Forms</w:t>
    </w:r>
    <w:r>
      <w:rPr>
        <w:rFonts w:ascii="Times New Roman" w:hAnsi="Times New Roman"/>
      </w:rPr>
      <w:tab/>
    </w:r>
    <w:r>
      <w:rPr>
        <w:rStyle w:val="53"/>
      </w:rPr>
      <w:fldChar w:fldCharType="begin"/>
    </w:r>
    <w:r>
      <w:rPr>
        <w:rStyle w:val="53"/>
      </w:rPr>
      <w:instrText xml:space="preserve"> PAGE </w:instrText>
    </w:r>
    <w:r>
      <w:rPr>
        <w:rStyle w:val="53"/>
      </w:rPr>
      <w:fldChar w:fldCharType="separate"/>
    </w:r>
    <w:r>
      <w:rPr>
        <w:rStyle w:val="53"/>
      </w:rPr>
      <w:t>57</w:t>
    </w:r>
    <w:r>
      <w:rPr>
        <w:rStyle w:val="53"/>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7DB6DD">
    <w:pPr>
      <w:pStyle w:val="178"/>
      <w:pBdr>
        <w:bottom w:val="single" w:color="auto" w:sz="4" w:space="1"/>
      </w:pBdr>
      <w:tabs>
        <w:tab w:val="right" w:pos="9360"/>
        <w:tab w:val="right" w:pos="12960"/>
      </w:tabs>
      <w:spacing w:before="0" w:after="0"/>
      <w:jc w:val="left"/>
      <w:rPr>
        <w:b w:val="0"/>
        <w:bCs w:val="0"/>
        <w:spacing w:val="-2"/>
        <w:sz w:val="20"/>
        <w:szCs w:val="20"/>
      </w:rPr>
    </w:pPr>
    <w:r>
      <w:rPr>
        <w:rStyle w:val="53"/>
        <w:b w:val="0"/>
        <w:bCs w:val="0"/>
        <w:spacing w:val="-2"/>
        <w:szCs w:val="20"/>
      </w:rPr>
      <w:fldChar w:fldCharType="begin"/>
    </w:r>
    <w:r>
      <w:rPr>
        <w:rStyle w:val="53"/>
        <w:b w:val="0"/>
        <w:bCs w:val="0"/>
        <w:spacing w:val="-2"/>
        <w:szCs w:val="20"/>
      </w:rPr>
      <w:instrText xml:space="preserve"> PAGE </w:instrText>
    </w:r>
    <w:r>
      <w:rPr>
        <w:rStyle w:val="53"/>
        <w:b w:val="0"/>
        <w:bCs w:val="0"/>
        <w:spacing w:val="-2"/>
        <w:szCs w:val="20"/>
      </w:rPr>
      <w:fldChar w:fldCharType="separate"/>
    </w:r>
    <w:r>
      <w:rPr>
        <w:rStyle w:val="53"/>
        <w:b w:val="0"/>
        <w:bCs w:val="0"/>
        <w:spacing w:val="-2"/>
        <w:szCs w:val="20"/>
      </w:rPr>
      <w:t>82</w:t>
    </w:r>
    <w:r>
      <w:rPr>
        <w:rStyle w:val="53"/>
        <w:b w:val="0"/>
        <w:bCs w:val="0"/>
        <w:spacing w:val="-2"/>
        <w:szCs w:val="20"/>
      </w:rPr>
      <w:fldChar w:fldCharType="end"/>
    </w:r>
    <w:r>
      <w:rPr>
        <w:rStyle w:val="53"/>
        <w:b w:val="0"/>
        <w:bCs w:val="0"/>
        <w:spacing w:val="-2"/>
        <w:szCs w:val="20"/>
      </w:rPr>
      <w:tab/>
    </w:r>
    <w:r>
      <w:rPr>
        <w:rStyle w:val="177"/>
        <w:rFonts w:ascii="Times New Roman" w:hAnsi="Times New Roman"/>
        <w:b w:val="0"/>
        <w:sz w:val="20"/>
        <w:szCs w:val="20"/>
      </w:rPr>
      <w:t>Section IV. Bidding Forms</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A6A8F6">
    <w:pPr>
      <w:pStyle w:val="30"/>
      <w:tabs>
        <w:tab w:val="right" w:pos="9666"/>
        <w:tab w:val="clear" w:pos="9000"/>
      </w:tabs>
    </w:pPr>
    <w:r>
      <w:rPr>
        <w:rStyle w:val="53"/>
      </w:rPr>
      <w:t xml:space="preserve">Section </w:t>
    </w:r>
    <w:r>
      <w:rPr>
        <w:rStyle w:val="53"/>
        <w:lang w:val="en-US"/>
      </w:rPr>
      <w:t>VI. -</w:t>
    </w:r>
    <w:r>
      <w:rPr>
        <w:rFonts w:ascii="Times New Roman" w:hAnsi="Times New Roman"/>
      </w:rPr>
      <w:t xml:space="preserve"> Bank Policy - Corrupt and Fraudulent Practices</w:t>
    </w:r>
    <w:r>
      <w:rPr>
        <w:rStyle w:val="53"/>
        <w:rFonts w:cs="Arial"/>
        <w:sz w:val="16"/>
      </w:rPr>
      <w:tab/>
    </w:r>
    <w:r>
      <w:rPr>
        <w:rStyle w:val="53"/>
        <w:rFonts w:cs="Arial"/>
        <w:sz w:val="16"/>
      </w:rPr>
      <w:fldChar w:fldCharType="begin"/>
    </w:r>
    <w:r>
      <w:rPr>
        <w:rStyle w:val="53"/>
        <w:rFonts w:cs="Arial"/>
        <w:sz w:val="16"/>
      </w:rPr>
      <w:instrText xml:space="preserve"> PAGE </w:instrText>
    </w:r>
    <w:r>
      <w:rPr>
        <w:rStyle w:val="53"/>
        <w:rFonts w:cs="Arial"/>
        <w:sz w:val="16"/>
      </w:rPr>
      <w:fldChar w:fldCharType="separate"/>
    </w:r>
    <w:r>
      <w:rPr>
        <w:rStyle w:val="53"/>
        <w:rFonts w:cs="Arial"/>
        <w:sz w:val="16"/>
      </w:rPr>
      <w:t>110</w:t>
    </w:r>
    <w:r>
      <w:rPr>
        <w:rStyle w:val="53"/>
        <w:rFonts w:cs="Arial"/>
        <w:sz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36A951">
    <w:pPr>
      <w:pStyle w:val="30"/>
      <w:tabs>
        <w:tab w:val="right" w:pos="9657"/>
        <w:tab w:val="clear" w:pos="9000"/>
      </w:tabs>
      <w:jc w:val="left"/>
    </w:pP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86</w:t>
    </w:r>
    <w:r>
      <w:rPr>
        <w:rStyle w:val="53"/>
        <w:rFonts w:cs="Arial"/>
      </w:rPr>
      <w:fldChar w:fldCharType="end"/>
    </w:r>
    <w:r>
      <w:tab/>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9BE864">
    <w:pPr>
      <w:pStyle w:val="30"/>
      <w:pBdr>
        <w:bottom w:val="single" w:color="auto" w:sz="4" w:space="1"/>
      </w:pBdr>
    </w:pPr>
    <w:r>
      <w:rPr>
        <w:rStyle w:val="53"/>
        <w:rFonts w:cs="Arial"/>
        <w:sz w:val="16"/>
      </w:rPr>
      <w:t>Section 5 - Eligible Countries</w:t>
    </w:r>
    <w:r>
      <w:tab/>
    </w:r>
    <w:r>
      <w:rPr>
        <w:rStyle w:val="53"/>
      </w:rPr>
      <w:fldChar w:fldCharType="begin"/>
    </w:r>
    <w:r>
      <w:rPr>
        <w:rStyle w:val="53"/>
      </w:rPr>
      <w:instrText xml:space="preserve"> PAGE </w:instrText>
    </w:r>
    <w:r>
      <w:rPr>
        <w:rStyle w:val="53"/>
      </w:rPr>
      <w:fldChar w:fldCharType="separate"/>
    </w:r>
    <w:r>
      <w:rPr>
        <w:rStyle w:val="53"/>
      </w:rPr>
      <w:t>103</w:t>
    </w:r>
    <w:r>
      <w:rPr>
        <w:rStyle w:val="53"/>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2636BD">
    <w:pPr>
      <w:pStyle w:val="30"/>
      <w:pBdr>
        <w:bottom w:val="single" w:color="auto" w:sz="4" w:space="1"/>
      </w:pBdr>
    </w:pPr>
    <w:r>
      <w:rPr>
        <w:rStyle w:val="53"/>
      </w:rPr>
      <w:t xml:space="preserve">Section </w:t>
    </w:r>
    <w:r>
      <w:rPr>
        <w:rStyle w:val="53"/>
        <w:lang w:val="en-US"/>
      </w:rPr>
      <w:t>VI. -</w:t>
    </w:r>
    <w:r>
      <w:rPr>
        <w:rFonts w:ascii="Times New Roman" w:hAnsi="Times New Roman"/>
      </w:rPr>
      <w:t xml:space="preserve"> Bank Policy - Corrupt and Fraudulent Practices</w:t>
    </w:r>
    <w:r>
      <w:tab/>
    </w:r>
    <w:r>
      <w:rPr>
        <w:rStyle w:val="53"/>
      </w:rPr>
      <w:fldChar w:fldCharType="begin"/>
    </w:r>
    <w:r>
      <w:rPr>
        <w:rStyle w:val="53"/>
      </w:rPr>
      <w:instrText xml:space="preserve"> PAGE </w:instrText>
    </w:r>
    <w:r>
      <w:rPr>
        <w:rStyle w:val="53"/>
      </w:rPr>
      <w:fldChar w:fldCharType="separate"/>
    </w:r>
    <w:r>
      <w:rPr>
        <w:rStyle w:val="53"/>
      </w:rPr>
      <w:t>104</w:t>
    </w:r>
    <w:r>
      <w:rPr>
        <w:rStyle w:val="53"/>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2AF420">
    <w:pPr>
      <w:pStyle w:val="30"/>
      <w:pBdr>
        <w:bottom w:val="single" w:color="auto" w:sz="4" w:space="1"/>
      </w:pBdr>
    </w:pPr>
    <w:r>
      <w:rPr>
        <w:rStyle w:val="53"/>
        <w:rFonts w:cs="Arial"/>
      </w:rPr>
      <w:t xml:space="preserve">Section </w:t>
    </w:r>
    <w:r>
      <w:rPr>
        <w:rStyle w:val="53"/>
        <w:rFonts w:cs="Arial"/>
        <w:lang w:val="en-US"/>
      </w:rPr>
      <w:t>VII</w:t>
    </w:r>
    <w:r>
      <w:rPr>
        <w:rStyle w:val="53"/>
        <w:rFonts w:cs="Arial"/>
      </w:rPr>
      <w:t xml:space="preserve"> –</w:t>
    </w:r>
    <w:r>
      <w:rPr>
        <w:rStyle w:val="53"/>
        <w:rFonts w:cs="Arial"/>
        <w:lang w:val="en-US"/>
      </w:rPr>
      <w:t xml:space="preserve"> Works </w:t>
    </w:r>
    <w:r>
      <w:rPr>
        <w:rStyle w:val="53"/>
        <w:rFonts w:cs="Arial"/>
      </w:rPr>
      <w:t>Requirements</w:t>
    </w:r>
    <w:r>
      <w:tab/>
    </w:r>
    <w:r>
      <w:rPr>
        <w:rStyle w:val="53"/>
      </w:rPr>
      <w:fldChar w:fldCharType="begin"/>
    </w:r>
    <w:r>
      <w:rPr>
        <w:rStyle w:val="53"/>
      </w:rPr>
      <w:instrText xml:space="preserve"> PAGE </w:instrText>
    </w:r>
    <w:r>
      <w:rPr>
        <w:rStyle w:val="53"/>
      </w:rPr>
      <w:fldChar w:fldCharType="separate"/>
    </w:r>
    <w:r>
      <w:rPr>
        <w:rStyle w:val="53"/>
      </w:rPr>
      <w:t>109</w:t>
    </w:r>
    <w:r>
      <w:rPr>
        <w:rStyle w:val="53"/>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8965F0">
    <w:pPr>
      <w:pStyle w:val="30"/>
    </w:pPr>
    <w:r>
      <w:rPr>
        <w:rStyle w:val="53"/>
        <w:rFonts w:cs="Arial"/>
      </w:rPr>
      <w:t xml:space="preserve">Section </w:t>
    </w:r>
    <w:r>
      <w:rPr>
        <w:rStyle w:val="53"/>
        <w:rFonts w:cs="Arial"/>
        <w:lang w:val="en-US"/>
      </w:rPr>
      <w:t>VIII – General Conditions of Contract</w:t>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163</w:t>
    </w:r>
    <w:r>
      <w:rPr>
        <w:rStyle w:val="53"/>
        <w:rFonts w:cs="Arial"/>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3B0DB1">
    <w:pPr>
      <w:pStyle w:val="30"/>
      <w:pBdr>
        <w:bottom w:val="single" w:color="auto" w:sz="4" w:space="1"/>
      </w:pBdr>
    </w:pPr>
    <w:r>
      <w:rPr>
        <w:rStyle w:val="53"/>
        <w:rFonts w:cs="Arial"/>
      </w:rPr>
      <w:t xml:space="preserve">Section </w:t>
    </w:r>
    <w:r>
      <w:rPr>
        <w:rStyle w:val="53"/>
        <w:rFonts w:cs="Arial"/>
        <w:lang w:val="en-US"/>
      </w:rPr>
      <w:t>VIII – General Conditions of Contract</w:t>
    </w:r>
    <w:r>
      <w:tab/>
    </w:r>
    <w:r>
      <w:rPr>
        <w:rStyle w:val="53"/>
      </w:rPr>
      <w:fldChar w:fldCharType="begin"/>
    </w:r>
    <w:r>
      <w:rPr>
        <w:rStyle w:val="53"/>
      </w:rPr>
      <w:instrText xml:space="preserve"> PAGE </w:instrText>
    </w:r>
    <w:r>
      <w:rPr>
        <w:rStyle w:val="53"/>
      </w:rPr>
      <w:fldChar w:fldCharType="separate"/>
    </w:r>
    <w:r>
      <w:rPr>
        <w:rStyle w:val="53"/>
      </w:rPr>
      <w:t>118</w:t>
    </w:r>
    <w:r>
      <w:rPr>
        <w:rStyle w:val="53"/>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6FF2C1">
    <w:pPr>
      <w:pStyle w:val="30"/>
    </w:pPr>
    <w:r>
      <w:rPr>
        <w:rStyle w:val="53"/>
        <w:rFonts w:cs="Arial"/>
      </w:rPr>
      <w:t xml:space="preserve">Section </w:t>
    </w:r>
    <w:r>
      <w:rPr>
        <w:rStyle w:val="53"/>
        <w:rFonts w:cs="Arial"/>
        <w:lang w:val="en-US"/>
      </w:rPr>
      <w:t>IX</w:t>
    </w:r>
    <w:r>
      <w:rPr>
        <w:rStyle w:val="53"/>
        <w:rFonts w:cs="Arial"/>
      </w:rPr>
      <w:t xml:space="preserve"> – </w:t>
    </w:r>
    <w:r>
      <w:rPr>
        <w:rStyle w:val="53"/>
        <w:rFonts w:cs="Arial"/>
        <w:lang w:val="en-US"/>
      </w:rPr>
      <w:t xml:space="preserve">Particular </w:t>
    </w:r>
    <w:r>
      <w:rPr>
        <w:rStyle w:val="53"/>
        <w:rFonts w:cs="Arial"/>
      </w:rPr>
      <w:t>Conditions of Contract</w:t>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168</w:t>
    </w:r>
    <w:r>
      <w:rPr>
        <w:rStyle w:val="53"/>
        <w:rFonts w:cs="Arial"/>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46D00A">
    <w:pPr>
      <w:pStyle w:val="30"/>
    </w:pPr>
    <w:r>
      <w:rPr>
        <w:rStyle w:val="53"/>
        <w:rFonts w:cs="Arial"/>
      </w:rPr>
      <w:t>3-</w:t>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36</w:t>
    </w:r>
    <w:r>
      <w:rPr>
        <w:rStyle w:val="53"/>
        <w:rFonts w:cs="Arial"/>
      </w:rPr>
      <w:fldChar w:fldCharType="end"/>
    </w:r>
    <w:r>
      <w:rPr>
        <w:rStyle w:val="53"/>
        <w:rFonts w:cs="Arial"/>
      </w:rPr>
      <w:tab/>
    </w:r>
    <w:r>
      <w:rPr>
        <w:rStyle w:val="53"/>
        <w:rFonts w:cs="Arial"/>
      </w:rPr>
      <w:t xml:space="preserve">Section </w:t>
    </w:r>
    <w:r>
      <w:rPr>
        <w:rStyle w:val="53"/>
        <w:rFonts w:cs="Arial"/>
        <w:lang w:val="en-US"/>
      </w:rPr>
      <w:t>IX - Particular</w:t>
    </w:r>
    <w:r>
      <w:rPr>
        <w:rStyle w:val="53"/>
        <w:rFonts w:cs="Arial"/>
      </w:rPr>
      <w:t xml:space="preserve"> Conditions of Contract</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1130B2">
    <w:pPr>
      <w:pStyle w:val="30"/>
      <w:pBdr>
        <w:bottom w:val="single" w:color="auto" w:sz="4" w:space="1"/>
      </w:pBdr>
    </w:pPr>
    <w:r>
      <w:rPr>
        <w:rStyle w:val="53"/>
        <w:rFonts w:cs="Arial"/>
      </w:rPr>
      <w:t xml:space="preserve">Section </w:t>
    </w:r>
    <w:r>
      <w:rPr>
        <w:rStyle w:val="53"/>
        <w:rFonts w:cs="Arial"/>
        <w:lang w:val="en-US"/>
      </w:rPr>
      <w:t>IX</w:t>
    </w:r>
    <w:r>
      <w:rPr>
        <w:rStyle w:val="53"/>
        <w:rFonts w:cs="Arial"/>
      </w:rPr>
      <w:t xml:space="preserve"> – </w:t>
    </w:r>
    <w:r>
      <w:rPr>
        <w:rStyle w:val="53"/>
        <w:rFonts w:cs="Arial"/>
        <w:lang w:val="en-US"/>
      </w:rPr>
      <w:t xml:space="preserve">Particular </w:t>
    </w:r>
    <w:r>
      <w:rPr>
        <w:rStyle w:val="53"/>
        <w:rFonts w:cs="Arial"/>
      </w:rPr>
      <w:t>Conditions of Contract</w:t>
    </w:r>
    <w:r>
      <w:tab/>
    </w:r>
    <w:r>
      <w:rPr>
        <w:rStyle w:val="53"/>
      </w:rPr>
      <w:fldChar w:fldCharType="begin"/>
    </w:r>
    <w:r>
      <w:rPr>
        <w:rStyle w:val="53"/>
      </w:rPr>
      <w:instrText xml:space="preserve"> PAGE </w:instrText>
    </w:r>
    <w:r>
      <w:rPr>
        <w:rStyle w:val="53"/>
      </w:rPr>
      <w:fldChar w:fldCharType="separate"/>
    </w:r>
    <w:r>
      <w:rPr>
        <w:rStyle w:val="53"/>
      </w:rPr>
      <w:t>164</w:t>
    </w:r>
    <w:r>
      <w:rPr>
        <w:rStyle w:val="53"/>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D6EAAA">
    <w:pPr>
      <w:pStyle w:val="30"/>
    </w:pPr>
    <w:r>
      <w:rPr>
        <w:rStyle w:val="53"/>
        <w:rFonts w:cs="Arial"/>
      </w:rPr>
      <w:t>Section X - Contract Forms</w:t>
    </w:r>
    <w:r>
      <w:rPr>
        <w:rStyle w:val="53"/>
        <w:rFonts w:cs="Arial"/>
      </w:rPr>
      <w:tab/>
    </w:r>
    <w:r>
      <w:rPr>
        <w:rStyle w:val="53"/>
        <w:rFonts w:cs="Arial"/>
      </w:rPr>
      <w:fldChar w:fldCharType="begin"/>
    </w:r>
    <w:r>
      <w:rPr>
        <w:rStyle w:val="53"/>
        <w:rFonts w:cs="Arial"/>
      </w:rPr>
      <w:instrText xml:space="preserve"> PAGE </w:instrText>
    </w:r>
    <w:r>
      <w:rPr>
        <w:rStyle w:val="53"/>
        <w:rFonts w:cs="Arial"/>
      </w:rPr>
      <w:fldChar w:fldCharType="separate"/>
    </w:r>
    <w:r>
      <w:rPr>
        <w:rStyle w:val="53"/>
        <w:rFonts w:cs="Arial"/>
      </w:rPr>
      <w:t>183</w:t>
    </w:r>
    <w:r>
      <w:rPr>
        <w:rStyle w:val="53"/>
        <w:rFonts w:cs="Arial"/>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84E25B">
    <w:pPr>
      <w:pStyle w:val="30"/>
      <w:pBdr>
        <w:bottom w:val="single" w:color="auto" w:sz="4" w:space="1"/>
      </w:pBdr>
    </w:pPr>
    <w:r>
      <w:rPr>
        <w:rStyle w:val="53"/>
        <w:rFonts w:cs="Arial"/>
      </w:rPr>
      <w:t>Section X - Contract Forms</w:t>
    </w:r>
    <w:r>
      <w:tab/>
    </w:r>
    <w:r>
      <w:rPr>
        <w:rStyle w:val="53"/>
      </w:rPr>
      <w:fldChar w:fldCharType="begin"/>
    </w:r>
    <w:r>
      <w:rPr>
        <w:rStyle w:val="53"/>
      </w:rPr>
      <w:instrText xml:space="preserve"> PAGE </w:instrText>
    </w:r>
    <w:r>
      <w:rPr>
        <w:rStyle w:val="53"/>
      </w:rPr>
      <w:fldChar w:fldCharType="separate"/>
    </w:r>
    <w:r>
      <w:rPr>
        <w:rStyle w:val="53"/>
      </w:rPr>
      <w:t>169</w:t>
    </w:r>
    <w:r>
      <w:rPr>
        <w:rStyle w:val="53"/>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F4C81E6"/>
    <w:multiLevelType w:val="singleLevel"/>
    <w:tmpl w:val="DF4C81E6"/>
    <w:lvl w:ilvl="0" w:tentative="0">
      <w:start w:val="16"/>
      <w:numFmt w:val="upperLetter"/>
      <w:lvlText w:val="%1."/>
      <w:lvlJc w:val="left"/>
      <w:pPr>
        <w:tabs>
          <w:tab w:val="left" w:pos="312"/>
        </w:tabs>
      </w:pPr>
    </w:lvl>
  </w:abstractNum>
  <w:abstractNum w:abstractNumId="1">
    <w:nsid w:val="FFFFFF7C"/>
    <w:multiLevelType w:val="singleLevel"/>
    <w:tmpl w:val="FFFFFF7C"/>
    <w:lvl w:ilvl="0" w:tentative="0">
      <w:start w:val="1"/>
      <w:numFmt w:val="decimal"/>
      <w:pStyle w:val="48"/>
      <w:lvlText w:val="%1."/>
      <w:lvlJc w:val="left"/>
      <w:pPr>
        <w:tabs>
          <w:tab w:val="left" w:pos="1800"/>
        </w:tabs>
        <w:ind w:left="1800" w:hanging="360"/>
      </w:pPr>
    </w:lvl>
  </w:abstractNum>
  <w:abstractNum w:abstractNumId="2">
    <w:nsid w:val="FFFFFF7D"/>
    <w:multiLevelType w:val="singleLevel"/>
    <w:tmpl w:val="FFFFFF7D"/>
    <w:lvl w:ilvl="0" w:tentative="0">
      <w:start w:val="1"/>
      <w:numFmt w:val="decimal"/>
      <w:pStyle w:val="47"/>
      <w:lvlText w:val="%1."/>
      <w:lvlJc w:val="left"/>
      <w:pPr>
        <w:tabs>
          <w:tab w:val="left" w:pos="1440"/>
        </w:tabs>
        <w:ind w:left="1440" w:hanging="360"/>
      </w:pPr>
    </w:lvl>
  </w:abstractNum>
  <w:abstractNum w:abstractNumId="3">
    <w:nsid w:val="FFFFFF7E"/>
    <w:multiLevelType w:val="singleLevel"/>
    <w:tmpl w:val="FFFFFF7E"/>
    <w:lvl w:ilvl="0" w:tentative="0">
      <w:start w:val="1"/>
      <w:numFmt w:val="decimal"/>
      <w:pStyle w:val="46"/>
      <w:lvlText w:val="%1."/>
      <w:lvlJc w:val="left"/>
      <w:pPr>
        <w:tabs>
          <w:tab w:val="left" w:pos="1080"/>
        </w:tabs>
        <w:ind w:left="1080" w:hanging="360"/>
      </w:pPr>
    </w:lvl>
  </w:abstractNum>
  <w:abstractNum w:abstractNumId="4">
    <w:nsid w:val="FFFFFF7F"/>
    <w:multiLevelType w:val="singleLevel"/>
    <w:tmpl w:val="FFFFFF7F"/>
    <w:lvl w:ilvl="0" w:tentative="0">
      <w:start w:val="1"/>
      <w:numFmt w:val="decimal"/>
      <w:pStyle w:val="45"/>
      <w:lvlText w:val="%1."/>
      <w:lvlJc w:val="left"/>
      <w:pPr>
        <w:tabs>
          <w:tab w:val="left" w:pos="720"/>
        </w:tabs>
        <w:ind w:left="720" w:hanging="360"/>
      </w:pPr>
    </w:lvl>
  </w:abstractNum>
  <w:abstractNum w:abstractNumId="5">
    <w:nsid w:val="FFFFFF80"/>
    <w:multiLevelType w:val="singleLevel"/>
    <w:tmpl w:val="FFFFFF80"/>
    <w:lvl w:ilvl="0" w:tentative="0">
      <w:start w:val="1"/>
      <w:numFmt w:val="bullet"/>
      <w:pStyle w:val="41"/>
      <w:lvlText w:val=""/>
      <w:lvlJc w:val="left"/>
      <w:pPr>
        <w:tabs>
          <w:tab w:val="left" w:pos="1800"/>
        </w:tabs>
        <w:ind w:left="1800" w:hanging="360"/>
      </w:pPr>
      <w:rPr>
        <w:rFonts w:hint="default" w:ascii="Symbol" w:hAnsi="Symbol"/>
      </w:rPr>
    </w:lvl>
  </w:abstractNum>
  <w:abstractNum w:abstractNumId="6">
    <w:nsid w:val="FFFFFF81"/>
    <w:multiLevelType w:val="singleLevel"/>
    <w:tmpl w:val="FFFFFF81"/>
    <w:lvl w:ilvl="0" w:tentative="0">
      <w:start w:val="1"/>
      <w:numFmt w:val="bullet"/>
      <w:lvlText w:val=""/>
      <w:lvlJc w:val="left"/>
      <w:pPr>
        <w:tabs>
          <w:tab w:val="left" w:pos="1440"/>
        </w:tabs>
        <w:ind w:left="1440" w:hanging="360"/>
      </w:pPr>
      <w:rPr>
        <w:rFonts w:hint="default" w:ascii="Symbol" w:hAnsi="Symbol"/>
      </w:rPr>
    </w:lvl>
  </w:abstractNum>
  <w:abstractNum w:abstractNumId="7">
    <w:nsid w:val="FFFFFF82"/>
    <w:multiLevelType w:val="singleLevel"/>
    <w:tmpl w:val="FFFFFF82"/>
    <w:lvl w:ilvl="0" w:tentative="0">
      <w:start w:val="1"/>
      <w:numFmt w:val="bullet"/>
      <w:pStyle w:val="39"/>
      <w:lvlText w:val=""/>
      <w:lvlJc w:val="left"/>
      <w:pPr>
        <w:tabs>
          <w:tab w:val="left" w:pos="1080"/>
        </w:tabs>
        <w:ind w:left="1080" w:hanging="360"/>
      </w:pPr>
      <w:rPr>
        <w:rFonts w:hint="default" w:ascii="Symbol" w:hAnsi="Symbol"/>
      </w:rPr>
    </w:lvl>
  </w:abstractNum>
  <w:abstractNum w:abstractNumId="8">
    <w:nsid w:val="FFFFFF83"/>
    <w:multiLevelType w:val="singleLevel"/>
    <w:tmpl w:val="FFFFFF83"/>
    <w:lvl w:ilvl="0" w:tentative="0">
      <w:start w:val="1"/>
      <w:numFmt w:val="bullet"/>
      <w:pStyle w:val="38"/>
      <w:lvlText w:val=""/>
      <w:lvlJc w:val="left"/>
      <w:pPr>
        <w:tabs>
          <w:tab w:val="left" w:pos="720"/>
        </w:tabs>
        <w:ind w:left="720" w:hanging="360"/>
      </w:pPr>
      <w:rPr>
        <w:rFonts w:hint="default" w:ascii="Symbol" w:hAnsi="Symbol"/>
      </w:rPr>
    </w:lvl>
  </w:abstractNum>
  <w:abstractNum w:abstractNumId="9">
    <w:nsid w:val="FFFFFF88"/>
    <w:multiLevelType w:val="singleLevel"/>
    <w:tmpl w:val="FFFFFF88"/>
    <w:lvl w:ilvl="0" w:tentative="0">
      <w:start w:val="1"/>
      <w:numFmt w:val="decimal"/>
      <w:pStyle w:val="44"/>
      <w:lvlText w:val="%1."/>
      <w:lvlJc w:val="left"/>
      <w:pPr>
        <w:tabs>
          <w:tab w:val="left" w:pos="360"/>
        </w:tabs>
        <w:ind w:left="360" w:hanging="360"/>
      </w:pPr>
    </w:lvl>
  </w:abstractNum>
  <w:abstractNum w:abstractNumId="10">
    <w:nsid w:val="FFFFFF89"/>
    <w:multiLevelType w:val="singleLevel"/>
    <w:tmpl w:val="FFFFFF89"/>
    <w:lvl w:ilvl="0" w:tentative="0">
      <w:start w:val="1"/>
      <w:numFmt w:val="bullet"/>
      <w:pStyle w:val="37"/>
      <w:lvlText w:val=""/>
      <w:lvlJc w:val="left"/>
      <w:pPr>
        <w:tabs>
          <w:tab w:val="left" w:pos="360"/>
        </w:tabs>
        <w:ind w:left="360" w:hanging="360"/>
      </w:pPr>
      <w:rPr>
        <w:rFonts w:hint="default" w:ascii="Symbol" w:hAnsi="Symbol"/>
      </w:rPr>
    </w:lvl>
  </w:abstractNum>
  <w:abstractNum w:abstractNumId="11">
    <w:nsid w:val="03312BFF"/>
    <w:multiLevelType w:val="multilevel"/>
    <w:tmpl w:val="03312BFF"/>
    <w:lvl w:ilvl="0" w:tentative="0">
      <w:start w:val="1"/>
      <w:numFmt w:val="lowerLetter"/>
      <w:lvlText w:val="(%1)"/>
      <w:lvlJc w:val="left"/>
      <w:pPr>
        <w:tabs>
          <w:tab w:val="left" w:pos="1080"/>
        </w:tabs>
        <w:ind w:left="1080" w:hanging="540"/>
      </w:pPr>
      <w:rPr>
        <w:rFonts w:hint="default"/>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12">
    <w:nsid w:val="03DF2EB1"/>
    <w:multiLevelType w:val="multilevel"/>
    <w:tmpl w:val="03DF2EB1"/>
    <w:lvl w:ilvl="0" w:tentative="0">
      <w:start w:val="1"/>
      <w:numFmt w:val="decimal"/>
      <w:lvlText w:val="%1."/>
      <w:lvlJc w:val="left"/>
      <w:pPr>
        <w:ind w:left="144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3">
    <w:nsid w:val="04A3236D"/>
    <w:multiLevelType w:val="multilevel"/>
    <w:tmpl w:val="04A3236D"/>
    <w:lvl w:ilvl="0" w:tentative="0">
      <w:start w:val="1"/>
      <w:numFmt w:val="upperLetter"/>
      <w:pStyle w:val="142"/>
      <w:lvlText w:val="%1."/>
      <w:lvlJc w:val="center"/>
      <w:pPr>
        <w:tabs>
          <w:tab w:val="left" w:pos="648"/>
        </w:tabs>
        <w:ind w:left="360" w:hanging="72"/>
      </w:pPr>
      <w:rPr>
        <w:rFonts w:hint="default"/>
        <w:b/>
        <w:i w:val="0"/>
        <w:sz w:val="24"/>
        <w:szCs w:val="24"/>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14">
    <w:nsid w:val="07655F09"/>
    <w:multiLevelType w:val="multilevel"/>
    <w:tmpl w:val="07655F09"/>
    <w:lvl w:ilvl="0" w:tentative="0">
      <w:start w:val="1"/>
      <w:numFmt w:val="decimal"/>
      <w:pStyle w:val="218"/>
      <w:lvlText w:val="2.%1"/>
      <w:lvlJc w:val="left"/>
      <w:pPr>
        <w:ind w:left="99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5">
    <w:nsid w:val="0818303B"/>
    <w:multiLevelType w:val="singleLevel"/>
    <w:tmpl w:val="0818303B"/>
    <w:lvl w:ilvl="0" w:tentative="0">
      <w:start w:val="1"/>
      <w:numFmt w:val="bullet"/>
      <w:lvlText w:val=""/>
      <w:lvlJc w:val="left"/>
      <w:pPr>
        <w:tabs>
          <w:tab w:val="left" w:pos="360"/>
        </w:tabs>
        <w:ind w:left="360" w:hanging="360"/>
      </w:pPr>
      <w:rPr>
        <w:rFonts w:hint="default" w:ascii="Symbol" w:hAnsi="Symbol"/>
      </w:rPr>
    </w:lvl>
  </w:abstractNum>
  <w:abstractNum w:abstractNumId="16">
    <w:nsid w:val="09814E03"/>
    <w:multiLevelType w:val="multilevel"/>
    <w:tmpl w:val="09814E03"/>
    <w:lvl w:ilvl="0" w:tentative="0">
      <w:start w:val="1"/>
      <w:numFmt w:val="lowerRoman"/>
      <w:lvlText w:val="%1."/>
      <w:lvlJc w:val="left"/>
      <w:pPr>
        <w:ind w:left="1080" w:hanging="360"/>
      </w:pPr>
      <w:rPr>
        <w:rFonts w:hint="default"/>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17">
    <w:nsid w:val="0BDD503E"/>
    <w:multiLevelType w:val="multilevel"/>
    <w:tmpl w:val="0BDD503E"/>
    <w:lvl w:ilvl="0" w:tentative="0">
      <w:start w:val="1"/>
      <w:numFmt w:val="decimal"/>
      <w:lvlText w:val="%1."/>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8">
    <w:nsid w:val="0CB70B6D"/>
    <w:multiLevelType w:val="multilevel"/>
    <w:tmpl w:val="0CB70B6D"/>
    <w:lvl w:ilvl="0" w:tentative="0">
      <w:start w:val="3"/>
      <w:numFmt w:val="bullet"/>
      <w:lvlText w:val="-"/>
      <w:lvlJc w:val="left"/>
      <w:pPr>
        <w:tabs>
          <w:tab w:val="left" w:pos="450"/>
        </w:tabs>
        <w:ind w:left="450" w:hanging="540"/>
      </w:pPr>
      <w:rPr>
        <w:rFonts w:hint="default" w:ascii="Times New Roman" w:hAnsi="Times New Roman" w:eastAsia="Times New Roman" w:cs="Times New Roman"/>
      </w:rPr>
    </w:lvl>
    <w:lvl w:ilvl="1" w:tentative="0">
      <w:start w:val="1"/>
      <w:numFmt w:val="bullet"/>
      <w:lvlText w:val="o"/>
      <w:lvlJc w:val="left"/>
      <w:pPr>
        <w:tabs>
          <w:tab w:val="left" w:pos="990"/>
        </w:tabs>
        <w:ind w:left="990" w:hanging="360"/>
      </w:pPr>
      <w:rPr>
        <w:rFonts w:hint="default" w:ascii="Courier New" w:hAnsi="Courier New"/>
      </w:rPr>
    </w:lvl>
    <w:lvl w:ilvl="2" w:tentative="0">
      <w:start w:val="1"/>
      <w:numFmt w:val="bullet"/>
      <w:lvlText w:val=""/>
      <w:lvlJc w:val="left"/>
      <w:pPr>
        <w:tabs>
          <w:tab w:val="left" w:pos="1710"/>
        </w:tabs>
        <w:ind w:left="1710" w:hanging="360"/>
      </w:pPr>
      <w:rPr>
        <w:rFonts w:hint="default" w:ascii="Wingdings" w:hAnsi="Wingdings"/>
      </w:rPr>
    </w:lvl>
    <w:lvl w:ilvl="3" w:tentative="0">
      <w:start w:val="1"/>
      <w:numFmt w:val="bullet"/>
      <w:lvlText w:val=""/>
      <w:lvlJc w:val="left"/>
      <w:pPr>
        <w:tabs>
          <w:tab w:val="left" w:pos="2430"/>
        </w:tabs>
        <w:ind w:left="2430" w:hanging="360"/>
      </w:pPr>
      <w:rPr>
        <w:rFonts w:hint="default" w:ascii="Symbol" w:hAnsi="Symbol"/>
      </w:rPr>
    </w:lvl>
    <w:lvl w:ilvl="4" w:tentative="0">
      <w:start w:val="1"/>
      <w:numFmt w:val="bullet"/>
      <w:lvlText w:val="o"/>
      <w:lvlJc w:val="left"/>
      <w:pPr>
        <w:tabs>
          <w:tab w:val="left" w:pos="3150"/>
        </w:tabs>
        <w:ind w:left="3150" w:hanging="360"/>
      </w:pPr>
      <w:rPr>
        <w:rFonts w:hint="default" w:ascii="Courier New" w:hAnsi="Courier New"/>
      </w:rPr>
    </w:lvl>
    <w:lvl w:ilvl="5" w:tentative="0">
      <w:start w:val="1"/>
      <w:numFmt w:val="bullet"/>
      <w:lvlText w:val=""/>
      <w:lvlJc w:val="left"/>
      <w:pPr>
        <w:tabs>
          <w:tab w:val="left" w:pos="3870"/>
        </w:tabs>
        <w:ind w:left="3870" w:hanging="360"/>
      </w:pPr>
      <w:rPr>
        <w:rFonts w:hint="default" w:ascii="Wingdings" w:hAnsi="Wingdings"/>
      </w:rPr>
    </w:lvl>
    <w:lvl w:ilvl="6" w:tentative="0">
      <w:start w:val="1"/>
      <w:numFmt w:val="bullet"/>
      <w:lvlText w:val=""/>
      <w:lvlJc w:val="left"/>
      <w:pPr>
        <w:tabs>
          <w:tab w:val="left" w:pos="4590"/>
        </w:tabs>
        <w:ind w:left="4590" w:hanging="360"/>
      </w:pPr>
      <w:rPr>
        <w:rFonts w:hint="default" w:ascii="Symbol" w:hAnsi="Symbol"/>
      </w:rPr>
    </w:lvl>
    <w:lvl w:ilvl="7" w:tentative="0">
      <w:start w:val="1"/>
      <w:numFmt w:val="bullet"/>
      <w:lvlText w:val="o"/>
      <w:lvlJc w:val="left"/>
      <w:pPr>
        <w:tabs>
          <w:tab w:val="left" w:pos="5310"/>
        </w:tabs>
        <w:ind w:left="5310" w:hanging="360"/>
      </w:pPr>
      <w:rPr>
        <w:rFonts w:hint="default" w:ascii="Courier New" w:hAnsi="Courier New"/>
      </w:rPr>
    </w:lvl>
    <w:lvl w:ilvl="8" w:tentative="0">
      <w:start w:val="1"/>
      <w:numFmt w:val="bullet"/>
      <w:lvlText w:val=""/>
      <w:lvlJc w:val="left"/>
      <w:pPr>
        <w:tabs>
          <w:tab w:val="left" w:pos="6030"/>
        </w:tabs>
        <w:ind w:left="6030" w:hanging="360"/>
      </w:pPr>
      <w:rPr>
        <w:rFonts w:hint="default" w:ascii="Wingdings" w:hAnsi="Wingdings"/>
      </w:rPr>
    </w:lvl>
  </w:abstractNum>
  <w:abstractNum w:abstractNumId="19">
    <w:nsid w:val="0CE02B72"/>
    <w:multiLevelType w:val="multilevel"/>
    <w:tmpl w:val="0CE02B72"/>
    <w:lvl w:ilvl="0" w:tentative="0">
      <w:start w:val="4"/>
      <w:numFmt w:val="decimal"/>
      <w:lvlText w:val="%1"/>
      <w:lvlJc w:val="left"/>
      <w:pPr>
        <w:ind w:left="912" w:hanging="721"/>
      </w:pPr>
      <w:rPr>
        <w:rFonts w:hint="default"/>
        <w:lang w:val="en-US" w:eastAsia="en-US" w:bidi="ar-SA"/>
      </w:rPr>
    </w:lvl>
    <w:lvl w:ilvl="1" w:tentative="0">
      <w:start w:val="3"/>
      <w:numFmt w:val="decimal"/>
      <w:lvlText w:val="%1.%2"/>
      <w:lvlJc w:val="left"/>
      <w:pPr>
        <w:ind w:left="912" w:hanging="721"/>
      </w:pPr>
      <w:rPr>
        <w:rFonts w:hint="default"/>
        <w:lang w:val="en-US" w:eastAsia="en-US" w:bidi="ar-SA"/>
      </w:rPr>
    </w:lvl>
    <w:lvl w:ilvl="2" w:tentative="0">
      <w:start w:val="1"/>
      <w:numFmt w:val="decimal"/>
      <w:lvlText w:val="%1.%2.%3"/>
      <w:lvlJc w:val="left"/>
      <w:pPr>
        <w:ind w:left="912" w:hanging="721"/>
      </w:pPr>
      <w:rPr>
        <w:rFonts w:hint="default" w:ascii="Trebuchet MS" w:hAnsi="Trebuchet MS" w:eastAsia="Trebuchet MS" w:cs="Trebuchet MS"/>
        <w:b/>
        <w:bCs/>
        <w:color w:val="233E5F"/>
        <w:spacing w:val="0"/>
        <w:w w:val="74"/>
        <w:sz w:val="22"/>
        <w:szCs w:val="22"/>
        <w:lang w:val="en-US" w:eastAsia="en-US" w:bidi="ar-SA"/>
      </w:rPr>
    </w:lvl>
    <w:lvl w:ilvl="3" w:tentative="0">
      <w:start w:val="0"/>
      <w:numFmt w:val="bullet"/>
      <w:lvlText w:val="•"/>
      <w:lvlJc w:val="left"/>
      <w:pPr>
        <w:ind w:left="912" w:hanging="360"/>
      </w:pPr>
      <w:rPr>
        <w:rFonts w:hint="default" w:ascii="Times New Roman" w:hAnsi="Times New Roman" w:eastAsia="Times New Roman" w:cs="Times New Roman"/>
        <w:w w:val="101"/>
        <w:sz w:val="24"/>
        <w:szCs w:val="24"/>
        <w:lang w:val="en-US" w:eastAsia="en-US" w:bidi="ar-SA"/>
      </w:rPr>
    </w:lvl>
    <w:lvl w:ilvl="4" w:tentative="0">
      <w:start w:val="0"/>
      <w:numFmt w:val="bullet"/>
      <w:lvlText w:val="•"/>
      <w:lvlJc w:val="left"/>
      <w:pPr>
        <w:ind w:left="4829" w:hanging="360"/>
      </w:pPr>
      <w:rPr>
        <w:rFonts w:hint="default"/>
        <w:lang w:val="en-US" w:eastAsia="en-US" w:bidi="ar-SA"/>
      </w:rPr>
    </w:lvl>
    <w:lvl w:ilvl="5" w:tentative="0">
      <w:start w:val="0"/>
      <w:numFmt w:val="bullet"/>
      <w:lvlText w:val="•"/>
      <w:lvlJc w:val="left"/>
      <w:pPr>
        <w:ind w:left="5806" w:hanging="360"/>
      </w:pPr>
      <w:rPr>
        <w:rFonts w:hint="default"/>
        <w:lang w:val="en-US" w:eastAsia="en-US" w:bidi="ar-SA"/>
      </w:rPr>
    </w:lvl>
    <w:lvl w:ilvl="6" w:tentative="0">
      <w:start w:val="0"/>
      <w:numFmt w:val="bullet"/>
      <w:lvlText w:val="•"/>
      <w:lvlJc w:val="left"/>
      <w:pPr>
        <w:ind w:left="6784" w:hanging="360"/>
      </w:pPr>
      <w:rPr>
        <w:rFonts w:hint="default"/>
        <w:lang w:val="en-US" w:eastAsia="en-US" w:bidi="ar-SA"/>
      </w:rPr>
    </w:lvl>
    <w:lvl w:ilvl="7" w:tentative="0">
      <w:start w:val="0"/>
      <w:numFmt w:val="bullet"/>
      <w:lvlText w:val="•"/>
      <w:lvlJc w:val="left"/>
      <w:pPr>
        <w:ind w:left="7761" w:hanging="360"/>
      </w:pPr>
      <w:rPr>
        <w:rFonts w:hint="default"/>
        <w:lang w:val="en-US" w:eastAsia="en-US" w:bidi="ar-SA"/>
      </w:rPr>
    </w:lvl>
    <w:lvl w:ilvl="8" w:tentative="0">
      <w:start w:val="0"/>
      <w:numFmt w:val="bullet"/>
      <w:lvlText w:val="•"/>
      <w:lvlJc w:val="left"/>
      <w:pPr>
        <w:ind w:left="8738" w:hanging="360"/>
      </w:pPr>
      <w:rPr>
        <w:rFonts w:hint="default"/>
        <w:lang w:val="en-US" w:eastAsia="en-US" w:bidi="ar-SA"/>
      </w:rPr>
    </w:lvl>
  </w:abstractNum>
  <w:abstractNum w:abstractNumId="20">
    <w:nsid w:val="0FAF59D8"/>
    <w:multiLevelType w:val="multilevel"/>
    <w:tmpl w:val="0FAF59D8"/>
    <w:lvl w:ilvl="0" w:tentative="0">
      <w:start w:val="1"/>
      <w:numFmt w:val="bullet"/>
      <w:lvlText w:val=""/>
      <w:lvlJc w:val="left"/>
      <w:pPr>
        <w:ind w:left="1440" w:hanging="360"/>
      </w:pPr>
      <w:rPr>
        <w:rFonts w:hint="default" w:ascii="Symbol" w:hAnsi="Symbol"/>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21">
    <w:nsid w:val="10BF1626"/>
    <w:multiLevelType w:val="multilevel"/>
    <w:tmpl w:val="10BF1626"/>
    <w:lvl w:ilvl="0" w:tentative="0">
      <w:start w:val="1"/>
      <w:numFmt w:val="lowerLetter"/>
      <w:lvlText w:val="(%1)"/>
      <w:lvlJc w:val="left"/>
      <w:pPr>
        <w:tabs>
          <w:tab w:val="left" w:pos="1224"/>
        </w:tabs>
        <w:ind w:left="1224" w:hanging="360"/>
      </w:pPr>
      <w:rPr>
        <w:rFonts w:hint="default"/>
      </w:rPr>
    </w:lvl>
    <w:lvl w:ilvl="1" w:tentative="0">
      <w:start w:val="1"/>
      <w:numFmt w:val="lowerRoman"/>
      <w:lvlText w:val="(%2)"/>
      <w:lvlJc w:val="left"/>
      <w:pPr>
        <w:tabs>
          <w:tab w:val="left" w:pos="1764"/>
        </w:tabs>
        <w:ind w:left="1764" w:hanging="180"/>
      </w:pPr>
      <w:rPr>
        <w:rFonts w:hint="default"/>
      </w:rPr>
    </w:lvl>
    <w:lvl w:ilvl="2" w:tentative="0">
      <w:start w:val="1"/>
      <w:numFmt w:val="lowerRoman"/>
      <w:lvlText w:val="%3)"/>
      <w:lvlJc w:val="left"/>
      <w:pPr>
        <w:ind w:left="3204" w:hanging="720"/>
      </w:pPr>
      <w:rPr>
        <w:rFonts w:hint="default"/>
      </w:rPr>
    </w:lvl>
    <w:lvl w:ilvl="3" w:tentative="0">
      <w:start w:val="1"/>
      <w:numFmt w:val="bullet"/>
      <w:lvlText w:val=""/>
      <w:lvlJc w:val="left"/>
      <w:pPr>
        <w:ind w:left="3384" w:hanging="360"/>
      </w:pPr>
      <w:rPr>
        <w:rFonts w:hint="default" w:ascii="Symbol" w:hAnsi="Symbol" w:eastAsia="Times New Roman" w:cs="Times New Roman"/>
      </w:rPr>
    </w:lvl>
    <w:lvl w:ilvl="4" w:tentative="0">
      <w:start w:val="1"/>
      <w:numFmt w:val="decimal"/>
      <w:lvlText w:val="%5."/>
      <w:lvlJc w:val="left"/>
      <w:pPr>
        <w:ind w:left="360" w:hanging="360"/>
      </w:pPr>
      <w:rPr>
        <w:rFonts w:hint="default"/>
      </w:rPr>
    </w:lvl>
    <w:lvl w:ilvl="5" w:tentative="0">
      <w:start w:val="1"/>
      <w:numFmt w:val="lowerRoman"/>
      <w:lvlText w:val="%6."/>
      <w:lvlJc w:val="right"/>
      <w:pPr>
        <w:tabs>
          <w:tab w:val="left" w:pos="4824"/>
        </w:tabs>
        <w:ind w:left="4824" w:hanging="180"/>
      </w:pPr>
    </w:lvl>
    <w:lvl w:ilvl="6" w:tentative="0">
      <w:start w:val="1"/>
      <w:numFmt w:val="decimal"/>
      <w:lvlText w:val="%7."/>
      <w:lvlJc w:val="left"/>
      <w:pPr>
        <w:tabs>
          <w:tab w:val="left" w:pos="5544"/>
        </w:tabs>
        <w:ind w:left="5544" w:hanging="360"/>
      </w:pPr>
    </w:lvl>
    <w:lvl w:ilvl="7" w:tentative="0">
      <w:start w:val="1"/>
      <w:numFmt w:val="lowerLetter"/>
      <w:lvlText w:val="%8."/>
      <w:lvlJc w:val="left"/>
      <w:pPr>
        <w:tabs>
          <w:tab w:val="left" w:pos="6264"/>
        </w:tabs>
        <w:ind w:left="6264" w:hanging="360"/>
      </w:pPr>
    </w:lvl>
    <w:lvl w:ilvl="8" w:tentative="0">
      <w:start w:val="1"/>
      <w:numFmt w:val="lowerRoman"/>
      <w:lvlText w:val="%9."/>
      <w:lvlJc w:val="right"/>
      <w:pPr>
        <w:tabs>
          <w:tab w:val="left" w:pos="6984"/>
        </w:tabs>
        <w:ind w:left="6984" w:hanging="180"/>
      </w:pPr>
    </w:lvl>
  </w:abstractNum>
  <w:abstractNum w:abstractNumId="22">
    <w:nsid w:val="10E420D5"/>
    <w:multiLevelType w:val="multilevel"/>
    <w:tmpl w:val="10E420D5"/>
    <w:lvl w:ilvl="0" w:tentative="0">
      <w:start w:val="1"/>
      <w:numFmt w:val="lowerLetter"/>
      <w:lvlText w:val="(%1)"/>
      <w:lvlJc w:val="left"/>
      <w:pPr>
        <w:ind w:left="879" w:hanging="360"/>
      </w:pPr>
      <w:rPr>
        <w:rFonts w:hint="default"/>
        <w:b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3">
    <w:nsid w:val="10F82DC3"/>
    <w:multiLevelType w:val="multilevel"/>
    <w:tmpl w:val="10F82DC3"/>
    <w:lvl w:ilvl="0" w:tentative="0">
      <w:start w:val="1"/>
      <w:numFmt w:val="bullet"/>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4">
    <w:nsid w:val="119C4256"/>
    <w:multiLevelType w:val="multilevel"/>
    <w:tmpl w:val="119C4256"/>
    <w:lvl w:ilvl="0" w:tentative="0">
      <w:start w:val="1"/>
      <w:numFmt w:val="lowerLetter"/>
      <w:lvlText w:val="(%1)"/>
      <w:lvlJc w:val="left"/>
      <w:pPr>
        <w:ind w:left="720" w:hanging="360"/>
      </w:pPr>
      <w:rPr>
        <w:rFonts w:hint="default"/>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5">
    <w:nsid w:val="125B54E2"/>
    <w:multiLevelType w:val="multilevel"/>
    <w:tmpl w:val="125B54E2"/>
    <w:lvl w:ilvl="0" w:tentative="0">
      <w:start w:val="1"/>
      <w:numFmt w:val="decimal"/>
      <w:lvlText w:val="%1)"/>
      <w:lvlJc w:val="left"/>
      <w:pPr>
        <w:tabs>
          <w:tab w:val="left" w:pos="1080"/>
        </w:tabs>
        <w:ind w:left="1080" w:hanging="540"/>
      </w:pPr>
      <w:rPr>
        <w:rFonts w:hint="default"/>
        <w:b w:val="0"/>
      </w:rPr>
    </w:lvl>
    <w:lvl w:ilvl="1" w:tentative="0">
      <w:start w:val="30"/>
      <w:numFmt w:val="decimal"/>
      <w:lvlText w:val="%2."/>
      <w:lvlJc w:val="left"/>
      <w:pPr>
        <w:tabs>
          <w:tab w:val="left" w:pos="1620"/>
        </w:tabs>
        <w:ind w:left="1620" w:hanging="360"/>
      </w:pPr>
      <w:rPr>
        <w:rFonts w:hint="default"/>
      </w:rPr>
    </w:lvl>
    <w:lvl w:ilvl="2" w:tentative="0">
      <w:start w:val="2"/>
      <w:numFmt w:val="lowerRoman"/>
      <w:lvlText w:val="%3."/>
      <w:lvlJc w:val="left"/>
      <w:pPr>
        <w:ind w:left="2880" w:hanging="720"/>
      </w:pPr>
      <w:rPr>
        <w:rFonts w:hint="default"/>
      </w:rPr>
    </w:lvl>
    <w:lvl w:ilvl="3" w:tentative="0">
      <w:start w:val="1"/>
      <w:numFmt w:val="decimal"/>
      <w:lvlText w:val="%4)"/>
      <w:lvlJc w:val="left"/>
      <w:pPr>
        <w:ind w:left="3060" w:hanging="360"/>
      </w:pPr>
      <w:rPr>
        <w:rFonts w:hint="default"/>
      </w:rPr>
    </w:lvl>
    <w:lvl w:ilvl="4" w:tentative="0">
      <w:start w:val="1"/>
      <w:numFmt w:val="lowerLetter"/>
      <w:lvlText w:val="%5."/>
      <w:lvlJc w:val="left"/>
      <w:pPr>
        <w:tabs>
          <w:tab w:val="left" w:pos="3780"/>
        </w:tabs>
        <w:ind w:left="3780" w:hanging="360"/>
      </w:pPr>
    </w:lvl>
    <w:lvl w:ilvl="5" w:tentative="0">
      <w:start w:val="1"/>
      <w:numFmt w:val="lowerRoman"/>
      <w:lvlText w:val="%6."/>
      <w:lvlJc w:val="right"/>
      <w:pPr>
        <w:tabs>
          <w:tab w:val="left" w:pos="4500"/>
        </w:tabs>
        <w:ind w:left="4500" w:hanging="180"/>
      </w:pPr>
    </w:lvl>
    <w:lvl w:ilvl="6" w:tentative="0">
      <w:start w:val="1"/>
      <w:numFmt w:val="decimal"/>
      <w:lvlText w:val="%7."/>
      <w:lvlJc w:val="left"/>
      <w:pPr>
        <w:tabs>
          <w:tab w:val="left" w:pos="5220"/>
        </w:tabs>
        <w:ind w:left="5220" w:hanging="360"/>
      </w:pPr>
    </w:lvl>
    <w:lvl w:ilvl="7" w:tentative="0">
      <w:start w:val="1"/>
      <w:numFmt w:val="lowerLetter"/>
      <w:lvlText w:val="%8."/>
      <w:lvlJc w:val="left"/>
      <w:pPr>
        <w:tabs>
          <w:tab w:val="left" w:pos="5940"/>
        </w:tabs>
        <w:ind w:left="5940" w:hanging="360"/>
      </w:pPr>
    </w:lvl>
    <w:lvl w:ilvl="8" w:tentative="0">
      <w:start w:val="1"/>
      <w:numFmt w:val="lowerRoman"/>
      <w:lvlText w:val="%9."/>
      <w:lvlJc w:val="right"/>
      <w:pPr>
        <w:tabs>
          <w:tab w:val="left" w:pos="6660"/>
        </w:tabs>
        <w:ind w:left="6660" w:hanging="180"/>
      </w:pPr>
    </w:lvl>
  </w:abstractNum>
  <w:abstractNum w:abstractNumId="26">
    <w:nsid w:val="130C5AEA"/>
    <w:multiLevelType w:val="multilevel"/>
    <w:tmpl w:val="130C5AEA"/>
    <w:lvl w:ilvl="0" w:tentative="0">
      <w:start w:val="1"/>
      <w:numFmt w:val="decimal"/>
      <w:pStyle w:val="143"/>
      <w:isLgl/>
      <w:lvlText w:val="%1."/>
      <w:lvlJc w:val="left"/>
      <w:pPr>
        <w:tabs>
          <w:tab w:val="left" w:pos="432"/>
        </w:tabs>
        <w:ind w:left="432" w:hanging="432"/>
      </w:pPr>
      <w:rPr>
        <w:rFonts w:hint="default"/>
        <w:b/>
        <w:i w:val="0"/>
        <w:sz w:val="24"/>
        <w:szCs w:val="24"/>
      </w:rPr>
    </w:lvl>
    <w:lvl w:ilvl="1" w:tentative="0">
      <w:start w:val="1"/>
      <w:numFmt w:val="decimal"/>
      <w:pStyle w:val="69"/>
      <w:lvlText w:val="%1.%2"/>
      <w:lvlJc w:val="left"/>
      <w:pPr>
        <w:tabs>
          <w:tab w:val="left" w:pos="504"/>
        </w:tabs>
        <w:ind w:left="504" w:hanging="504"/>
      </w:pPr>
      <w:rPr>
        <w:rFonts w:hint="default"/>
        <w:b w:val="0"/>
        <w:i w:val="0"/>
        <w:sz w:val="24"/>
        <w:szCs w:val="24"/>
      </w:rPr>
    </w:lvl>
    <w:lvl w:ilvl="2" w:tentative="0">
      <w:start w:val="1"/>
      <w:numFmt w:val="lowerLetter"/>
      <w:pStyle w:val="70"/>
      <w:lvlText w:val="(%3)"/>
      <w:lvlJc w:val="left"/>
      <w:pPr>
        <w:tabs>
          <w:tab w:val="left" w:pos="864"/>
        </w:tabs>
        <w:ind w:left="864" w:hanging="360"/>
      </w:pPr>
      <w:rPr>
        <w:rFonts w:hint="default"/>
        <w:b w:val="0"/>
        <w:i w:val="0"/>
        <w:sz w:val="24"/>
        <w:szCs w:val="24"/>
      </w:rPr>
    </w:lvl>
    <w:lvl w:ilvl="3" w:tentative="0">
      <w:start w:val="1"/>
      <w:numFmt w:val="lowerRoman"/>
      <w:pStyle w:val="5"/>
      <w:lvlText w:val="(%4)"/>
      <w:lvlJc w:val="left"/>
      <w:pPr>
        <w:tabs>
          <w:tab w:val="left" w:pos="1512"/>
        </w:tabs>
        <w:ind w:left="1512" w:hanging="648"/>
      </w:pPr>
      <w:rPr>
        <w:rFonts w:hint="default" w:ascii="Arial" w:hAnsi="Arial"/>
        <w:b w:val="0"/>
        <w:i w:val="0"/>
        <w:sz w:val="20"/>
      </w:rPr>
    </w:lvl>
    <w:lvl w:ilvl="4" w:tentative="0">
      <w:start w:val="1"/>
      <w:numFmt w:val="decimal"/>
      <w:lvlText w:val="%1.%2.%3.%4.%5"/>
      <w:lvlJc w:val="left"/>
      <w:pPr>
        <w:tabs>
          <w:tab w:val="left" w:pos="1008"/>
        </w:tabs>
        <w:ind w:left="1008" w:hanging="1008"/>
      </w:pPr>
      <w:rPr>
        <w:rFonts w:hint="default"/>
      </w:rPr>
    </w:lvl>
    <w:lvl w:ilvl="5" w:tentative="0">
      <w:start w:val="1"/>
      <w:numFmt w:val="decimal"/>
      <w:pStyle w:val="7"/>
      <w:lvlText w:val="%1.%2.%3.%4.%5.%6"/>
      <w:lvlJc w:val="left"/>
      <w:pPr>
        <w:tabs>
          <w:tab w:val="left" w:pos="1152"/>
        </w:tabs>
        <w:ind w:left="1152" w:hanging="1152"/>
      </w:pPr>
      <w:rPr>
        <w:rFonts w:hint="default"/>
      </w:rPr>
    </w:lvl>
    <w:lvl w:ilvl="6" w:tentative="0">
      <w:start w:val="1"/>
      <w:numFmt w:val="decimal"/>
      <w:pStyle w:val="8"/>
      <w:lvlText w:val="%1.%2.%3.%4.%5.%6.%7"/>
      <w:lvlJc w:val="left"/>
      <w:pPr>
        <w:tabs>
          <w:tab w:val="left" w:pos="1296"/>
        </w:tabs>
        <w:ind w:left="1296" w:hanging="1296"/>
      </w:pPr>
      <w:rPr>
        <w:rFonts w:hint="default"/>
      </w:rPr>
    </w:lvl>
    <w:lvl w:ilvl="7" w:tentative="0">
      <w:start w:val="1"/>
      <w:numFmt w:val="decimal"/>
      <w:pStyle w:val="9"/>
      <w:lvlText w:val="%1.%2.%3.%4.%5.%6.%7.%8"/>
      <w:lvlJc w:val="left"/>
      <w:pPr>
        <w:tabs>
          <w:tab w:val="left" w:pos="1440"/>
        </w:tabs>
        <w:ind w:left="1440" w:hanging="1440"/>
      </w:pPr>
      <w:rPr>
        <w:rFonts w:hint="default"/>
      </w:rPr>
    </w:lvl>
    <w:lvl w:ilvl="8" w:tentative="0">
      <w:start w:val="1"/>
      <w:numFmt w:val="decimal"/>
      <w:pStyle w:val="10"/>
      <w:lvlText w:val="%1.%2.%3.%4.%5.%6.%7.%8.%9"/>
      <w:lvlJc w:val="left"/>
      <w:pPr>
        <w:tabs>
          <w:tab w:val="left" w:pos="1584"/>
        </w:tabs>
        <w:ind w:left="1584" w:hanging="1584"/>
      </w:pPr>
      <w:rPr>
        <w:rFonts w:hint="default"/>
      </w:rPr>
    </w:lvl>
  </w:abstractNum>
  <w:abstractNum w:abstractNumId="27">
    <w:nsid w:val="140A0A4A"/>
    <w:multiLevelType w:val="multilevel"/>
    <w:tmpl w:val="140A0A4A"/>
    <w:lvl w:ilvl="0" w:tentative="0">
      <w:start w:val="1"/>
      <w:numFmt w:val="lowerLetter"/>
      <w:lvlText w:val="(%1)"/>
      <w:lvlJc w:val="left"/>
      <w:pPr>
        <w:tabs>
          <w:tab w:val="left" w:pos="1080"/>
        </w:tabs>
        <w:ind w:left="1080" w:hanging="540"/>
      </w:pPr>
      <w:rPr>
        <w:rFonts w:hint="default"/>
      </w:rPr>
    </w:lvl>
    <w:lvl w:ilvl="1" w:tentative="0">
      <w:start w:val="30"/>
      <w:numFmt w:val="decimal"/>
      <w:lvlText w:val="%2."/>
      <w:lvlJc w:val="left"/>
      <w:pPr>
        <w:tabs>
          <w:tab w:val="left" w:pos="1620"/>
        </w:tabs>
        <w:ind w:left="1620" w:hanging="360"/>
      </w:pPr>
      <w:rPr>
        <w:rFonts w:hint="default"/>
      </w:rPr>
    </w:lvl>
    <w:lvl w:ilvl="2" w:tentative="0">
      <w:start w:val="1"/>
      <w:numFmt w:val="lowerRoman"/>
      <w:lvlText w:val="%3."/>
      <w:lvlJc w:val="right"/>
      <w:pPr>
        <w:tabs>
          <w:tab w:val="left" w:pos="2340"/>
        </w:tabs>
        <w:ind w:left="2340" w:hanging="180"/>
      </w:pPr>
    </w:lvl>
    <w:lvl w:ilvl="3" w:tentative="0">
      <w:start w:val="1"/>
      <w:numFmt w:val="decimal"/>
      <w:lvlText w:val="%4."/>
      <w:lvlJc w:val="left"/>
      <w:pPr>
        <w:tabs>
          <w:tab w:val="left" w:pos="3060"/>
        </w:tabs>
        <w:ind w:left="3060" w:hanging="360"/>
      </w:pPr>
    </w:lvl>
    <w:lvl w:ilvl="4" w:tentative="0">
      <w:start w:val="1"/>
      <w:numFmt w:val="lowerLetter"/>
      <w:lvlText w:val="%5."/>
      <w:lvlJc w:val="left"/>
      <w:pPr>
        <w:tabs>
          <w:tab w:val="left" w:pos="3780"/>
        </w:tabs>
        <w:ind w:left="3780" w:hanging="360"/>
      </w:pPr>
    </w:lvl>
    <w:lvl w:ilvl="5" w:tentative="0">
      <w:start w:val="1"/>
      <w:numFmt w:val="lowerRoman"/>
      <w:lvlText w:val="%6."/>
      <w:lvlJc w:val="right"/>
      <w:pPr>
        <w:tabs>
          <w:tab w:val="left" w:pos="4500"/>
        </w:tabs>
        <w:ind w:left="4500" w:hanging="180"/>
      </w:pPr>
    </w:lvl>
    <w:lvl w:ilvl="6" w:tentative="0">
      <w:start w:val="1"/>
      <w:numFmt w:val="decimal"/>
      <w:lvlText w:val="%7."/>
      <w:lvlJc w:val="left"/>
      <w:pPr>
        <w:tabs>
          <w:tab w:val="left" w:pos="5220"/>
        </w:tabs>
        <w:ind w:left="5220" w:hanging="360"/>
      </w:pPr>
    </w:lvl>
    <w:lvl w:ilvl="7" w:tentative="0">
      <w:start w:val="1"/>
      <w:numFmt w:val="lowerLetter"/>
      <w:lvlText w:val="%8."/>
      <w:lvlJc w:val="left"/>
      <w:pPr>
        <w:tabs>
          <w:tab w:val="left" w:pos="5940"/>
        </w:tabs>
        <w:ind w:left="5940" w:hanging="360"/>
      </w:pPr>
    </w:lvl>
    <w:lvl w:ilvl="8" w:tentative="0">
      <w:start w:val="1"/>
      <w:numFmt w:val="lowerRoman"/>
      <w:lvlText w:val="%9."/>
      <w:lvlJc w:val="right"/>
      <w:pPr>
        <w:tabs>
          <w:tab w:val="left" w:pos="6660"/>
        </w:tabs>
        <w:ind w:left="6660" w:hanging="180"/>
      </w:pPr>
    </w:lvl>
  </w:abstractNum>
  <w:abstractNum w:abstractNumId="28">
    <w:nsid w:val="143972B9"/>
    <w:multiLevelType w:val="multilevel"/>
    <w:tmpl w:val="143972B9"/>
    <w:lvl w:ilvl="0" w:tentative="0">
      <w:start w:val="1"/>
      <w:numFmt w:val="decimal"/>
      <w:pStyle w:val="195"/>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9">
    <w:nsid w:val="19284DE2"/>
    <w:multiLevelType w:val="multilevel"/>
    <w:tmpl w:val="19284DE2"/>
    <w:lvl w:ilvl="0" w:tentative="0">
      <w:start w:val="1"/>
      <w:numFmt w:val="upperLetter"/>
      <w:pStyle w:val="167"/>
      <w:lvlText w:val="%1."/>
      <w:lvlJc w:val="center"/>
      <w:pPr>
        <w:tabs>
          <w:tab w:val="left" w:pos="648"/>
        </w:tabs>
        <w:ind w:left="360" w:hanging="72"/>
      </w:pPr>
      <w:rPr>
        <w:rFonts w:hint="default"/>
        <w:b/>
        <w:i w:val="0"/>
        <w:sz w:val="28"/>
        <w:szCs w:val="28"/>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30">
    <w:nsid w:val="193F3519"/>
    <w:multiLevelType w:val="multilevel"/>
    <w:tmpl w:val="193F3519"/>
    <w:lvl w:ilvl="0" w:tentative="0">
      <w:start w:val="1"/>
      <w:numFmt w:val="lowerRoman"/>
      <w:lvlText w:val="%1."/>
      <w:lvlJc w:val="right"/>
      <w:pPr>
        <w:tabs>
          <w:tab w:val="left" w:pos="870"/>
        </w:tabs>
        <w:ind w:left="870" w:hanging="420"/>
      </w:pPr>
      <w:rPr>
        <w:rFonts w:hint="default"/>
      </w:rPr>
    </w:lvl>
    <w:lvl w:ilvl="1" w:tentative="0">
      <w:start w:val="1"/>
      <w:numFmt w:val="lowerLetter"/>
      <w:lvlText w:val="%2."/>
      <w:lvlJc w:val="left"/>
      <w:pPr>
        <w:ind w:left="1890" w:hanging="360"/>
      </w:pPr>
    </w:lvl>
    <w:lvl w:ilvl="2" w:tentative="0">
      <w:start w:val="1"/>
      <w:numFmt w:val="lowerRoman"/>
      <w:lvlText w:val="%3."/>
      <w:lvlJc w:val="right"/>
      <w:pPr>
        <w:ind w:left="2610" w:hanging="180"/>
      </w:pPr>
    </w:lvl>
    <w:lvl w:ilvl="3" w:tentative="0">
      <w:start w:val="1"/>
      <w:numFmt w:val="decimal"/>
      <w:lvlText w:val="%4."/>
      <w:lvlJc w:val="left"/>
      <w:pPr>
        <w:ind w:left="3330" w:hanging="360"/>
      </w:pPr>
    </w:lvl>
    <w:lvl w:ilvl="4" w:tentative="0">
      <w:start w:val="1"/>
      <w:numFmt w:val="lowerLetter"/>
      <w:lvlText w:val="%5."/>
      <w:lvlJc w:val="left"/>
      <w:pPr>
        <w:ind w:left="4050" w:hanging="360"/>
      </w:pPr>
    </w:lvl>
    <w:lvl w:ilvl="5" w:tentative="0">
      <w:start w:val="1"/>
      <w:numFmt w:val="lowerRoman"/>
      <w:lvlText w:val="%6."/>
      <w:lvlJc w:val="right"/>
      <w:pPr>
        <w:ind w:left="4770" w:hanging="180"/>
      </w:pPr>
    </w:lvl>
    <w:lvl w:ilvl="6" w:tentative="0">
      <w:start w:val="1"/>
      <w:numFmt w:val="decimal"/>
      <w:lvlText w:val="%7."/>
      <w:lvlJc w:val="left"/>
      <w:pPr>
        <w:ind w:left="5490" w:hanging="360"/>
      </w:pPr>
    </w:lvl>
    <w:lvl w:ilvl="7" w:tentative="0">
      <w:start w:val="1"/>
      <w:numFmt w:val="lowerLetter"/>
      <w:lvlText w:val="%8."/>
      <w:lvlJc w:val="left"/>
      <w:pPr>
        <w:ind w:left="6210" w:hanging="360"/>
      </w:pPr>
    </w:lvl>
    <w:lvl w:ilvl="8" w:tentative="0">
      <w:start w:val="1"/>
      <w:numFmt w:val="lowerRoman"/>
      <w:lvlText w:val="%9."/>
      <w:lvlJc w:val="right"/>
      <w:pPr>
        <w:ind w:left="6930" w:hanging="180"/>
      </w:pPr>
    </w:lvl>
  </w:abstractNum>
  <w:abstractNum w:abstractNumId="31">
    <w:nsid w:val="1E6D749C"/>
    <w:multiLevelType w:val="multilevel"/>
    <w:tmpl w:val="1E6D749C"/>
    <w:lvl w:ilvl="0" w:tentative="0">
      <w:start w:val="1"/>
      <w:numFmt w:val="lowerRoman"/>
      <w:lvlText w:val="(%1)"/>
      <w:lvlJc w:val="left"/>
      <w:pPr>
        <w:ind w:left="1440" w:hanging="360"/>
      </w:pPr>
      <w:rPr>
        <w:rFonts w:hint="default"/>
      </w:r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32">
    <w:nsid w:val="1F176084"/>
    <w:multiLevelType w:val="multilevel"/>
    <w:tmpl w:val="1F176084"/>
    <w:lvl w:ilvl="0" w:tentative="0">
      <w:start w:val="1"/>
      <w:numFmt w:val="lowerLetter"/>
      <w:lvlText w:val="(%1)"/>
      <w:lvlJc w:val="left"/>
      <w:pPr>
        <w:tabs>
          <w:tab w:val="left" w:pos="0"/>
        </w:tabs>
        <w:ind w:left="0" w:firstLine="0"/>
      </w:pPr>
      <w:rPr>
        <w:rFonts w:hint="default"/>
      </w:rPr>
    </w:lvl>
    <w:lvl w:ilvl="1" w:tentative="0">
      <w:start w:val="1"/>
      <w:numFmt w:val="lowerRoman"/>
      <w:lvlText w:val="(%2)"/>
      <w:lvlJc w:val="left"/>
      <w:pPr>
        <w:ind w:left="1296" w:hanging="360"/>
      </w:pPr>
      <w:rPr>
        <w:rFonts w:hint="default"/>
      </w:rPr>
    </w:lvl>
    <w:lvl w:ilvl="2" w:tentative="0">
      <w:start w:val="1"/>
      <w:numFmt w:val="lowerRoman"/>
      <w:lvlText w:val="%3."/>
      <w:lvlJc w:val="right"/>
      <w:pPr>
        <w:tabs>
          <w:tab w:val="left" w:pos="2016"/>
        </w:tabs>
        <w:ind w:left="2016" w:hanging="180"/>
      </w:pPr>
    </w:lvl>
    <w:lvl w:ilvl="3" w:tentative="0">
      <w:start w:val="1"/>
      <w:numFmt w:val="decimal"/>
      <w:lvlText w:val="%4."/>
      <w:lvlJc w:val="left"/>
      <w:pPr>
        <w:ind w:left="2736" w:hanging="360"/>
      </w:pPr>
      <w:rPr>
        <w:rFonts w:hint="default"/>
        <w:u w:val="single"/>
      </w:rPr>
    </w:lvl>
    <w:lvl w:ilvl="4" w:tentative="0">
      <w:start w:val="1"/>
      <w:numFmt w:val="lowerLetter"/>
      <w:lvlText w:val="%5."/>
      <w:lvlJc w:val="left"/>
      <w:pPr>
        <w:tabs>
          <w:tab w:val="left" w:pos="3456"/>
        </w:tabs>
        <w:ind w:left="3456" w:hanging="360"/>
      </w:pPr>
    </w:lvl>
    <w:lvl w:ilvl="5" w:tentative="0">
      <w:start w:val="1"/>
      <w:numFmt w:val="lowerRoman"/>
      <w:lvlText w:val="%6."/>
      <w:lvlJc w:val="right"/>
      <w:pPr>
        <w:tabs>
          <w:tab w:val="left" w:pos="4176"/>
        </w:tabs>
        <w:ind w:left="4176" w:hanging="180"/>
      </w:pPr>
    </w:lvl>
    <w:lvl w:ilvl="6" w:tentative="0">
      <w:start w:val="1"/>
      <w:numFmt w:val="decimal"/>
      <w:lvlText w:val="%7."/>
      <w:lvlJc w:val="left"/>
      <w:pPr>
        <w:tabs>
          <w:tab w:val="left" w:pos="4896"/>
        </w:tabs>
        <w:ind w:left="4896" w:hanging="360"/>
      </w:pPr>
    </w:lvl>
    <w:lvl w:ilvl="7" w:tentative="0">
      <w:start w:val="1"/>
      <w:numFmt w:val="lowerLetter"/>
      <w:lvlText w:val="%8."/>
      <w:lvlJc w:val="left"/>
      <w:pPr>
        <w:tabs>
          <w:tab w:val="left" w:pos="5616"/>
        </w:tabs>
        <w:ind w:left="5616" w:hanging="360"/>
      </w:pPr>
    </w:lvl>
    <w:lvl w:ilvl="8" w:tentative="0">
      <w:start w:val="1"/>
      <w:numFmt w:val="lowerRoman"/>
      <w:lvlText w:val="%9."/>
      <w:lvlJc w:val="right"/>
      <w:pPr>
        <w:tabs>
          <w:tab w:val="left" w:pos="6336"/>
        </w:tabs>
        <w:ind w:left="6336" w:hanging="180"/>
      </w:pPr>
    </w:lvl>
  </w:abstractNum>
  <w:abstractNum w:abstractNumId="33">
    <w:nsid w:val="207017AE"/>
    <w:multiLevelType w:val="multilevel"/>
    <w:tmpl w:val="207017AE"/>
    <w:lvl w:ilvl="0" w:tentative="0">
      <w:start w:val="1"/>
      <w:numFmt w:val="lowerLetter"/>
      <w:lvlText w:val="(%1)"/>
      <w:lvlJc w:val="left"/>
      <w:pPr>
        <w:ind w:left="720" w:hanging="360"/>
      </w:pPr>
      <w:rPr>
        <w:rFonts w:hint="default"/>
        <w:b w:val="0"/>
        <w:i w:val="0"/>
      </w:rPr>
    </w:lvl>
    <w:lvl w:ilvl="1" w:tentative="0">
      <w:start w:val="1"/>
      <w:numFmt w:val="lowerRoman"/>
      <w:lvlText w:val="%2."/>
      <w:lvlJc w:val="left"/>
      <w:pPr>
        <w:ind w:left="1440" w:hanging="360"/>
      </w:pPr>
      <w:rPr>
        <w:rFonts w:hint="default"/>
        <w:b w:val="0"/>
      </w:r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4">
    <w:nsid w:val="220A1518"/>
    <w:multiLevelType w:val="multilevel"/>
    <w:tmpl w:val="220A1518"/>
    <w:lvl w:ilvl="0" w:tentative="0">
      <w:start w:val="1"/>
      <w:numFmt w:val="lowerLetter"/>
      <w:lvlText w:val="(%1)"/>
      <w:lvlJc w:val="left"/>
      <w:pPr>
        <w:ind w:left="1080" w:hanging="360"/>
      </w:pPr>
      <w:rPr>
        <w:rFonts w:hint="default"/>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35">
    <w:nsid w:val="24A93114"/>
    <w:multiLevelType w:val="multilevel"/>
    <w:tmpl w:val="24A93114"/>
    <w:lvl w:ilvl="0" w:tentative="0">
      <w:start w:val="1"/>
      <w:numFmt w:val="lowerLetter"/>
      <w:lvlText w:val="(%1)"/>
      <w:legacy w:legacy="1" w:legacySpace="120" w:legacyIndent="720"/>
      <w:lvlJc w:val="left"/>
      <w:pPr>
        <w:ind w:left="1267" w:hanging="72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36">
    <w:nsid w:val="27AB0D95"/>
    <w:multiLevelType w:val="multilevel"/>
    <w:tmpl w:val="27AB0D95"/>
    <w:lvl w:ilvl="0" w:tentative="0">
      <w:start w:val="1"/>
      <w:numFmt w:val="bullet"/>
      <w:lvlText w:val=""/>
      <w:lvlJc w:val="left"/>
      <w:pPr>
        <w:ind w:left="1440" w:hanging="360"/>
      </w:pPr>
      <w:rPr>
        <w:rFonts w:hint="default" w:ascii="Symbol" w:hAnsi="Symbol"/>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37">
    <w:nsid w:val="289479D9"/>
    <w:multiLevelType w:val="multilevel"/>
    <w:tmpl w:val="289479D9"/>
    <w:lvl w:ilvl="0" w:tentative="0">
      <w:start w:val="1"/>
      <w:numFmt w:val="lowerLetter"/>
      <w:lvlText w:val="(%1)"/>
      <w:lvlJc w:val="left"/>
      <w:pPr>
        <w:tabs>
          <w:tab w:val="left" w:pos="1080"/>
        </w:tabs>
        <w:ind w:left="1080" w:hanging="540"/>
      </w:pPr>
      <w:rPr>
        <w:rFonts w:hint="default"/>
      </w:rPr>
    </w:lvl>
    <w:lvl w:ilvl="1" w:tentative="0">
      <w:start w:val="27"/>
      <w:numFmt w:val="decimal"/>
      <w:lvlText w:val="%2."/>
      <w:lvlJc w:val="left"/>
      <w:pPr>
        <w:tabs>
          <w:tab w:val="left" w:pos="1620"/>
        </w:tabs>
        <w:ind w:left="1620" w:hanging="360"/>
      </w:pPr>
      <w:rPr>
        <w:rFonts w:hint="default"/>
      </w:rPr>
    </w:lvl>
    <w:lvl w:ilvl="2" w:tentative="0">
      <w:start w:val="1"/>
      <w:numFmt w:val="lowerRoman"/>
      <w:lvlText w:val="%3."/>
      <w:lvlJc w:val="right"/>
      <w:pPr>
        <w:tabs>
          <w:tab w:val="left" w:pos="2340"/>
        </w:tabs>
        <w:ind w:left="2340" w:hanging="180"/>
      </w:pPr>
    </w:lvl>
    <w:lvl w:ilvl="3" w:tentative="0">
      <w:start w:val="1"/>
      <w:numFmt w:val="decimal"/>
      <w:lvlText w:val="%4."/>
      <w:lvlJc w:val="left"/>
      <w:pPr>
        <w:tabs>
          <w:tab w:val="left" w:pos="3060"/>
        </w:tabs>
        <w:ind w:left="3060" w:hanging="360"/>
      </w:pPr>
    </w:lvl>
    <w:lvl w:ilvl="4" w:tentative="0">
      <w:start w:val="1"/>
      <w:numFmt w:val="lowerLetter"/>
      <w:lvlText w:val="%5."/>
      <w:lvlJc w:val="left"/>
      <w:pPr>
        <w:tabs>
          <w:tab w:val="left" w:pos="3780"/>
        </w:tabs>
        <w:ind w:left="3780" w:hanging="360"/>
      </w:pPr>
    </w:lvl>
    <w:lvl w:ilvl="5" w:tentative="0">
      <w:start w:val="1"/>
      <w:numFmt w:val="lowerRoman"/>
      <w:lvlText w:val="%6."/>
      <w:lvlJc w:val="right"/>
      <w:pPr>
        <w:tabs>
          <w:tab w:val="left" w:pos="4500"/>
        </w:tabs>
        <w:ind w:left="4500" w:hanging="180"/>
      </w:pPr>
    </w:lvl>
    <w:lvl w:ilvl="6" w:tentative="0">
      <w:start w:val="1"/>
      <w:numFmt w:val="decimal"/>
      <w:lvlText w:val="%7."/>
      <w:lvlJc w:val="left"/>
      <w:pPr>
        <w:tabs>
          <w:tab w:val="left" w:pos="5220"/>
        </w:tabs>
        <w:ind w:left="5220" w:hanging="360"/>
      </w:pPr>
    </w:lvl>
    <w:lvl w:ilvl="7" w:tentative="0">
      <w:start w:val="1"/>
      <w:numFmt w:val="lowerLetter"/>
      <w:lvlText w:val="%8."/>
      <w:lvlJc w:val="left"/>
      <w:pPr>
        <w:tabs>
          <w:tab w:val="left" w:pos="5940"/>
        </w:tabs>
        <w:ind w:left="5940" w:hanging="360"/>
      </w:pPr>
    </w:lvl>
    <w:lvl w:ilvl="8" w:tentative="0">
      <w:start w:val="1"/>
      <w:numFmt w:val="lowerRoman"/>
      <w:lvlText w:val="%9."/>
      <w:lvlJc w:val="right"/>
      <w:pPr>
        <w:tabs>
          <w:tab w:val="left" w:pos="6660"/>
        </w:tabs>
        <w:ind w:left="6660" w:hanging="180"/>
      </w:pPr>
    </w:lvl>
  </w:abstractNum>
  <w:abstractNum w:abstractNumId="38">
    <w:nsid w:val="289A4E39"/>
    <w:multiLevelType w:val="multilevel"/>
    <w:tmpl w:val="289A4E39"/>
    <w:lvl w:ilvl="0" w:tentative="0">
      <w:start w:val="1"/>
      <w:numFmt w:val="decimal"/>
      <w:lvlText w:val="%1."/>
      <w:lvlJc w:val="left"/>
      <w:pPr>
        <w:ind w:left="1080" w:hanging="360"/>
      </w:p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39">
    <w:nsid w:val="2A751715"/>
    <w:multiLevelType w:val="multilevel"/>
    <w:tmpl w:val="2A751715"/>
    <w:lvl w:ilvl="0" w:tentative="0">
      <w:start w:val="1"/>
      <w:numFmt w:val="lowerRoman"/>
      <w:pStyle w:val="196"/>
      <w:lvlText w:val="%1."/>
      <w:lvlJc w:val="right"/>
      <w:pPr>
        <w:ind w:left="1080" w:hanging="360"/>
      </w:pPr>
      <w:rPr>
        <w:rFonts w:hint="default"/>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40">
    <w:nsid w:val="2AD443DF"/>
    <w:multiLevelType w:val="multilevel"/>
    <w:tmpl w:val="2AD443DF"/>
    <w:lvl w:ilvl="0" w:tentative="0">
      <w:start w:val="1"/>
      <w:numFmt w:val="lowerRoman"/>
      <w:lvlText w:val="%1)"/>
      <w:lvlJc w:val="left"/>
      <w:pPr>
        <w:ind w:left="360" w:hanging="360"/>
      </w:pPr>
      <w:rPr>
        <w:rFonts w:hint="default"/>
        <w:i w:val="0"/>
        <w:iCs/>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41">
    <w:nsid w:val="2B324733"/>
    <w:multiLevelType w:val="multilevel"/>
    <w:tmpl w:val="2B324733"/>
    <w:lvl w:ilvl="0" w:tentative="0">
      <w:start w:val="1"/>
      <w:numFmt w:val="lowerLetter"/>
      <w:lvlText w:val="(%1)"/>
      <w:lvlJc w:val="left"/>
      <w:pPr>
        <w:tabs>
          <w:tab w:val="left" w:pos="576"/>
        </w:tabs>
        <w:ind w:left="576" w:firstLine="0"/>
      </w:pPr>
      <w:rPr>
        <w:rFonts w:hint="default"/>
      </w:rPr>
    </w:lvl>
    <w:lvl w:ilvl="1" w:tentative="0">
      <w:start w:val="1"/>
      <w:numFmt w:val="lowerLetter"/>
      <w:lvlText w:val="(%2)"/>
      <w:lvlJc w:val="left"/>
      <w:pPr>
        <w:tabs>
          <w:tab w:val="left" w:pos="936"/>
        </w:tabs>
        <w:ind w:left="936" w:firstLine="0"/>
      </w:pPr>
      <w:rPr>
        <w:rFonts w:hint="default"/>
      </w:rPr>
    </w:lvl>
    <w:lvl w:ilvl="2" w:tentative="0">
      <w:start w:val="1"/>
      <w:numFmt w:val="lowerRoman"/>
      <w:lvlText w:val="%3."/>
      <w:lvlJc w:val="right"/>
      <w:pPr>
        <w:tabs>
          <w:tab w:val="left" w:pos="2016"/>
        </w:tabs>
        <w:ind w:left="2016" w:hanging="180"/>
      </w:pPr>
    </w:lvl>
    <w:lvl w:ilvl="3" w:tentative="0">
      <w:start w:val="1"/>
      <w:numFmt w:val="decimal"/>
      <w:lvlText w:val="%4."/>
      <w:lvlJc w:val="left"/>
      <w:pPr>
        <w:tabs>
          <w:tab w:val="left" w:pos="2736"/>
        </w:tabs>
        <w:ind w:left="2736" w:hanging="360"/>
      </w:pPr>
    </w:lvl>
    <w:lvl w:ilvl="4" w:tentative="0">
      <w:start w:val="1"/>
      <w:numFmt w:val="lowerLetter"/>
      <w:lvlText w:val="%5."/>
      <w:lvlJc w:val="left"/>
      <w:pPr>
        <w:tabs>
          <w:tab w:val="left" w:pos="3456"/>
        </w:tabs>
        <w:ind w:left="3456" w:hanging="360"/>
      </w:pPr>
    </w:lvl>
    <w:lvl w:ilvl="5" w:tentative="0">
      <w:start w:val="1"/>
      <w:numFmt w:val="lowerRoman"/>
      <w:lvlText w:val="%6."/>
      <w:lvlJc w:val="right"/>
      <w:pPr>
        <w:tabs>
          <w:tab w:val="left" w:pos="4176"/>
        </w:tabs>
        <w:ind w:left="4176" w:hanging="180"/>
      </w:pPr>
    </w:lvl>
    <w:lvl w:ilvl="6" w:tentative="0">
      <w:start w:val="1"/>
      <w:numFmt w:val="decimal"/>
      <w:lvlText w:val="%7."/>
      <w:lvlJc w:val="left"/>
      <w:pPr>
        <w:tabs>
          <w:tab w:val="left" w:pos="4896"/>
        </w:tabs>
        <w:ind w:left="4896" w:hanging="360"/>
      </w:pPr>
    </w:lvl>
    <w:lvl w:ilvl="7" w:tentative="0">
      <w:start w:val="1"/>
      <w:numFmt w:val="lowerLetter"/>
      <w:lvlText w:val="%8."/>
      <w:lvlJc w:val="left"/>
      <w:pPr>
        <w:tabs>
          <w:tab w:val="left" w:pos="5616"/>
        </w:tabs>
        <w:ind w:left="5616" w:hanging="360"/>
      </w:pPr>
    </w:lvl>
    <w:lvl w:ilvl="8" w:tentative="0">
      <w:start w:val="1"/>
      <w:numFmt w:val="lowerRoman"/>
      <w:lvlText w:val="%9."/>
      <w:lvlJc w:val="right"/>
      <w:pPr>
        <w:tabs>
          <w:tab w:val="left" w:pos="6336"/>
        </w:tabs>
        <w:ind w:left="6336" w:hanging="180"/>
      </w:pPr>
    </w:lvl>
  </w:abstractNum>
  <w:abstractNum w:abstractNumId="42">
    <w:nsid w:val="2E5C3A52"/>
    <w:multiLevelType w:val="multilevel"/>
    <w:tmpl w:val="2E5C3A52"/>
    <w:lvl w:ilvl="0" w:tentative="0">
      <w:start w:val="1"/>
      <w:numFmt w:val="decimal"/>
      <w:lvlText w:val="%1."/>
      <w:lvlJc w:val="left"/>
      <w:pPr>
        <w:ind w:left="63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3">
    <w:nsid w:val="326B7B5A"/>
    <w:multiLevelType w:val="multilevel"/>
    <w:tmpl w:val="326B7B5A"/>
    <w:lvl w:ilvl="0" w:tentative="0">
      <w:start w:val="1"/>
      <w:numFmt w:val="bullet"/>
      <w:lvlText w:val=""/>
      <w:lvlJc w:val="left"/>
      <w:pPr>
        <w:ind w:left="360" w:hanging="360"/>
      </w:pPr>
      <w:rPr>
        <w:rFonts w:hint="default" w:ascii="Symbol" w:hAnsi="Symbol"/>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44">
    <w:nsid w:val="342941C3"/>
    <w:multiLevelType w:val="multilevel"/>
    <w:tmpl w:val="342941C3"/>
    <w:lvl w:ilvl="0" w:tentative="0">
      <w:start w:val="1"/>
      <w:numFmt w:val="lowerLetter"/>
      <w:lvlText w:val="(%1)"/>
      <w:lvlJc w:val="left"/>
      <w:pPr>
        <w:ind w:left="720" w:hanging="360"/>
      </w:pPr>
      <w:rPr>
        <w:rFonts w:hint="default"/>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5">
    <w:nsid w:val="343D49AE"/>
    <w:multiLevelType w:val="multilevel"/>
    <w:tmpl w:val="343D49AE"/>
    <w:lvl w:ilvl="0" w:tentative="0">
      <w:start w:val="1"/>
      <w:numFmt w:val="lowerLetter"/>
      <w:lvlText w:val="(%1)"/>
      <w:legacy w:legacy="1" w:legacySpace="120" w:legacyIndent="720"/>
      <w:lvlJc w:val="left"/>
      <w:pPr>
        <w:ind w:left="1267" w:hanging="72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46">
    <w:nsid w:val="372A14C9"/>
    <w:multiLevelType w:val="multilevel"/>
    <w:tmpl w:val="372A14C9"/>
    <w:lvl w:ilvl="0" w:tentative="0">
      <w:start w:val="1"/>
      <w:numFmt w:val="bullet"/>
      <w:pStyle w:val="198"/>
      <w:lvlText w:val="-"/>
      <w:lvlJc w:val="left"/>
      <w:pPr>
        <w:ind w:left="1800" w:hanging="360"/>
      </w:pPr>
      <w:rPr>
        <w:rFonts w:hint="default" w:ascii="Calibri" w:hAnsi="Calibri" w:eastAsia="Calibri" w:cs="Times New Roman"/>
      </w:rPr>
    </w:lvl>
    <w:lvl w:ilvl="1" w:tentative="0">
      <w:start w:val="1"/>
      <w:numFmt w:val="bullet"/>
      <w:lvlText w:val="o"/>
      <w:lvlJc w:val="left"/>
      <w:pPr>
        <w:ind w:left="2520" w:hanging="360"/>
      </w:pPr>
      <w:rPr>
        <w:rFonts w:hint="default" w:ascii="Courier New" w:hAnsi="Courier New" w:cs="Courier New"/>
      </w:rPr>
    </w:lvl>
    <w:lvl w:ilvl="2" w:tentative="0">
      <w:start w:val="1"/>
      <w:numFmt w:val="bullet"/>
      <w:lvlText w:val=""/>
      <w:lvlJc w:val="left"/>
      <w:pPr>
        <w:ind w:left="3240" w:hanging="360"/>
      </w:pPr>
      <w:rPr>
        <w:rFonts w:hint="default" w:ascii="Wingdings" w:hAnsi="Wingdings"/>
      </w:rPr>
    </w:lvl>
    <w:lvl w:ilvl="3" w:tentative="0">
      <w:start w:val="1"/>
      <w:numFmt w:val="bullet"/>
      <w:lvlText w:val=""/>
      <w:lvlJc w:val="left"/>
      <w:pPr>
        <w:ind w:left="3960" w:hanging="360"/>
      </w:pPr>
      <w:rPr>
        <w:rFonts w:hint="default" w:ascii="Symbol" w:hAnsi="Symbol"/>
      </w:rPr>
    </w:lvl>
    <w:lvl w:ilvl="4" w:tentative="0">
      <w:start w:val="1"/>
      <w:numFmt w:val="bullet"/>
      <w:lvlText w:val="o"/>
      <w:lvlJc w:val="left"/>
      <w:pPr>
        <w:ind w:left="4680" w:hanging="360"/>
      </w:pPr>
      <w:rPr>
        <w:rFonts w:hint="default" w:ascii="Courier New" w:hAnsi="Courier New" w:cs="Courier New"/>
      </w:rPr>
    </w:lvl>
    <w:lvl w:ilvl="5" w:tentative="0">
      <w:start w:val="1"/>
      <w:numFmt w:val="bullet"/>
      <w:lvlText w:val=""/>
      <w:lvlJc w:val="left"/>
      <w:pPr>
        <w:ind w:left="5400" w:hanging="360"/>
      </w:pPr>
      <w:rPr>
        <w:rFonts w:hint="default" w:ascii="Wingdings" w:hAnsi="Wingdings"/>
      </w:rPr>
    </w:lvl>
    <w:lvl w:ilvl="6" w:tentative="0">
      <w:start w:val="1"/>
      <w:numFmt w:val="bullet"/>
      <w:lvlText w:val=""/>
      <w:lvlJc w:val="left"/>
      <w:pPr>
        <w:ind w:left="6120" w:hanging="360"/>
      </w:pPr>
      <w:rPr>
        <w:rFonts w:hint="default" w:ascii="Symbol" w:hAnsi="Symbol"/>
      </w:rPr>
    </w:lvl>
    <w:lvl w:ilvl="7" w:tentative="0">
      <w:start w:val="1"/>
      <w:numFmt w:val="bullet"/>
      <w:lvlText w:val="o"/>
      <w:lvlJc w:val="left"/>
      <w:pPr>
        <w:ind w:left="6840" w:hanging="360"/>
      </w:pPr>
      <w:rPr>
        <w:rFonts w:hint="default" w:ascii="Courier New" w:hAnsi="Courier New" w:cs="Courier New"/>
      </w:rPr>
    </w:lvl>
    <w:lvl w:ilvl="8" w:tentative="0">
      <w:start w:val="1"/>
      <w:numFmt w:val="bullet"/>
      <w:lvlText w:val=""/>
      <w:lvlJc w:val="left"/>
      <w:pPr>
        <w:ind w:left="7560" w:hanging="360"/>
      </w:pPr>
      <w:rPr>
        <w:rFonts w:hint="default" w:ascii="Wingdings" w:hAnsi="Wingdings"/>
      </w:rPr>
    </w:lvl>
  </w:abstractNum>
  <w:abstractNum w:abstractNumId="47">
    <w:nsid w:val="397E626D"/>
    <w:multiLevelType w:val="multilevel"/>
    <w:tmpl w:val="397E626D"/>
    <w:lvl w:ilvl="0" w:tentative="0">
      <w:start w:val="1"/>
      <w:numFmt w:val="lowerRoman"/>
      <w:lvlText w:val="%1."/>
      <w:lvlJc w:val="right"/>
      <w:pPr>
        <w:ind w:left="720" w:hanging="360"/>
      </w:pPr>
    </w:lvl>
    <w:lvl w:ilvl="1" w:tentative="0">
      <w:start w:val="1"/>
      <w:numFmt w:val="lowerRoman"/>
      <w:lvlText w:val="%2."/>
      <w:lvlJc w:val="right"/>
      <w:pPr>
        <w:ind w:left="90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8">
    <w:nsid w:val="3B5E3E3C"/>
    <w:multiLevelType w:val="multilevel"/>
    <w:tmpl w:val="3B5E3E3C"/>
    <w:lvl w:ilvl="0" w:tentative="0">
      <w:start w:val="1"/>
      <w:numFmt w:val="lowerLetter"/>
      <w:lvlText w:val="(%1)"/>
      <w:legacy w:legacy="1" w:legacySpace="120" w:legacyIndent="720"/>
      <w:lvlJc w:val="left"/>
      <w:pPr>
        <w:ind w:left="1267" w:hanging="72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49">
    <w:nsid w:val="3E143EB2"/>
    <w:multiLevelType w:val="multilevel"/>
    <w:tmpl w:val="3E143EB2"/>
    <w:lvl w:ilvl="0" w:tentative="0">
      <w:start w:val="18"/>
      <w:numFmt w:val="decimal"/>
      <w:lvlText w:val="%1"/>
      <w:lvlJc w:val="left"/>
      <w:pPr>
        <w:tabs>
          <w:tab w:val="left" w:pos="360"/>
        </w:tabs>
        <w:ind w:left="360" w:hanging="360"/>
      </w:pPr>
      <w:rPr>
        <w:rFonts w:hint="default"/>
      </w:rPr>
    </w:lvl>
    <w:lvl w:ilvl="1" w:tentative="0">
      <w:start w:val="3"/>
      <w:numFmt w:val="decimal"/>
      <w:lvlText w:val="%1.%2"/>
      <w:lvlJc w:val="left"/>
      <w:pPr>
        <w:tabs>
          <w:tab w:val="left" w:pos="360"/>
        </w:tabs>
        <w:ind w:left="360" w:hanging="360"/>
      </w:pPr>
      <w:rPr>
        <w:rFonts w:hint="default"/>
      </w:rPr>
    </w:lvl>
    <w:lvl w:ilvl="2" w:tentative="0">
      <w:start w:val="1"/>
      <w:numFmt w:val="lowerLetter"/>
      <w:lvlText w:val="(%3)"/>
      <w:lvlJc w:val="left"/>
      <w:pPr>
        <w:tabs>
          <w:tab w:val="left" w:pos="360"/>
        </w:tabs>
        <w:ind w:left="360" w:hanging="360"/>
      </w:pPr>
      <w:rPr>
        <w:rFonts w:hint="default"/>
      </w:rPr>
    </w:lvl>
    <w:lvl w:ilvl="3" w:tentative="0">
      <w:start w:val="1"/>
      <w:numFmt w:val="decimal"/>
      <w:lvlText w:val="%1.%2.%3.%4"/>
      <w:lvlJc w:val="left"/>
      <w:pPr>
        <w:tabs>
          <w:tab w:val="left" w:pos="720"/>
        </w:tabs>
        <w:ind w:left="720" w:hanging="720"/>
      </w:pPr>
      <w:rPr>
        <w:rFonts w:hint="default"/>
      </w:rPr>
    </w:lvl>
    <w:lvl w:ilvl="4" w:tentative="0">
      <w:start w:val="1"/>
      <w:numFmt w:val="decimal"/>
      <w:lvlText w:val="%1.%2.%3.%4.%5"/>
      <w:lvlJc w:val="left"/>
      <w:pPr>
        <w:tabs>
          <w:tab w:val="left" w:pos="1080"/>
        </w:tabs>
        <w:ind w:left="1080" w:hanging="1080"/>
      </w:pPr>
      <w:rPr>
        <w:rFonts w:hint="default"/>
      </w:rPr>
    </w:lvl>
    <w:lvl w:ilvl="5" w:tentative="0">
      <w:start w:val="1"/>
      <w:numFmt w:val="decimal"/>
      <w:lvlText w:val="%1.%2.%3.%4.%5.%6"/>
      <w:lvlJc w:val="left"/>
      <w:pPr>
        <w:tabs>
          <w:tab w:val="left" w:pos="1080"/>
        </w:tabs>
        <w:ind w:left="1080" w:hanging="1080"/>
      </w:pPr>
      <w:rPr>
        <w:rFonts w:hint="default"/>
      </w:rPr>
    </w:lvl>
    <w:lvl w:ilvl="6" w:tentative="0">
      <w:start w:val="1"/>
      <w:numFmt w:val="decimal"/>
      <w:lvlText w:val="%1.%2.%3.%4.%5.%6.%7"/>
      <w:lvlJc w:val="left"/>
      <w:pPr>
        <w:tabs>
          <w:tab w:val="left" w:pos="1440"/>
        </w:tabs>
        <w:ind w:left="1440" w:hanging="1440"/>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800"/>
        </w:tabs>
        <w:ind w:left="1800" w:hanging="1800"/>
      </w:pPr>
      <w:rPr>
        <w:rFonts w:hint="default"/>
      </w:rPr>
    </w:lvl>
  </w:abstractNum>
  <w:abstractNum w:abstractNumId="50">
    <w:nsid w:val="3ED10A5F"/>
    <w:multiLevelType w:val="multilevel"/>
    <w:tmpl w:val="3ED10A5F"/>
    <w:lvl w:ilvl="0" w:tentative="0">
      <w:start w:val="1"/>
      <w:numFmt w:val="decimal"/>
      <w:pStyle w:val="68"/>
      <w:isLgl/>
      <w:lvlText w:val="%1."/>
      <w:lvlJc w:val="left"/>
      <w:pPr>
        <w:tabs>
          <w:tab w:val="left" w:pos="432"/>
        </w:tabs>
        <w:ind w:left="432" w:hanging="432"/>
      </w:pPr>
      <w:rPr>
        <w:rFonts w:hint="default" w:ascii="Arial" w:hAnsi="Arial"/>
        <w:b/>
        <w:i w:val="0"/>
        <w:sz w:val="20"/>
      </w:rPr>
    </w:lvl>
    <w:lvl w:ilvl="1" w:tentative="0">
      <w:start w:val="1"/>
      <w:numFmt w:val="decimal"/>
      <w:lvlText w:val="%1.%2"/>
      <w:lvlJc w:val="left"/>
      <w:pPr>
        <w:tabs>
          <w:tab w:val="left" w:pos="504"/>
        </w:tabs>
        <w:ind w:left="504" w:hanging="504"/>
      </w:pPr>
      <w:rPr>
        <w:rFonts w:hint="default" w:ascii="Arial" w:hAnsi="Arial"/>
        <w:b w:val="0"/>
        <w:i w:val="0"/>
        <w:sz w:val="20"/>
      </w:rPr>
    </w:lvl>
    <w:lvl w:ilvl="2" w:tentative="0">
      <w:start w:val="1"/>
      <w:numFmt w:val="lowerLetter"/>
      <w:lvlText w:val="(%3)"/>
      <w:lvlJc w:val="left"/>
      <w:pPr>
        <w:tabs>
          <w:tab w:val="left" w:pos="864"/>
        </w:tabs>
        <w:ind w:left="864" w:hanging="360"/>
      </w:pPr>
      <w:rPr>
        <w:rFonts w:hint="default" w:ascii="Times New Roman" w:hAnsi="Times New Roman"/>
        <w:b w:val="0"/>
        <w:i w:val="0"/>
        <w:sz w:val="24"/>
      </w:rPr>
    </w:lvl>
    <w:lvl w:ilvl="3" w:tentative="0">
      <w:start w:val="1"/>
      <w:numFmt w:val="lowerRoman"/>
      <w:lvlText w:val="(%4)"/>
      <w:lvlJc w:val="left"/>
      <w:pPr>
        <w:tabs>
          <w:tab w:val="left" w:pos="1512"/>
        </w:tabs>
        <w:ind w:left="1512" w:hanging="648"/>
      </w:pPr>
      <w:rPr>
        <w:rFonts w:hint="default" w:ascii="Arial" w:hAnsi="Arial"/>
        <w:b w:val="0"/>
        <w:i w:val="0"/>
        <w:sz w:val="20"/>
      </w:rPr>
    </w:lvl>
    <w:lvl w:ilvl="4" w:tentative="0">
      <w:start w:val="1"/>
      <w:numFmt w:val="decimal"/>
      <w:lvlText w:val="%1.%2.%3.%4.%5"/>
      <w:lvlJc w:val="left"/>
      <w:pPr>
        <w:tabs>
          <w:tab w:val="left" w:pos="1008"/>
        </w:tabs>
        <w:ind w:left="1008" w:hanging="1008"/>
      </w:pPr>
      <w:rPr>
        <w:rFonts w:hint="default"/>
      </w:rPr>
    </w:lvl>
    <w:lvl w:ilvl="5" w:tentative="0">
      <w:start w:val="1"/>
      <w:numFmt w:val="decimal"/>
      <w:lvlText w:val="%1.%2.%3.%4.%5.%6"/>
      <w:lvlJc w:val="left"/>
      <w:pPr>
        <w:tabs>
          <w:tab w:val="left" w:pos="1152"/>
        </w:tabs>
        <w:ind w:left="1152" w:hanging="1152"/>
      </w:pPr>
      <w:rPr>
        <w:rFonts w:hint="default"/>
      </w:rPr>
    </w:lvl>
    <w:lvl w:ilvl="6" w:tentative="0">
      <w:start w:val="1"/>
      <w:numFmt w:val="decimal"/>
      <w:lvlText w:val="%1.%2.%3.%4.%5.%6.%7"/>
      <w:lvlJc w:val="left"/>
      <w:pPr>
        <w:tabs>
          <w:tab w:val="left" w:pos="1296"/>
        </w:tabs>
        <w:ind w:left="1296" w:hanging="1296"/>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584"/>
        </w:tabs>
        <w:ind w:left="1584" w:hanging="1584"/>
      </w:pPr>
      <w:rPr>
        <w:rFonts w:hint="default"/>
      </w:rPr>
    </w:lvl>
  </w:abstractNum>
  <w:abstractNum w:abstractNumId="51">
    <w:nsid w:val="3F0C7969"/>
    <w:multiLevelType w:val="multilevel"/>
    <w:tmpl w:val="3F0C7969"/>
    <w:lvl w:ilvl="0" w:tentative="0">
      <w:start w:val="1"/>
      <w:numFmt w:val="lowerLetter"/>
      <w:pStyle w:val="197"/>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2">
    <w:nsid w:val="3F53245B"/>
    <w:multiLevelType w:val="multilevel"/>
    <w:tmpl w:val="3F53245B"/>
    <w:lvl w:ilvl="0" w:tentative="0">
      <w:start w:val="4"/>
      <w:numFmt w:val="lowerLetter"/>
      <w:lvlText w:val="(%1)"/>
      <w:lvlJc w:val="left"/>
      <w:pPr>
        <w:ind w:left="936" w:hanging="360"/>
      </w:pPr>
      <w:rPr>
        <w:rFonts w:hint="default"/>
        <w:b w:val="0"/>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3">
    <w:nsid w:val="41DD70BF"/>
    <w:multiLevelType w:val="multilevel"/>
    <w:tmpl w:val="41DD70BF"/>
    <w:lvl w:ilvl="0" w:tentative="0">
      <w:start w:val="1"/>
      <w:numFmt w:val="lowerLetter"/>
      <w:lvlText w:val="%1)"/>
      <w:lvlJc w:val="left"/>
      <w:pPr>
        <w:tabs>
          <w:tab w:val="left" w:pos="1440"/>
        </w:tabs>
        <w:ind w:left="1440" w:hanging="720"/>
      </w:pPr>
      <w:rPr>
        <w:rFonts w:hint="default"/>
      </w:rPr>
    </w:lvl>
    <w:lvl w:ilvl="1" w:tentative="0">
      <w:start w:val="1"/>
      <w:numFmt w:val="upperLetter"/>
      <w:lvlText w:val="%2."/>
      <w:lvlJc w:val="left"/>
      <w:pPr>
        <w:tabs>
          <w:tab w:val="left" w:pos="1152"/>
        </w:tabs>
        <w:ind w:left="1152" w:hanging="576"/>
      </w:pPr>
    </w:lvl>
    <w:lvl w:ilvl="2" w:tentative="0">
      <w:start w:val="1"/>
      <w:numFmt w:val="decimal"/>
      <w:pStyle w:val="71"/>
      <w:lvlText w:val="%3."/>
      <w:lvlJc w:val="left"/>
      <w:pPr>
        <w:tabs>
          <w:tab w:val="left" w:pos="1728"/>
        </w:tabs>
        <w:ind w:left="1728" w:hanging="432"/>
      </w:pPr>
    </w:lvl>
    <w:lvl w:ilvl="3" w:tentative="0">
      <w:start w:val="1"/>
      <w:numFmt w:val="lowerLetter"/>
      <w:lvlText w:val="%4)"/>
      <w:lvlJc w:val="left"/>
      <w:pPr>
        <w:tabs>
          <w:tab w:val="left" w:pos="2304"/>
        </w:tabs>
        <w:ind w:left="2304" w:hanging="576"/>
      </w:pPr>
    </w:lvl>
    <w:lvl w:ilvl="4" w:tentative="0">
      <w:start w:val="1"/>
      <w:numFmt w:val="decimal"/>
      <w:lvlText w:val="(%5)"/>
      <w:lvlJc w:val="left"/>
      <w:pPr>
        <w:tabs>
          <w:tab w:val="left" w:pos="3240"/>
        </w:tabs>
        <w:ind w:left="2880" w:firstLine="0"/>
      </w:pPr>
    </w:lvl>
    <w:lvl w:ilvl="5" w:tentative="0">
      <w:start w:val="1"/>
      <w:numFmt w:val="lowerLetter"/>
      <w:lvlText w:val="(%6)"/>
      <w:lvlJc w:val="left"/>
      <w:pPr>
        <w:tabs>
          <w:tab w:val="left" w:pos="3960"/>
        </w:tabs>
        <w:ind w:left="3600" w:firstLine="0"/>
      </w:pPr>
    </w:lvl>
    <w:lvl w:ilvl="6" w:tentative="0">
      <w:start w:val="1"/>
      <w:numFmt w:val="lowerRoman"/>
      <w:lvlText w:val="(%7)"/>
      <w:lvlJc w:val="left"/>
      <w:pPr>
        <w:tabs>
          <w:tab w:val="left" w:pos="4680"/>
        </w:tabs>
        <w:ind w:left="4320" w:firstLine="0"/>
      </w:pPr>
    </w:lvl>
    <w:lvl w:ilvl="7" w:tentative="0">
      <w:start w:val="1"/>
      <w:numFmt w:val="lowerLetter"/>
      <w:lvlText w:val="(%8)"/>
      <w:lvlJc w:val="left"/>
      <w:pPr>
        <w:tabs>
          <w:tab w:val="left" w:pos="5400"/>
        </w:tabs>
        <w:ind w:left="5040" w:firstLine="0"/>
      </w:pPr>
    </w:lvl>
    <w:lvl w:ilvl="8" w:tentative="0">
      <w:start w:val="1"/>
      <w:numFmt w:val="lowerRoman"/>
      <w:lvlText w:val="(%9)"/>
      <w:lvlJc w:val="left"/>
      <w:pPr>
        <w:tabs>
          <w:tab w:val="left" w:pos="6120"/>
        </w:tabs>
        <w:ind w:left="5760" w:firstLine="0"/>
      </w:pPr>
    </w:lvl>
  </w:abstractNum>
  <w:abstractNum w:abstractNumId="54">
    <w:nsid w:val="43FA0270"/>
    <w:multiLevelType w:val="multilevel"/>
    <w:tmpl w:val="43FA0270"/>
    <w:lvl w:ilvl="0" w:tentative="0">
      <w:start w:val="1"/>
      <w:numFmt w:val="lowerLetter"/>
      <w:lvlText w:val="(%1)"/>
      <w:lvlJc w:val="left"/>
      <w:pPr>
        <w:tabs>
          <w:tab w:val="left" w:pos="1080"/>
        </w:tabs>
        <w:ind w:left="1080" w:hanging="540"/>
      </w:pPr>
      <w:rPr>
        <w:rFonts w:hint="default"/>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55">
    <w:nsid w:val="46AA34AB"/>
    <w:multiLevelType w:val="multilevel"/>
    <w:tmpl w:val="46AA34AB"/>
    <w:lvl w:ilvl="0" w:tentative="0">
      <w:start w:val="1"/>
      <w:numFmt w:val="decimal"/>
      <w:lvlText w:val="%1."/>
      <w:lvlJc w:val="left"/>
      <w:pPr>
        <w:tabs>
          <w:tab w:val="left" w:pos="540"/>
        </w:tabs>
        <w:ind w:left="540" w:hanging="540"/>
      </w:pPr>
      <w:rPr>
        <w:rFonts w:ascii="Times New Roman" w:hAnsi="Times New Roman" w:eastAsia="Times New Roman" w:cs="Times New Roman"/>
      </w:rPr>
    </w:lvl>
    <w:lvl w:ilvl="1" w:tentative="0">
      <w:start w:val="1"/>
      <w:numFmt w:val="decimal"/>
      <w:lvlText w:val="%1.%2"/>
      <w:lvlJc w:val="left"/>
      <w:pPr>
        <w:tabs>
          <w:tab w:val="left" w:pos="540"/>
        </w:tabs>
        <w:ind w:left="540" w:hanging="540"/>
      </w:pPr>
      <w:rPr>
        <w:rFonts w:hint="default"/>
        <w:i w:val="0"/>
      </w:rPr>
    </w:lvl>
    <w:lvl w:ilvl="2" w:tentative="0">
      <w:start w:val="1"/>
      <w:numFmt w:val="decimal"/>
      <w:lvlText w:val="%1.%2.%3"/>
      <w:lvlJc w:val="left"/>
      <w:pPr>
        <w:tabs>
          <w:tab w:val="left" w:pos="720"/>
        </w:tabs>
        <w:ind w:left="720" w:hanging="720"/>
      </w:pPr>
      <w:rPr>
        <w:rFonts w:hint="default"/>
      </w:rPr>
    </w:lvl>
    <w:lvl w:ilvl="3" w:tentative="0">
      <w:start w:val="1"/>
      <w:numFmt w:val="decimal"/>
      <w:lvlText w:val="%1.%2.%3.%4"/>
      <w:lvlJc w:val="left"/>
      <w:pPr>
        <w:tabs>
          <w:tab w:val="left" w:pos="720"/>
        </w:tabs>
        <w:ind w:left="720" w:hanging="720"/>
      </w:pPr>
      <w:rPr>
        <w:rFonts w:hint="default"/>
      </w:rPr>
    </w:lvl>
    <w:lvl w:ilvl="4" w:tentative="0">
      <w:start w:val="1"/>
      <w:numFmt w:val="decimal"/>
      <w:lvlText w:val="%1.%2.%3.%4.%5"/>
      <w:lvlJc w:val="left"/>
      <w:pPr>
        <w:tabs>
          <w:tab w:val="left" w:pos="1080"/>
        </w:tabs>
        <w:ind w:left="1080" w:hanging="1080"/>
      </w:pPr>
      <w:rPr>
        <w:rFonts w:hint="default"/>
      </w:rPr>
    </w:lvl>
    <w:lvl w:ilvl="5" w:tentative="0">
      <w:start w:val="1"/>
      <w:numFmt w:val="decimal"/>
      <w:lvlText w:val="%1.%2.%3.%4.%5.%6"/>
      <w:lvlJc w:val="left"/>
      <w:pPr>
        <w:tabs>
          <w:tab w:val="left" w:pos="1080"/>
        </w:tabs>
        <w:ind w:left="1080" w:hanging="1080"/>
      </w:pPr>
      <w:rPr>
        <w:rFonts w:hint="default"/>
      </w:rPr>
    </w:lvl>
    <w:lvl w:ilvl="6" w:tentative="0">
      <w:start w:val="1"/>
      <w:numFmt w:val="decimal"/>
      <w:lvlText w:val="%1.%2.%3.%4.%5.%6.%7"/>
      <w:lvlJc w:val="left"/>
      <w:pPr>
        <w:tabs>
          <w:tab w:val="left" w:pos="1440"/>
        </w:tabs>
        <w:ind w:left="1440" w:hanging="1440"/>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800"/>
        </w:tabs>
        <w:ind w:left="1800" w:hanging="1800"/>
      </w:pPr>
      <w:rPr>
        <w:rFonts w:hint="default"/>
      </w:rPr>
    </w:lvl>
  </w:abstractNum>
  <w:abstractNum w:abstractNumId="56">
    <w:nsid w:val="47D441DF"/>
    <w:multiLevelType w:val="multilevel"/>
    <w:tmpl w:val="47D441DF"/>
    <w:lvl w:ilvl="0" w:tentative="0">
      <w:start w:val="2"/>
      <w:numFmt w:val="decimal"/>
      <w:lvlText w:val="%1"/>
      <w:lvlJc w:val="left"/>
      <w:pPr>
        <w:tabs>
          <w:tab w:val="left" w:pos="720"/>
        </w:tabs>
        <w:ind w:left="720" w:hanging="720"/>
      </w:pPr>
      <w:rPr>
        <w:rFonts w:hint="default"/>
      </w:rPr>
    </w:lvl>
    <w:lvl w:ilvl="1" w:tentative="0">
      <w:start w:val="2"/>
      <w:numFmt w:val="decimal"/>
      <w:pStyle w:val="83"/>
      <w:lvlText w:val="%1.%2"/>
      <w:lvlJc w:val="left"/>
      <w:pPr>
        <w:tabs>
          <w:tab w:val="left" w:pos="720"/>
        </w:tabs>
        <w:ind w:left="720" w:hanging="720"/>
      </w:pPr>
      <w:rPr>
        <w:rFonts w:hint="default"/>
      </w:rPr>
    </w:lvl>
    <w:lvl w:ilvl="2" w:tentative="0">
      <w:start w:val="1"/>
      <w:numFmt w:val="decimal"/>
      <w:lvlText w:val="%3.1"/>
      <w:lvlJc w:val="left"/>
      <w:pPr>
        <w:tabs>
          <w:tab w:val="left" w:pos="720"/>
        </w:tabs>
        <w:ind w:left="720" w:hanging="720"/>
      </w:pPr>
      <w:rPr>
        <w:rFonts w:hint="default"/>
      </w:rPr>
    </w:lvl>
    <w:lvl w:ilvl="3" w:tentative="0">
      <w:start w:val="1"/>
      <w:numFmt w:val="decimal"/>
      <w:lvlText w:val="%1.%2.%3.%4"/>
      <w:lvlJc w:val="left"/>
      <w:pPr>
        <w:tabs>
          <w:tab w:val="left" w:pos="720"/>
        </w:tabs>
        <w:ind w:left="720" w:hanging="720"/>
      </w:pPr>
      <w:rPr>
        <w:rFonts w:hint="default"/>
      </w:rPr>
    </w:lvl>
    <w:lvl w:ilvl="4" w:tentative="0">
      <w:start w:val="1"/>
      <w:numFmt w:val="decimal"/>
      <w:lvlText w:val="%1.%2.%3.%4.%5"/>
      <w:lvlJc w:val="left"/>
      <w:pPr>
        <w:tabs>
          <w:tab w:val="left" w:pos="1080"/>
        </w:tabs>
        <w:ind w:left="1080" w:hanging="1080"/>
      </w:pPr>
      <w:rPr>
        <w:rFonts w:hint="default"/>
      </w:rPr>
    </w:lvl>
    <w:lvl w:ilvl="5" w:tentative="0">
      <w:start w:val="1"/>
      <w:numFmt w:val="decimal"/>
      <w:lvlText w:val="%1.%2.%3.%4.%5.%6"/>
      <w:lvlJc w:val="left"/>
      <w:pPr>
        <w:tabs>
          <w:tab w:val="left" w:pos="1080"/>
        </w:tabs>
        <w:ind w:left="1080" w:hanging="1080"/>
      </w:pPr>
      <w:rPr>
        <w:rFonts w:hint="default"/>
      </w:rPr>
    </w:lvl>
    <w:lvl w:ilvl="6" w:tentative="0">
      <w:start w:val="1"/>
      <w:numFmt w:val="decimal"/>
      <w:lvlText w:val="%1.%2.%3.%4.%5.%6.%7"/>
      <w:lvlJc w:val="left"/>
      <w:pPr>
        <w:tabs>
          <w:tab w:val="left" w:pos="1440"/>
        </w:tabs>
        <w:ind w:left="1440" w:hanging="1440"/>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800"/>
        </w:tabs>
        <w:ind w:left="1800" w:hanging="1800"/>
      </w:pPr>
      <w:rPr>
        <w:rFonts w:hint="default"/>
      </w:rPr>
    </w:lvl>
  </w:abstractNum>
  <w:abstractNum w:abstractNumId="57">
    <w:nsid w:val="4B59651C"/>
    <w:multiLevelType w:val="multilevel"/>
    <w:tmpl w:val="4B59651C"/>
    <w:lvl w:ilvl="0" w:tentative="0">
      <w:start w:val="1"/>
      <w:numFmt w:val="lowerLetter"/>
      <w:lvlText w:val="(%1)"/>
      <w:lvlJc w:val="left"/>
      <w:pPr>
        <w:ind w:left="1080" w:hanging="360"/>
      </w:pPr>
      <w:rPr>
        <w:rFonts w:hint="default"/>
        <w:b w:val="0"/>
        <w:i w:val="0"/>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58">
    <w:nsid w:val="4EBF2CC7"/>
    <w:multiLevelType w:val="multilevel"/>
    <w:tmpl w:val="4EBF2CC7"/>
    <w:lvl w:ilvl="0" w:tentative="0">
      <w:start w:val="1"/>
      <w:numFmt w:val="decimal"/>
      <w:pStyle w:val="232"/>
      <w:lvlText w:val="%1."/>
      <w:lvlJc w:val="left"/>
      <w:pPr>
        <w:ind w:left="720" w:hanging="360"/>
      </w:pPr>
      <w:rPr>
        <w:rFonts w:hint="default"/>
        <w:sz w:val="24"/>
        <w:szCs w:val="24"/>
      </w:rPr>
    </w:lvl>
    <w:lvl w:ilvl="1" w:tentative="0">
      <w:start w:val="1"/>
      <w:numFmt w:val="decimal"/>
      <w:isLgl/>
      <w:lvlText w:val="%1.%2"/>
      <w:lvlJc w:val="left"/>
      <w:pPr>
        <w:ind w:left="1020" w:hanging="660"/>
      </w:pPr>
      <w:rPr>
        <w:rFonts w:hint="default"/>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080" w:hanging="72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440" w:hanging="108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1800" w:hanging="1440"/>
      </w:pPr>
      <w:rPr>
        <w:rFonts w:hint="default"/>
      </w:rPr>
    </w:lvl>
    <w:lvl w:ilvl="8" w:tentative="0">
      <w:start w:val="1"/>
      <w:numFmt w:val="decimal"/>
      <w:isLgl/>
      <w:lvlText w:val="%1.%2.%3.%4.%5.%6.%7.%8.%9"/>
      <w:lvlJc w:val="left"/>
      <w:pPr>
        <w:ind w:left="2160" w:hanging="1800"/>
      </w:pPr>
      <w:rPr>
        <w:rFonts w:hint="default"/>
      </w:rPr>
    </w:lvl>
  </w:abstractNum>
  <w:abstractNum w:abstractNumId="59">
    <w:nsid w:val="4F0F3894"/>
    <w:multiLevelType w:val="multilevel"/>
    <w:tmpl w:val="4F0F3894"/>
    <w:lvl w:ilvl="0" w:tentative="0">
      <w:start w:val="1"/>
      <w:numFmt w:val="upperLetter"/>
      <w:lvlText w:val="%1."/>
      <w:lvlJc w:val="left"/>
      <w:pPr>
        <w:tabs>
          <w:tab w:val="left" w:pos="504"/>
        </w:tabs>
        <w:ind w:left="504" w:hanging="504"/>
      </w:pPr>
      <w:rPr>
        <w:rFonts w:hint="default"/>
      </w:rPr>
    </w:lvl>
    <w:lvl w:ilvl="1" w:tentative="0">
      <w:start w:val="16"/>
      <w:numFmt w:val="decimal"/>
      <w:pStyle w:val="67"/>
      <w:lvlText w:val="%2."/>
      <w:lvlJc w:val="left"/>
      <w:pPr>
        <w:tabs>
          <w:tab w:val="left" w:pos="504"/>
        </w:tabs>
        <w:ind w:left="504" w:hanging="504"/>
      </w:pPr>
    </w:lvl>
    <w:lvl w:ilvl="2" w:tentative="0">
      <w:start w:val="1"/>
      <w:numFmt w:val="decimal"/>
      <w:lvlText w:val="%3."/>
      <w:lvlJc w:val="left"/>
      <w:pPr>
        <w:tabs>
          <w:tab w:val="left" w:pos="0"/>
        </w:tabs>
        <w:ind w:left="2160" w:hanging="720"/>
      </w:pPr>
    </w:lvl>
    <w:lvl w:ilvl="3" w:tentative="0">
      <w:start w:val="1"/>
      <w:numFmt w:val="decimal"/>
      <w:lvlText w:val="%4."/>
      <w:lvlJc w:val="left"/>
      <w:pPr>
        <w:tabs>
          <w:tab w:val="left" w:pos="0"/>
        </w:tabs>
        <w:ind w:left="2880" w:hanging="720"/>
      </w:pPr>
    </w:lvl>
    <w:lvl w:ilvl="4" w:tentative="0">
      <w:start w:val="1"/>
      <w:numFmt w:val="decimal"/>
      <w:lvlText w:val="%5."/>
      <w:lvlJc w:val="left"/>
      <w:pPr>
        <w:tabs>
          <w:tab w:val="left" w:pos="0"/>
        </w:tabs>
        <w:ind w:left="3600" w:hanging="720"/>
      </w:pPr>
    </w:lvl>
    <w:lvl w:ilvl="5" w:tentative="0">
      <w:start w:val="1"/>
      <w:numFmt w:val="decimal"/>
      <w:lvlText w:val="%6."/>
      <w:lvlJc w:val="left"/>
      <w:pPr>
        <w:tabs>
          <w:tab w:val="left" w:pos="0"/>
        </w:tabs>
        <w:ind w:left="4320" w:hanging="720"/>
      </w:pPr>
    </w:lvl>
    <w:lvl w:ilvl="6" w:tentative="0">
      <w:start w:val="1"/>
      <w:numFmt w:val="decimal"/>
      <w:lvlText w:val="%7."/>
      <w:lvlJc w:val="left"/>
      <w:pPr>
        <w:tabs>
          <w:tab w:val="left" w:pos="0"/>
        </w:tabs>
        <w:ind w:left="5040" w:hanging="720"/>
      </w:pPr>
    </w:lvl>
    <w:lvl w:ilvl="7" w:tentative="0">
      <w:start w:val="1"/>
      <w:numFmt w:val="decimal"/>
      <w:lvlText w:val="%8."/>
      <w:lvlJc w:val="left"/>
      <w:pPr>
        <w:tabs>
          <w:tab w:val="left" w:pos="0"/>
        </w:tabs>
        <w:ind w:left="5760" w:hanging="720"/>
      </w:pPr>
    </w:lvl>
    <w:lvl w:ilvl="8" w:tentative="0">
      <w:start w:val="1"/>
      <w:numFmt w:val="lowerRoman"/>
      <w:lvlText w:val="%9"/>
      <w:lvlJc w:val="left"/>
      <w:pPr>
        <w:tabs>
          <w:tab w:val="left" w:pos="0"/>
        </w:tabs>
        <w:ind w:left="6480" w:hanging="720"/>
      </w:pPr>
    </w:lvl>
  </w:abstractNum>
  <w:abstractNum w:abstractNumId="60">
    <w:nsid w:val="50B321BC"/>
    <w:multiLevelType w:val="multilevel"/>
    <w:tmpl w:val="50B321BC"/>
    <w:lvl w:ilvl="0" w:tentative="0">
      <w:start w:val="1"/>
      <w:numFmt w:val="decimal"/>
      <w:pStyle w:val="217"/>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1">
    <w:nsid w:val="535351FF"/>
    <w:multiLevelType w:val="multilevel"/>
    <w:tmpl w:val="535351FF"/>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2">
    <w:nsid w:val="536C128F"/>
    <w:multiLevelType w:val="multilevel"/>
    <w:tmpl w:val="536C128F"/>
    <w:lvl w:ilvl="0" w:tentative="0">
      <w:start w:val="1"/>
      <w:numFmt w:val="lowerLetter"/>
      <w:lvlText w:val="(%1)"/>
      <w:lvlJc w:val="left"/>
      <w:pPr>
        <w:ind w:left="720" w:hanging="360"/>
      </w:pPr>
      <w:rPr>
        <w:rFonts w:hint="default"/>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3">
    <w:nsid w:val="58BB4EB8"/>
    <w:multiLevelType w:val="multilevel"/>
    <w:tmpl w:val="58BB4EB8"/>
    <w:lvl w:ilvl="0" w:tentative="0">
      <w:start w:val="1"/>
      <w:numFmt w:val="lowerRoman"/>
      <w:lvlText w:val="%1."/>
      <w:lvlJc w:val="right"/>
      <w:pPr>
        <w:tabs>
          <w:tab w:val="left" w:pos="1224"/>
        </w:tabs>
        <w:ind w:left="1224" w:hanging="360"/>
      </w:pPr>
      <w:rPr>
        <w:rFonts w:hint="default"/>
      </w:rPr>
    </w:lvl>
    <w:lvl w:ilvl="1" w:tentative="0">
      <w:start w:val="1"/>
      <w:numFmt w:val="lowerRoman"/>
      <w:lvlText w:val="(%2)"/>
      <w:lvlJc w:val="left"/>
      <w:pPr>
        <w:tabs>
          <w:tab w:val="left" w:pos="1764"/>
        </w:tabs>
        <w:ind w:left="1764" w:hanging="180"/>
      </w:pPr>
      <w:rPr>
        <w:rFonts w:hint="default"/>
      </w:rPr>
    </w:lvl>
    <w:lvl w:ilvl="2" w:tentative="0">
      <w:start w:val="1"/>
      <w:numFmt w:val="lowerRoman"/>
      <w:lvlText w:val="%3)"/>
      <w:lvlJc w:val="left"/>
      <w:pPr>
        <w:ind w:left="3204" w:hanging="720"/>
      </w:pPr>
      <w:rPr>
        <w:rFonts w:hint="default"/>
      </w:rPr>
    </w:lvl>
    <w:lvl w:ilvl="3" w:tentative="0">
      <w:start w:val="1"/>
      <w:numFmt w:val="bullet"/>
      <w:lvlText w:val=""/>
      <w:lvlJc w:val="left"/>
      <w:pPr>
        <w:ind w:left="3384" w:hanging="360"/>
      </w:pPr>
      <w:rPr>
        <w:rFonts w:hint="default" w:ascii="Symbol" w:hAnsi="Symbol" w:eastAsia="Times New Roman" w:cs="Times New Roman"/>
      </w:rPr>
    </w:lvl>
    <w:lvl w:ilvl="4" w:tentative="0">
      <w:start w:val="1"/>
      <w:numFmt w:val="decimal"/>
      <w:lvlText w:val="%5."/>
      <w:lvlJc w:val="left"/>
      <w:pPr>
        <w:ind w:left="4104" w:hanging="360"/>
      </w:pPr>
      <w:rPr>
        <w:rFonts w:hint="default"/>
      </w:rPr>
    </w:lvl>
    <w:lvl w:ilvl="5" w:tentative="0">
      <w:start w:val="1"/>
      <w:numFmt w:val="lowerRoman"/>
      <w:lvlText w:val="%6."/>
      <w:lvlJc w:val="right"/>
      <w:pPr>
        <w:tabs>
          <w:tab w:val="left" w:pos="4824"/>
        </w:tabs>
        <w:ind w:left="4824" w:hanging="180"/>
      </w:pPr>
    </w:lvl>
    <w:lvl w:ilvl="6" w:tentative="0">
      <w:start w:val="1"/>
      <w:numFmt w:val="decimal"/>
      <w:lvlText w:val="%7."/>
      <w:lvlJc w:val="left"/>
      <w:pPr>
        <w:tabs>
          <w:tab w:val="left" w:pos="5544"/>
        </w:tabs>
        <w:ind w:left="5544" w:hanging="360"/>
      </w:pPr>
    </w:lvl>
    <w:lvl w:ilvl="7" w:tentative="0">
      <w:start w:val="1"/>
      <w:numFmt w:val="lowerLetter"/>
      <w:lvlText w:val="%8."/>
      <w:lvlJc w:val="left"/>
      <w:pPr>
        <w:tabs>
          <w:tab w:val="left" w:pos="6264"/>
        </w:tabs>
        <w:ind w:left="6264" w:hanging="360"/>
      </w:pPr>
    </w:lvl>
    <w:lvl w:ilvl="8" w:tentative="0">
      <w:start w:val="1"/>
      <w:numFmt w:val="lowerRoman"/>
      <w:lvlText w:val="%9."/>
      <w:lvlJc w:val="right"/>
      <w:pPr>
        <w:tabs>
          <w:tab w:val="left" w:pos="6984"/>
        </w:tabs>
        <w:ind w:left="6984" w:hanging="180"/>
      </w:pPr>
    </w:lvl>
  </w:abstractNum>
  <w:abstractNum w:abstractNumId="64">
    <w:nsid w:val="58DD6B7E"/>
    <w:multiLevelType w:val="singleLevel"/>
    <w:tmpl w:val="58DD6B7E"/>
    <w:lvl w:ilvl="0" w:tentative="0">
      <w:start w:val="1"/>
      <w:numFmt w:val="upperLetter"/>
      <w:pStyle w:val="165"/>
      <w:lvlText w:val="%1."/>
      <w:lvlJc w:val="center"/>
      <w:pPr>
        <w:tabs>
          <w:tab w:val="left" w:pos="648"/>
        </w:tabs>
        <w:ind w:left="360" w:hanging="72"/>
      </w:pPr>
      <w:rPr>
        <w:rFonts w:hint="default"/>
        <w:b/>
        <w:i w:val="0"/>
        <w:sz w:val="28"/>
        <w:szCs w:val="28"/>
      </w:rPr>
    </w:lvl>
  </w:abstractNum>
  <w:abstractNum w:abstractNumId="65">
    <w:nsid w:val="5A622FE0"/>
    <w:multiLevelType w:val="multilevel"/>
    <w:tmpl w:val="5A622FE0"/>
    <w:lvl w:ilvl="0" w:tentative="0">
      <w:start w:val="1"/>
      <w:numFmt w:val="bullet"/>
      <w:lvlText w:val=""/>
      <w:lvlJc w:val="left"/>
      <w:pPr>
        <w:ind w:left="1080" w:hanging="360"/>
      </w:pPr>
      <w:rPr>
        <w:rFonts w:hint="default" w:ascii="Symbol" w:hAnsi="Symbol"/>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66">
    <w:nsid w:val="5B9B25D7"/>
    <w:multiLevelType w:val="multilevel"/>
    <w:tmpl w:val="5B9B25D7"/>
    <w:lvl w:ilvl="0" w:tentative="0">
      <w:start w:val="1"/>
      <w:numFmt w:val="lowerLetter"/>
      <w:lvlText w:val="(%1)"/>
      <w:lvlJc w:val="left"/>
      <w:pPr>
        <w:tabs>
          <w:tab w:val="left" w:pos="720"/>
        </w:tabs>
        <w:ind w:left="720" w:hanging="360"/>
      </w:pPr>
      <w:rPr>
        <w:rFonts w:hint="default"/>
      </w:rPr>
    </w:lvl>
    <w:lvl w:ilvl="1" w:tentative="0">
      <w:start w:val="1"/>
      <w:numFmt w:val="bullet"/>
      <w:lvlText w:val=""/>
      <w:lvlJc w:val="left"/>
      <w:pPr>
        <w:tabs>
          <w:tab w:val="left" w:pos="1440"/>
        </w:tabs>
        <w:ind w:left="1440" w:hanging="360"/>
      </w:pPr>
      <w:rPr>
        <w:rFonts w:hint="default" w:ascii="Wingdings" w:hAnsi="Wingdings" w:eastAsia="Times New Roman" w:cs="Times New Roman"/>
      </w:r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67">
    <w:nsid w:val="5EEA7F42"/>
    <w:multiLevelType w:val="multilevel"/>
    <w:tmpl w:val="5EEA7F42"/>
    <w:lvl w:ilvl="0" w:tentative="0">
      <w:start w:val="1"/>
      <w:numFmt w:val="lowerRoman"/>
      <w:lvlText w:val="(%1)"/>
      <w:lvlJc w:val="left"/>
      <w:pPr>
        <w:tabs>
          <w:tab w:val="left" w:pos="1038"/>
        </w:tabs>
        <w:ind w:left="1038" w:hanging="519"/>
      </w:pPr>
      <w:rPr>
        <w:rFonts w:hint="default" w:ascii="Times New Roman" w:hAnsi="Times New Roman" w:cs="Times New Roman"/>
        <w:b w:val="0"/>
        <w:i w:val="0"/>
        <w:color w:val="auto"/>
        <w:sz w:val="24"/>
        <w:szCs w:val="24"/>
        <w:u w:val="none"/>
      </w:rPr>
    </w:lvl>
    <w:lvl w:ilvl="1" w:tentative="0">
      <w:start w:val="1"/>
      <w:numFmt w:val="lowerLetter"/>
      <w:lvlText w:val="%2."/>
      <w:lvlJc w:val="left"/>
      <w:pPr>
        <w:tabs>
          <w:tab w:val="left" w:pos="1959"/>
        </w:tabs>
        <w:ind w:left="1959" w:hanging="360"/>
      </w:pPr>
    </w:lvl>
    <w:lvl w:ilvl="2" w:tentative="0">
      <w:start w:val="1"/>
      <w:numFmt w:val="lowerRoman"/>
      <w:lvlText w:val="%3."/>
      <w:lvlJc w:val="right"/>
      <w:pPr>
        <w:tabs>
          <w:tab w:val="left" w:pos="2679"/>
        </w:tabs>
        <w:ind w:left="2679" w:hanging="180"/>
      </w:pPr>
    </w:lvl>
    <w:lvl w:ilvl="3" w:tentative="0">
      <w:start w:val="1"/>
      <w:numFmt w:val="decimal"/>
      <w:lvlText w:val="%4."/>
      <w:lvlJc w:val="left"/>
      <w:pPr>
        <w:tabs>
          <w:tab w:val="left" w:pos="3399"/>
        </w:tabs>
        <w:ind w:left="3399" w:hanging="360"/>
      </w:pPr>
    </w:lvl>
    <w:lvl w:ilvl="4" w:tentative="0">
      <w:start w:val="1"/>
      <w:numFmt w:val="lowerLetter"/>
      <w:lvlText w:val="%5."/>
      <w:lvlJc w:val="left"/>
      <w:pPr>
        <w:tabs>
          <w:tab w:val="left" w:pos="4119"/>
        </w:tabs>
        <w:ind w:left="4119" w:hanging="360"/>
      </w:pPr>
    </w:lvl>
    <w:lvl w:ilvl="5" w:tentative="0">
      <w:start w:val="1"/>
      <w:numFmt w:val="lowerRoman"/>
      <w:lvlText w:val="%6."/>
      <w:lvlJc w:val="right"/>
      <w:pPr>
        <w:tabs>
          <w:tab w:val="left" w:pos="4839"/>
        </w:tabs>
        <w:ind w:left="4839" w:hanging="180"/>
      </w:pPr>
    </w:lvl>
    <w:lvl w:ilvl="6" w:tentative="0">
      <w:start w:val="1"/>
      <w:numFmt w:val="decimal"/>
      <w:lvlText w:val="%7."/>
      <w:lvlJc w:val="left"/>
      <w:pPr>
        <w:tabs>
          <w:tab w:val="left" w:pos="5559"/>
        </w:tabs>
        <w:ind w:left="5559" w:hanging="360"/>
      </w:pPr>
    </w:lvl>
    <w:lvl w:ilvl="7" w:tentative="0">
      <w:start w:val="1"/>
      <w:numFmt w:val="lowerLetter"/>
      <w:lvlText w:val="%8."/>
      <w:lvlJc w:val="left"/>
      <w:pPr>
        <w:tabs>
          <w:tab w:val="left" w:pos="6279"/>
        </w:tabs>
        <w:ind w:left="6279" w:hanging="360"/>
      </w:pPr>
    </w:lvl>
    <w:lvl w:ilvl="8" w:tentative="0">
      <w:start w:val="1"/>
      <w:numFmt w:val="lowerRoman"/>
      <w:lvlText w:val="%9."/>
      <w:lvlJc w:val="right"/>
      <w:pPr>
        <w:tabs>
          <w:tab w:val="left" w:pos="6999"/>
        </w:tabs>
        <w:ind w:left="6999" w:hanging="180"/>
      </w:pPr>
    </w:lvl>
  </w:abstractNum>
  <w:abstractNum w:abstractNumId="68">
    <w:nsid w:val="613874D6"/>
    <w:multiLevelType w:val="multilevel"/>
    <w:tmpl w:val="613874D6"/>
    <w:lvl w:ilvl="0" w:tentative="0">
      <w:start w:val="1"/>
      <w:numFmt w:val="decimal"/>
      <w:lvlText w:val="(%1)"/>
      <w:lvlJc w:val="left"/>
      <w:pPr>
        <w:ind w:left="360" w:hanging="360"/>
      </w:pPr>
      <w:rPr>
        <w:rFonts w:ascii="Times New Roman" w:hAnsi="Times New Roman" w:cs="Times New Roman" w:eastAsiaTheme="minorHAnsi"/>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69">
    <w:nsid w:val="6249654F"/>
    <w:multiLevelType w:val="multilevel"/>
    <w:tmpl w:val="6249654F"/>
    <w:lvl w:ilvl="0" w:tentative="0">
      <w:start w:val="2"/>
      <w:numFmt w:val="decimal"/>
      <w:lvlText w:val="%1"/>
      <w:lvlJc w:val="left"/>
      <w:pPr>
        <w:tabs>
          <w:tab w:val="left" w:pos="360"/>
        </w:tabs>
        <w:ind w:left="360" w:hanging="360"/>
      </w:pPr>
      <w:rPr>
        <w:rFonts w:hint="default"/>
      </w:rPr>
    </w:lvl>
    <w:lvl w:ilvl="1" w:tentative="0">
      <w:start w:val="1"/>
      <w:numFmt w:val="decimal"/>
      <w:lvlText w:val="%1.%2"/>
      <w:lvlJc w:val="left"/>
      <w:pPr>
        <w:tabs>
          <w:tab w:val="left" w:pos="353"/>
        </w:tabs>
        <w:ind w:left="353" w:hanging="360"/>
      </w:pPr>
      <w:rPr>
        <w:rFonts w:hint="default"/>
      </w:rPr>
    </w:lvl>
    <w:lvl w:ilvl="2" w:tentative="0">
      <w:start w:val="1"/>
      <w:numFmt w:val="decimal"/>
      <w:lvlText w:val="%1.%2.%3"/>
      <w:lvlJc w:val="left"/>
      <w:pPr>
        <w:tabs>
          <w:tab w:val="left" w:pos="706"/>
        </w:tabs>
        <w:ind w:left="706" w:hanging="720"/>
      </w:pPr>
      <w:rPr>
        <w:rFonts w:hint="default"/>
      </w:rPr>
    </w:lvl>
    <w:lvl w:ilvl="3" w:tentative="0">
      <w:start w:val="1"/>
      <w:numFmt w:val="decimal"/>
      <w:lvlText w:val="%1.%2.%3.%4"/>
      <w:lvlJc w:val="left"/>
      <w:pPr>
        <w:tabs>
          <w:tab w:val="left" w:pos="699"/>
        </w:tabs>
        <w:ind w:left="699" w:hanging="720"/>
      </w:pPr>
      <w:rPr>
        <w:rFonts w:hint="default"/>
      </w:rPr>
    </w:lvl>
    <w:lvl w:ilvl="4" w:tentative="0">
      <w:start w:val="1"/>
      <w:numFmt w:val="decimal"/>
      <w:lvlText w:val="%1.%2.%3.%4.%5"/>
      <w:lvlJc w:val="left"/>
      <w:pPr>
        <w:tabs>
          <w:tab w:val="left" w:pos="1052"/>
        </w:tabs>
        <w:ind w:left="1052" w:hanging="1080"/>
      </w:pPr>
      <w:rPr>
        <w:rFonts w:hint="default"/>
      </w:rPr>
    </w:lvl>
    <w:lvl w:ilvl="5" w:tentative="0">
      <w:start w:val="1"/>
      <w:numFmt w:val="decimal"/>
      <w:lvlText w:val="%1.%2.%3.%4.%5.%6"/>
      <w:lvlJc w:val="left"/>
      <w:pPr>
        <w:tabs>
          <w:tab w:val="left" w:pos="1045"/>
        </w:tabs>
        <w:ind w:left="1045" w:hanging="1080"/>
      </w:pPr>
      <w:rPr>
        <w:rFonts w:hint="default"/>
      </w:rPr>
    </w:lvl>
    <w:lvl w:ilvl="6" w:tentative="0">
      <w:start w:val="1"/>
      <w:numFmt w:val="decimal"/>
      <w:lvlText w:val="%1.%2.%3.%4.%5.%6.%7"/>
      <w:lvlJc w:val="left"/>
      <w:pPr>
        <w:tabs>
          <w:tab w:val="left" w:pos="1398"/>
        </w:tabs>
        <w:ind w:left="1398" w:hanging="1440"/>
      </w:pPr>
      <w:rPr>
        <w:rFonts w:hint="default"/>
      </w:rPr>
    </w:lvl>
    <w:lvl w:ilvl="7" w:tentative="0">
      <w:start w:val="1"/>
      <w:numFmt w:val="decimal"/>
      <w:lvlText w:val="%1.%2.%3.%4.%5.%6.%7.%8"/>
      <w:lvlJc w:val="left"/>
      <w:pPr>
        <w:tabs>
          <w:tab w:val="left" w:pos="1391"/>
        </w:tabs>
        <w:ind w:left="1391" w:hanging="1440"/>
      </w:pPr>
      <w:rPr>
        <w:rFonts w:hint="default"/>
      </w:rPr>
    </w:lvl>
    <w:lvl w:ilvl="8" w:tentative="0">
      <w:start w:val="1"/>
      <w:numFmt w:val="decimal"/>
      <w:lvlText w:val="%1.%2.%3.%4.%5.%6.%7.%8.%9"/>
      <w:lvlJc w:val="left"/>
      <w:pPr>
        <w:tabs>
          <w:tab w:val="left" w:pos="1744"/>
        </w:tabs>
        <w:ind w:left="1744" w:hanging="1800"/>
      </w:pPr>
      <w:rPr>
        <w:rFonts w:hint="default"/>
      </w:rPr>
    </w:lvl>
  </w:abstractNum>
  <w:abstractNum w:abstractNumId="70">
    <w:nsid w:val="63447A6E"/>
    <w:multiLevelType w:val="multilevel"/>
    <w:tmpl w:val="63447A6E"/>
    <w:lvl w:ilvl="0" w:tentative="0">
      <w:start w:val="1"/>
      <w:numFmt w:val="lowerLetter"/>
      <w:lvlText w:val="(%1)"/>
      <w:lvlJc w:val="left"/>
      <w:pPr>
        <w:tabs>
          <w:tab w:val="left" w:pos="900"/>
        </w:tabs>
        <w:ind w:left="900" w:hanging="360"/>
      </w:pPr>
      <w:rPr>
        <w:rFonts w:hint="default"/>
      </w:rPr>
    </w:lvl>
    <w:lvl w:ilvl="1" w:tentative="0">
      <w:start w:val="1"/>
      <w:numFmt w:val="lowerRoman"/>
      <w:lvlText w:val="(%2)"/>
      <w:lvlJc w:val="left"/>
      <w:pPr>
        <w:tabs>
          <w:tab w:val="left" w:pos="1980"/>
        </w:tabs>
        <w:ind w:left="1980" w:hanging="720"/>
      </w:pPr>
      <w:rPr>
        <w:rFonts w:hint="default"/>
      </w:rPr>
    </w:lvl>
    <w:lvl w:ilvl="2" w:tentative="0">
      <w:start w:val="1"/>
      <w:numFmt w:val="lowerRoman"/>
      <w:lvlText w:val="%3."/>
      <w:lvlJc w:val="right"/>
      <w:pPr>
        <w:tabs>
          <w:tab w:val="left" w:pos="2340"/>
        </w:tabs>
        <w:ind w:left="2340" w:hanging="180"/>
      </w:pPr>
    </w:lvl>
    <w:lvl w:ilvl="3" w:tentative="0">
      <w:start w:val="1"/>
      <w:numFmt w:val="decimal"/>
      <w:lvlText w:val="%4."/>
      <w:lvlJc w:val="left"/>
      <w:pPr>
        <w:tabs>
          <w:tab w:val="left" w:pos="3060"/>
        </w:tabs>
        <w:ind w:left="3060" w:hanging="360"/>
      </w:pPr>
    </w:lvl>
    <w:lvl w:ilvl="4" w:tentative="0">
      <w:start w:val="1"/>
      <w:numFmt w:val="lowerLetter"/>
      <w:lvlText w:val="%5."/>
      <w:lvlJc w:val="left"/>
      <w:pPr>
        <w:tabs>
          <w:tab w:val="left" w:pos="3780"/>
        </w:tabs>
        <w:ind w:left="3780" w:hanging="360"/>
      </w:pPr>
    </w:lvl>
    <w:lvl w:ilvl="5" w:tentative="0">
      <w:start w:val="1"/>
      <w:numFmt w:val="lowerRoman"/>
      <w:lvlText w:val="%6."/>
      <w:lvlJc w:val="right"/>
      <w:pPr>
        <w:tabs>
          <w:tab w:val="left" w:pos="4500"/>
        </w:tabs>
        <w:ind w:left="4500" w:hanging="180"/>
      </w:pPr>
    </w:lvl>
    <w:lvl w:ilvl="6" w:tentative="0">
      <w:start w:val="1"/>
      <w:numFmt w:val="decimal"/>
      <w:lvlText w:val="%7."/>
      <w:lvlJc w:val="left"/>
      <w:pPr>
        <w:tabs>
          <w:tab w:val="left" w:pos="5220"/>
        </w:tabs>
        <w:ind w:left="5220" w:hanging="360"/>
      </w:pPr>
    </w:lvl>
    <w:lvl w:ilvl="7" w:tentative="0">
      <w:start w:val="1"/>
      <w:numFmt w:val="lowerLetter"/>
      <w:lvlText w:val="%8."/>
      <w:lvlJc w:val="left"/>
      <w:pPr>
        <w:tabs>
          <w:tab w:val="left" w:pos="5940"/>
        </w:tabs>
        <w:ind w:left="5940" w:hanging="360"/>
      </w:pPr>
    </w:lvl>
    <w:lvl w:ilvl="8" w:tentative="0">
      <w:start w:val="1"/>
      <w:numFmt w:val="lowerRoman"/>
      <w:lvlText w:val="%9."/>
      <w:lvlJc w:val="right"/>
      <w:pPr>
        <w:tabs>
          <w:tab w:val="left" w:pos="6660"/>
        </w:tabs>
        <w:ind w:left="6660" w:hanging="180"/>
      </w:pPr>
    </w:lvl>
  </w:abstractNum>
  <w:abstractNum w:abstractNumId="71">
    <w:nsid w:val="63AD3BB2"/>
    <w:multiLevelType w:val="multilevel"/>
    <w:tmpl w:val="63AD3BB2"/>
    <w:lvl w:ilvl="0" w:tentative="0">
      <w:start w:val="1"/>
      <w:numFmt w:val="lowerLetter"/>
      <w:lvlText w:val="(%1)"/>
      <w:legacy w:legacy="1" w:legacySpace="120" w:legacyIndent="720"/>
      <w:lvlJc w:val="left"/>
      <w:pPr>
        <w:ind w:left="1267" w:hanging="72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72">
    <w:nsid w:val="66F92616"/>
    <w:multiLevelType w:val="multilevel"/>
    <w:tmpl w:val="66F92616"/>
    <w:lvl w:ilvl="0" w:tentative="0">
      <w:start w:val="1"/>
      <w:numFmt w:val="lowerLetter"/>
      <w:lvlText w:val="(%1)"/>
      <w:lvlJc w:val="left"/>
      <w:pPr>
        <w:ind w:left="720" w:hanging="360"/>
      </w:pPr>
      <w:rPr>
        <w:rFonts w:hint="default"/>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73">
    <w:nsid w:val="68303969"/>
    <w:multiLevelType w:val="multilevel"/>
    <w:tmpl w:val="68303969"/>
    <w:lvl w:ilvl="0" w:tentative="0">
      <w:start w:val="1"/>
      <w:numFmt w:val="decimal"/>
      <w:lvlText w:val="%1."/>
      <w:lvlJc w:val="left"/>
      <w:pPr>
        <w:ind w:left="450" w:hanging="360"/>
      </w:pPr>
    </w:lvl>
    <w:lvl w:ilvl="1" w:tentative="0">
      <w:start w:val="1"/>
      <w:numFmt w:val="lowerLetter"/>
      <w:lvlText w:val="%2."/>
      <w:lvlJc w:val="left"/>
      <w:pPr>
        <w:ind w:left="1170" w:hanging="360"/>
      </w:pPr>
    </w:lvl>
    <w:lvl w:ilvl="2" w:tentative="0">
      <w:start w:val="1"/>
      <w:numFmt w:val="lowerRoman"/>
      <w:lvlText w:val="%3."/>
      <w:lvlJc w:val="right"/>
      <w:pPr>
        <w:ind w:left="1890" w:hanging="180"/>
      </w:pPr>
    </w:lvl>
    <w:lvl w:ilvl="3" w:tentative="0">
      <w:start w:val="1"/>
      <w:numFmt w:val="decimal"/>
      <w:lvlText w:val="%4."/>
      <w:lvlJc w:val="left"/>
      <w:pPr>
        <w:ind w:left="2610" w:hanging="360"/>
      </w:pPr>
    </w:lvl>
    <w:lvl w:ilvl="4" w:tentative="0">
      <w:start w:val="1"/>
      <w:numFmt w:val="lowerLetter"/>
      <w:lvlText w:val="%5."/>
      <w:lvlJc w:val="left"/>
      <w:pPr>
        <w:ind w:left="3330" w:hanging="360"/>
      </w:pPr>
    </w:lvl>
    <w:lvl w:ilvl="5" w:tentative="0">
      <w:start w:val="1"/>
      <w:numFmt w:val="lowerRoman"/>
      <w:lvlText w:val="%6."/>
      <w:lvlJc w:val="right"/>
      <w:pPr>
        <w:ind w:left="4050" w:hanging="180"/>
      </w:pPr>
    </w:lvl>
    <w:lvl w:ilvl="6" w:tentative="0">
      <w:start w:val="1"/>
      <w:numFmt w:val="decimal"/>
      <w:lvlText w:val="%7."/>
      <w:lvlJc w:val="left"/>
      <w:pPr>
        <w:ind w:left="4770" w:hanging="360"/>
      </w:pPr>
    </w:lvl>
    <w:lvl w:ilvl="7" w:tentative="0">
      <w:start w:val="1"/>
      <w:numFmt w:val="lowerLetter"/>
      <w:lvlText w:val="%8."/>
      <w:lvlJc w:val="left"/>
      <w:pPr>
        <w:ind w:left="5490" w:hanging="360"/>
      </w:pPr>
    </w:lvl>
    <w:lvl w:ilvl="8" w:tentative="0">
      <w:start w:val="1"/>
      <w:numFmt w:val="lowerRoman"/>
      <w:lvlText w:val="%9."/>
      <w:lvlJc w:val="right"/>
      <w:pPr>
        <w:ind w:left="6210" w:hanging="180"/>
      </w:pPr>
    </w:lvl>
  </w:abstractNum>
  <w:abstractNum w:abstractNumId="74">
    <w:nsid w:val="68D87170"/>
    <w:multiLevelType w:val="multilevel"/>
    <w:tmpl w:val="68D87170"/>
    <w:lvl w:ilvl="0" w:tentative="0">
      <w:start w:val="1"/>
      <w:numFmt w:val="lowerLetter"/>
      <w:lvlText w:val="(%1)"/>
      <w:lvlJc w:val="left"/>
      <w:pPr>
        <w:ind w:left="720" w:hanging="360"/>
      </w:pPr>
      <w:rPr>
        <w:rFonts w:hint="default" w:ascii="Times New Roman" w:hAnsi="Times New Roman" w:cs="Times New Roman"/>
        <w:b w:val="0"/>
        <w:i w:val="0"/>
        <w:color w:val="auto"/>
        <w:sz w:val="24"/>
        <w:szCs w:val="24"/>
        <w:u w:val="no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75">
    <w:nsid w:val="6C717458"/>
    <w:multiLevelType w:val="multilevel"/>
    <w:tmpl w:val="6C71745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6">
    <w:nsid w:val="6D511C1F"/>
    <w:multiLevelType w:val="multilevel"/>
    <w:tmpl w:val="6D511C1F"/>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7">
    <w:nsid w:val="6D5A684A"/>
    <w:multiLevelType w:val="multilevel"/>
    <w:tmpl w:val="6D5A684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8">
    <w:nsid w:val="6F491893"/>
    <w:multiLevelType w:val="multilevel"/>
    <w:tmpl w:val="6F491893"/>
    <w:lvl w:ilvl="0" w:tentative="0">
      <w:start w:val="1"/>
      <w:numFmt w:val="lowerLetter"/>
      <w:lvlText w:val="(%1)"/>
      <w:lvlJc w:val="left"/>
      <w:pPr>
        <w:ind w:left="360" w:hanging="360"/>
      </w:pPr>
      <w:rPr>
        <w:rFonts w:hint="default" w:ascii="Times New Roman" w:hAnsi="Times New Roman" w:cs="Times New Roman"/>
        <w:b w:val="0"/>
        <w:i w:val="0"/>
        <w:color w:val="auto"/>
        <w:sz w:val="22"/>
        <w:szCs w:val="22"/>
        <w:u w:val="none"/>
      </w:rPr>
    </w:lvl>
    <w:lvl w:ilvl="1" w:tentative="0">
      <w:start w:val="1"/>
      <w:numFmt w:val="lowerLetter"/>
      <w:lvlText w:val="(%2)"/>
      <w:lvlJc w:val="left"/>
      <w:pPr>
        <w:ind w:left="540" w:hanging="360"/>
      </w:pPr>
      <w:rPr>
        <w:rFonts w:hint="default"/>
      </w:r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79">
    <w:nsid w:val="6F8164CD"/>
    <w:multiLevelType w:val="multilevel"/>
    <w:tmpl w:val="6F8164CD"/>
    <w:lvl w:ilvl="0" w:tentative="0">
      <w:start w:val="1"/>
      <w:numFmt w:val="decimal"/>
      <w:lvlText w:val="%1."/>
      <w:lvlJc w:val="left"/>
      <w:pPr>
        <w:ind w:left="360" w:hanging="360"/>
      </w:pPr>
      <w:rPr>
        <w:rFonts w:hint="default"/>
        <w:sz w:val="24"/>
        <w:szCs w:val="24"/>
      </w:rPr>
    </w:lvl>
    <w:lvl w:ilvl="1" w:tentative="0">
      <w:start w:val="1"/>
      <w:numFmt w:val="lowerRoman"/>
      <w:lvlText w:val="%2."/>
      <w:lvlJc w:val="left"/>
      <w:pPr>
        <w:ind w:left="1440" w:hanging="720"/>
      </w:pPr>
      <w:rPr>
        <w:rFonts w:hint="default"/>
      </w:r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80">
    <w:nsid w:val="6FA72892"/>
    <w:multiLevelType w:val="multilevel"/>
    <w:tmpl w:val="6FA72892"/>
    <w:lvl w:ilvl="0" w:tentative="0">
      <w:start w:val="1"/>
      <w:numFmt w:val="bullet"/>
      <w:lvlText w:val=""/>
      <w:lvlJc w:val="left"/>
      <w:pPr>
        <w:ind w:left="360" w:hanging="360"/>
      </w:pPr>
      <w:rPr>
        <w:rFonts w:hint="default" w:ascii="Symbol" w:hAnsi="Symbol"/>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81">
    <w:nsid w:val="71CE4592"/>
    <w:multiLevelType w:val="multilevel"/>
    <w:tmpl w:val="71CE4592"/>
    <w:lvl w:ilvl="0" w:tentative="0">
      <w:start w:val="1"/>
      <w:numFmt w:val="bullet"/>
      <w:lvlText w:val=""/>
      <w:lvlJc w:val="left"/>
      <w:pPr>
        <w:ind w:left="810" w:hanging="360"/>
      </w:pPr>
      <w:rPr>
        <w:rFonts w:hint="default" w:ascii="Symbol" w:hAnsi="Symbol"/>
      </w:rPr>
    </w:lvl>
    <w:lvl w:ilvl="1" w:tentative="0">
      <w:start w:val="1"/>
      <w:numFmt w:val="bullet"/>
      <w:lvlText w:val="o"/>
      <w:lvlJc w:val="left"/>
      <w:pPr>
        <w:ind w:left="2070" w:hanging="360"/>
      </w:pPr>
      <w:rPr>
        <w:rFonts w:hint="default" w:ascii="Courier New" w:hAnsi="Courier New" w:cs="Courier New"/>
      </w:rPr>
    </w:lvl>
    <w:lvl w:ilvl="2" w:tentative="0">
      <w:start w:val="1"/>
      <w:numFmt w:val="bullet"/>
      <w:lvlText w:val=""/>
      <w:lvlJc w:val="left"/>
      <w:pPr>
        <w:ind w:left="2790" w:hanging="360"/>
      </w:pPr>
      <w:rPr>
        <w:rFonts w:hint="default" w:ascii="Wingdings" w:hAnsi="Wingdings"/>
      </w:rPr>
    </w:lvl>
    <w:lvl w:ilvl="3" w:tentative="0">
      <w:start w:val="1"/>
      <w:numFmt w:val="bullet"/>
      <w:lvlText w:val=""/>
      <w:lvlJc w:val="left"/>
      <w:pPr>
        <w:ind w:left="3510" w:hanging="360"/>
      </w:pPr>
      <w:rPr>
        <w:rFonts w:hint="default" w:ascii="Symbol" w:hAnsi="Symbol"/>
      </w:rPr>
    </w:lvl>
    <w:lvl w:ilvl="4" w:tentative="0">
      <w:start w:val="1"/>
      <w:numFmt w:val="bullet"/>
      <w:lvlText w:val="o"/>
      <w:lvlJc w:val="left"/>
      <w:pPr>
        <w:ind w:left="4230" w:hanging="360"/>
      </w:pPr>
      <w:rPr>
        <w:rFonts w:hint="default" w:ascii="Courier New" w:hAnsi="Courier New" w:cs="Courier New"/>
      </w:rPr>
    </w:lvl>
    <w:lvl w:ilvl="5" w:tentative="0">
      <w:start w:val="1"/>
      <w:numFmt w:val="bullet"/>
      <w:lvlText w:val=""/>
      <w:lvlJc w:val="left"/>
      <w:pPr>
        <w:ind w:left="4950" w:hanging="360"/>
      </w:pPr>
      <w:rPr>
        <w:rFonts w:hint="default" w:ascii="Wingdings" w:hAnsi="Wingdings"/>
      </w:rPr>
    </w:lvl>
    <w:lvl w:ilvl="6" w:tentative="0">
      <w:start w:val="1"/>
      <w:numFmt w:val="bullet"/>
      <w:lvlText w:val=""/>
      <w:lvlJc w:val="left"/>
      <w:pPr>
        <w:ind w:left="5670" w:hanging="360"/>
      </w:pPr>
      <w:rPr>
        <w:rFonts w:hint="default" w:ascii="Symbol" w:hAnsi="Symbol"/>
      </w:rPr>
    </w:lvl>
    <w:lvl w:ilvl="7" w:tentative="0">
      <w:start w:val="1"/>
      <w:numFmt w:val="bullet"/>
      <w:lvlText w:val="o"/>
      <w:lvlJc w:val="left"/>
      <w:pPr>
        <w:ind w:left="6390" w:hanging="360"/>
      </w:pPr>
      <w:rPr>
        <w:rFonts w:hint="default" w:ascii="Courier New" w:hAnsi="Courier New" w:cs="Courier New"/>
      </w:rPr>
    </w:lvl>
    <w:lvl w:ilvl="8" w:tentative="0">
      <w:start w:val="1"/>
      <w:numFmt w:val="bullet"/>
      <w:lvlText w:val=""/>
      <w:lvlJc w:val="left"/>
      <w:pPr>
        <w:ind w:left="7110" w:hanging="360"/>
      </w:pPr>
      <w:rPr>
        <w:rFonts w:hint="default" w:ascii="Wingdings" w:hAnsi="Wingdings"/>
      </w:rPr>
    </w:lvl>
  </w:abstractNum>
  <w:abstractNum w:abstractNumId="82">
    <w:nsid w:val="72597EF7"/>
    <w:multiLevelType w:val="multilevel"/>
    <w:tmpl w:val="72597EF7"/>
    <w:lvl w:ilvl="0" w:tentative="0">
      <w:start w:val="1"/>
      <w:numFmt w:val="lowerLetter"/>
      <w:lvlText w:val="(%1)"/>
      <w:lvlJc w:val="left"/>
      <w:pPr>
        <w:tabs>
          <w:tab w:val="left" w:pos="1080"/>
        </w:tabs>
        <w:ind w:left="1080" w:hanging="540"/>
      </w:pPr>
      <w:rPr>
        <w:rFonts w:hint="default"/>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83">
    <w:nsid w:val="743727EA"/>
    <w:multiLevelType w:val="multilevel"/>
    <w:tmpl w:val="743727EA"/>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4">
    <w:nsid w:val="75396DAD"/>
    <w:multiLevelType w:val="multilevel"/>
    <w:tmpl w:val="75396DAD"/>
    <w:lvl w:ilvl="0" w:tentative="0">
      <w:start w:val="1"/>
      <w:numFmt w:val="lowerRoman"/>
      <w:lvlText w:val="%1."/>
      <w:lvlJc w:val="left"/>
      <w:pPr>
        <w:ind w:left="1080" w:hanging="360"/>
      </w:pPr>
      <w:rPr>
        <w:rFonts w:hint="default"/>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85">
    <w:nsid w:val="75D82675"/>
    <w:multiLevelType w:val="multilevel"/>
    <w:tmpl w:val="75D82675"/>
    <w:lvl w:ilvl="0" w:tentative="0">
      <w:start w:val="1"/>
      <w:numFmt w:val="lowerLetter"/>
      <w:lvlText w:val="(%1)"/>
      <w:lvlJc w:val="left"/>
      <w:pPr>
        <w:ind w:left="1080" w:hanging="360"/>
      </w:pPr>
      <w:rPr>
        <w:rFonts w:hint="default"/>
        <w:i w:val="0"/>
      </w:rPr>
    </w:lvl>
    <w:lvl w:ilvl="1" w:tentative="0">
      <w:start w:val="1"/>
      <w:numFmt w:val="lowerRoman"/>
      <w:lvlText w:val="%2."/>
      <w:lvlJc w:val="right"/>
      <w:pPr>
        <w:ind w:left="1800" w:hanging="360"/>
      </w:pPr>
    </w:lvl>
    <w:lvl w:ilvl="2" w:tentative="0">
      <w:start w:val="1"/>
      <w:numFmt w:val="bullet"/>
      <w:lvlText w:val="•"/>
      <w:lvlJc w:val="left"/>
      <w:pPr>
        <w:ind w:left="630" w:hanging="360"/>
      </w:pPr>
      <w:rPr>
        <w:rFonts w:hint="default" w:ascii="Times New Roman" w:hAnsi="Times New Roman" w:eastAsia="Times New Roman" w:cs="Times New Roman"/>
      </w:r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86">
    <w:nsid w:val="77973F87"/>
    <w:multiLevelType w:val="multilevel"/>
    <w:tmpl w:val="77973F87"/>
    <w:lvl w:ilvl="0" w:tentative="0">
      <w:start w:val="1"/>
      <w:numFmt w:val="decimal"/>
      <w:lvlText w:val="2.%1"/>
      <w:lvlJc w:val="left"/>
      <w:pPr>
        <w:ind w:left="1710" w:hanging="360"/>
      </w:pPr>
      <w:rPr>
        <w:rFonts w:hint="default"/>
      </w:rPr>
    </w:lvl>
    <w:lvl w:ilvl="1" w:tentative="0">
      <w:start w:val="1"/>
      <w:numFmt w:val="decimal"/>
      <w:pStyle w:val="216"/>
      <w:lvlText w:val="2.%2"/>
      <w:lvlJc w:val="left"/>
      <w:pPr>
        <w:ind w:left="1440" w:hanging="360"/>
      </w:pPr>
      <w:rPr>
        <w:rFonts w:hint="default"/>
      </w:r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7">
    <w:nsid w:val="781A61C0"/>
    <w:multiLevelType w:val="multilevel"/>
    <w:tmpl w:val="781A61C0"/>
    <w:lvl w:ilvl="0" w:tentative="0">
      <w:start w:val="1"/>
      <w:numFmt w:val="lowerLetter"/>
      <w:lvlText w:val="(%1)"/>
      <w:lvlJc w:val="left"/>
      <w:pPr>
        <w:ind w:left="720" w:hanging="360"/>
      </w:pPr>
      <w:rPr>
        <w:rFonts w:hint="default"/>
        <w:b w:val="0"/>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8">
    <w:nsid w:val="78396E38"/>
    <w:multiLevelType w:val="multilevel"/>
    <w:tmpl w:val="78396E38"/>
    <w:lvl w:ilvl="0" w:tentative="0">
      <w:start w:val="1"/>
      <w:numFmt w:val="lowerLetter"/>
      <w:lvlText w:val="(%1)"/>
      <w:lvlJc w:val="left"/>
      <w:pPr>
        <w:tabs>
          <w:tab w:val="left" w:pos="1224"/>
        </w:tabs>
        <w:ind w:left="1224" w:hanging="360"/>
      </w:pPr>
      <w:rPr>
        <w:rFonts w:hint="default"/>
      </w:rPr>
    </w:lvl>
    <w:lvl w:ilvl="1" w:tentative="0">
      <w:start w:val="1"/>
      <w:numFmt w:val="lowerLetter"/>
      <w:lvlText w:val="%2."/>
      <w:lvlJc w:val="left"/>
      <w:pPr>
        <w:tabs>
          <w:tab w:val="left" w:pos="1944"/>
        </w:tabs>
        <w:ind w:left="1944" w:hanging="360"/>
      </w:pPr>
    </w:lvl>
    <w:lvl w:ilvl="2" w:tentative="0">
      <w:start w:val="1"/>
      <w:numFmt w:val="lowerRoman"/>
      <w:lvlText w:val="%3."/>
      <w:lvlJc w:val="right"/>
      <w:pPr>
        <w:tabs>
          <w:tab w:val="left" w:pos="2664"/>
        </w:tabs>
        <w:ind w:left="2664" w:hanging="180"/>
      </w:pPr>
    </w:lvl>
    <w:lvl w:ilvl="3" w:tentative="0">
      <w:start w:val="1"/>
      <w:numFmt w:val="decimal"/>
      <w:lvlText w:val="%4."/>
      <w:lvlJc w:val="left"/>
      <w:pPr>
        <w:tabs>
          <w:tab w:val="left" w:pos="3384"/>
        </w:tabs>
        <w:ind w:left="3384" w:hanging="360"/>
      </w:pPr>
    </w:lvl>
    <w:lvl w:ilvl="4" w:tentative="0">
      <w:start w:val="1"/>
      <w:numFmt w:val="lowerLetter"/>
      <w:lvlText w:val="%5."/>
      <w:lvlJc w:val="left"/>
      <w:pPr>
        <w:tabs>
          <w:tab w:val="left" w:pos="4104"/>
        </w:tabs>
        <w:ind w:left="4104" w:hanging="360"/>
      </w:pPr>
    </w:lvl>
    <w:lvl w:ilvl="5" w:tentative="0">
      <w:start w:val="1"/>
      <w:numFmt w:val="lowerRoman"/>
      <w:lvlText w:val="%6."/>
      <w:lvlJc w:val="right"/>
      <w:pPr>
        <w:tabs>
          <w:tab w:val="left" w:pos="4824"/>
        </w:tabs>
        <w:ind w:left="4824" w:hanging="180"/>
      </w:pPr>
    </w:lvl>
    <w:lvl w:ilvl="6" w:tentative="0">
      <w:start w:val="1"/>
      <w:numFmt w:val="decimal"/>
      <w:lvlText w:val="%7."/>
      <w:lvlJc w:val="left"/>
      <w:pPr>
        <w:tabs>
          <w:tab w:val="left" w:pos="5544"/>
        </w:tabs>
        <w:ind w:left="5544" w:hanging="360"/>
      </w:pPr>
    </w:lvl>
    <w:lvl w:ilvl="7" w:tentative="0">
      <w:start w:val="1"/>
      <w:numFmt w:val="lowerLetter"/>
      <w:lvlText w:val="%8."/>
      <w:lvlJc w:val="left"/>
      <w:pPr>
        <w:tabs>
          <w:tab w:val="left" w:pos="6264"/>
        </w:tabs>
        <w:ind w:left="6264" w:hanging="360"/>
      </w:pPr>
    </w:lvl>
    <w:lvl w:ilvl="8" w:tentative="0">
      <w:start w:val="1"/>
      <w:numFmt w:val="lowerRoman"/>
      <w:lvlText w:val="%9."/>
      <w:lvlJc w:val="right"/>
      <w:pPr>
        <w:tabs>
          <w:tab w:val="left" w:pos="6984"/>
        </w:tabs>
        <w:ind w:left="6984" w:hanging="180"/>
      </w:pPr>
    </w:lvl>
  </w:abstractNum>
  <w:abstractNum w:abstractNumId="89">
    <w:nsid w:val="797E1710"/>
    <w:multiLevelType w:val="singleLevel"/>
    <w:tmpl w:val="797E1710"/>
    <w:lvl w:ilvl="0" w:tentative="0">
      <w:start w:val="1"/>
      <w:numFmt w:val="lowerRoman"/>
      <w:pStyle w:val="73"/>
      <w:lvlText w:val="%1)"/>
      <w:lvlJc w:val="left"/>
      <w:pPr>
        <w:tabs>
          <w:tab w:val="left" w:pos="1782"/>
        </w:tabs>
        <w:ind w:left="1782" w:hanging="792"/>
      </w:pPr>
      <w:rPr>
        <w:rFonts w:hint="default"/>
      </w:rPr>
    </w:lvl>
  </w:abstractNum>
  <w:abstractNum w:abstractNumId="90">
    <w:nsid w:val="7A0725CE"/>
    <w:multiLevelType w:val="multilevel"/>
    <w:tmpl w:val="7A0725CE"/>
    <w:lvl w:ilvl="0" w:tentative="0">
      <w:start w:val="1"/>
      <w:numFmt w:val="lowerLetter"/>
      <w:lvlText w:val="(%1)"/>
      <w:lvlJc w:val="left"/>
      <w:pPr>
        <w:tabs>
          <w:tab w:val="left" w:pos="1224"/>
        </w:tabs>
        <w:ind w:left="1224" w:hanging="360"/>
      </w:pPr>
      <w:rPr>
        <w:rFonts w:hint="default"/>
      </w:rPr>
    </w:lvl>
    <w:lvl w:ilvl="1" w:tentative="0">
      <w:start w:val="1"/>
      <w:numFmt w:val="lowerLetter"/>
      <w:lvlText w:val="%2."/>
      <w:lvlJc w:val="left"/>
      <w:pPr>
        <w:tabs>
          <w:tab w:val="left" w:pos="1944"/>
        </w:tabs>
        <w:ind w:left="1944" w:hanging="360"/>
      </w:pPr>
    </w:lvl>
    <w:lvl w:ilvl="2" w:tentative="0">
      <w:start w:val="1"/>
      <w:numFmt w:val="lowerRoman"/>
      <w:lvlText w:val="%3."/>
      <w:lvlJc w:val="right"/>
      <w:pPr>
        <w:tabs>
          <w:tab w:val="left" w:pos="2664"/>
        </w:tabs>
        <w:ind w:left="2664" w:hanging="180"/>
      </w:pPr>
    </w:lvl>
    <w:lvl w:ilvl="3" w:tentative="0">
      <w:start w:val="1"/>
      <w:numFmt w:val="decimal"/>
      <w:lvlText w:val="%4."/>
      <w:lvlJc w:val="left"/>
      <w:pPr>
        <w:tabs>
          <w:tab w:val="left" w:pos="3384"/>
        </w:tabs>
        <w:ind w:left="3384" w:hanging="360"/>
      </w:pPr>
    </w:lvl>
    <w:lvl w:ilvl="4" w:tentative="0">
      <w:start w:val="1"/>
      <w:numFmt w:val="lowerLetter"/>
      <w:lvlText w:val="%5."/>
      <w:lvlJc w:val="left"/>
      <w:pPr>
        <w:tabs>
          <w:tab w:val="left" w:pos="4104"/>
        </w:tabs>
        <w:ind w:left="4104" w:hanging="360"/>
      </w:pPr>
    </w:lvl>
    <w:lvl w:ilvl="5" w:tentative="0">
      <w:start w:val="1"/>
      <w:numFmt w:val="lowerRoman"/>
      <w:lvlText w:val="%6."/>
      <w:lvlJc w:val="right"/>
      <w:pPr>
        <w:tabs>
          <w:tab w:val="left" w:pos="4824"/>
        </w:tabs>
        <w:ind w:left="4824" w:hanging="180"/>
      </w:pPr>
    </w:lvl>
    <w:lvl w:ilvl="6" w:tentative="0">
      <w:start w:val="1"/>
      <w:numFmt w:val="decimal"/>
      <w:lvlText w:val="%7."/>
      <w:lvlJc w:val="left"/>
      <w:pPr>
        <w:tabs>
          <w:tab w:val="left" w:pos="5544"/>
        </w:tabs>
        <w:ind w:left="5544" w:hanging="360"/>
      </w:pPr>
    </w:lvl>
    <w:lvl w:ilvl="7" w:tentative="0">
      <w:start w:val="1"/>
      <w:numFmt w:val="lowerLetter"/>
      <w:lvlText w:val="%8."/>
      <w:lvlJc w:val="left"/>
      <w:pPr>
        <w:tabs>
          <w:tab w:val="left" w:pos="6264"/>
        </w:tabs>
        <w:ind w:left="6264" w:hanging="360"/>
      </w:pPr>
    </w:lvl>
    <w:lvl w:ilvl="8" w:tentative="0">
      <w:start w:val="1"/>
      <w:numFmt w:val="lowerRoman"/>
      <w:lvlText w:val="%9."/>
      <w:lvlJc w:val="right"/>
      <w:pPr>
        <w:tabs>
          <w:tab w:val="left" w:pos="6984"/>
        </w:tabs>
        <w:ind w:left="6984" w:hanging="180"/>
      </w:pPr>
    </w:lvl>
  </w:abstractNum>
  <w:abstractNum w:abstractNumId="91">
    <w:nsid w:val="7B274CDE"/>
    <w:multiLevelType w:val="multilevel"/>
    <w:tmpl w:val="7B274CDE"/>
    <w:lvl w:ilvl="0" w:tentative="0">
      <w:start w:val="1"/>
      <w:numFmt w:val="decimal"/>
      <w:pStyle w:val="240"/>
      <w:lvlText w:val="%1."/>
      <w:lvlJc w:val="left"/>
      <w:pPr>
        <w:ind w:left="4680" w:hanging="360"/>
      </w:pPr>
      <w:rPr>
        <w:rFonts w:hint="default" w:asciiTheme="minorHAnsi" w:hAnsiTheme="minorHAnsi"/>
        <w:b w:val="0"/>
        <w:bCs w:val="0"/>
        <w:i w:val="0"/>
        <w:iCs w:val="0"/>
        <w:color w:val="auto"/>
        <w:sz w:val="22"/>
        <w:szCs w:val="22"/>
      </w:rPr>
    </w:lvl>
    <w:lvl w:ilvl="1" w:tentative="0">
      <w:start w:val="1"/>
      <w:numFmt w:val="lowerLetter"/>
      <w:lvlText w:val="(%2)"/>
      <w:lvlJc w:val="left"/>
      <w:pPr>
        <w:ind w:left="1440" w:hanging="360"/>
      </w:pPr>
      <w:rPr>
        <w:rFonts w:hint="default" w:asciiTheme="minorHAnsi" w:hAnsiTheme="minorHAnsi" w:cstheme="minorHAnsi"/>
      </w:rPr>
    </w:lvl>
    <w:lvl w:ilvl="2" w:tentative="0">
      <w:start w:val="1"/>
      <w:numFmt w:val="upperLetter"/>
      <w:lvlText w:val="%3."/>
      <w:lvlJc w:val="lef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92">
    <w:nsid w:val="7C08191E"/>
    <w:multiLevelType w:val="multilevel"/>
    <w:tmpl w:val="7C08191E"/>
    <w:lvl w:ilvl="0" w:tentative="0">
      <w:start w:val="1"/>
      <w:numFmt w:val="lowerRoman"/>
      <w:lvlText w:val="%1."/>
      <w:lvlJc w:val="righ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93">
    <w:nsid w:val="7E695C25"/>
    <w:multiLevelType w:val="multilevel"/>
    <w:tmpl w:val="7E695C25"/>
    <w:lvl w:ilvl="0" w:tentative="0">
      <w:start w:val="1"/>
      <w:numFmt w:val="decimal"/>
      <w:isLgl/>
      <w:lvlText w:val="%1."/>
      <w:lvlJc w:val="left"/>
      <w:pPr>
        <w:tabs>
          <w:tab w:val="left" w:pos="432"/>
        </w:tabs>
        <w:ind w:left="432" w:hanging="432"/>
      </w:pPr>
      <w:rPr>
        <w:rFonts w:hint="default"/>
        <w:b/>
        <w:i w:val="0"/>
        <w:sz w:val="24"/>
      </w:rPr>
    </w:lvl>
    <w:lvl w:ilvl="1" w:tentative="0">
      <w:start w:val="1"/>
      <w:numFmt w:val="decimal"/>
      <w:pStyle w:val="230"/>
      <w:isLgl/>
      <w:lvlText w:val="%1.%2"/>
      <w:lvlJc w:val="left"/>
      <w:pPr>
        <w:tabs>
          <w:tab w:val="left" w:pos="1296"/>
        </w:tabs>
        <w:ind w:left="1296" w:hanging="576"/>
      </w:pPr>
      <w:rPr>
        <w:rFonts w:hint="default" w:ascii="Times New Roman" w:hAnsi="Times New Roman"/>
        <w:b w:val="0"/>
        <w:i w:val="0"/>
        <w:sz w:val="24"/>
      </w:rPr>
    </w:lvl>
    <w:lvl w:ilvl="2" w:tentative="0">
      <w:start w:val="1"/>
      <w:numFmt w:val="lowerLetter"/>
      <w:lvlText w:val="(%3)"/>
      <w:lvlJc w:val="left"/>
      <w:pPr>
        <w:tabs>
          <w:tab w:val="left" w:pos="864"/>
        </w:tabs>
        <w:ind w:left="864" w:hanging="432"/>
      </w:pPr>
      <w:rPr>
        <w:rFonts w:hint="default" w:ascii="Times New Roman" w:hAnsi="Times New Roman"/>
        <w:b w:val="0"/>
        <w:i w:val="0"/>
        <w:color w:val="auto"/>
        <w:sz w:val="24"/>
      </w:rPr>
    </w:lvl>
    <w:lvl w:ilvl="3" w:tentative="0">
      <w:start w:val="1"/>
      <w:numFmt w:val="lowerRoman"/>
      <w:lvlText w:val="(%4)"/>
      <w:lvlJc w:val="left"/>
      <w:pPr>
        <w:tabs>
          <w:tab w:val="left" w:pos="1512"/>
        </w:tabs>
        <w:ind w:left="1512" w:hanging="648"/>
      </w:pPr>
      <w:rPr>
        <w:rFonts w:hint="default" w:ascii="Times New Roman" w:hAnsi="Times New Roman"/>
        <w:b w:val="0"/>
        <w:i w:val="0"/>
        <w:sz w:val="24"/>
      </w:rPr>
    </w:lvl>
    <w:lvl w:ilvl="4" w:tentative="0">
      <w:start w:val="1"/>
      <w:numFmt w:val="decimal"/>
      <w:lvlText w:val="%1.%2.%3.%4.%5"/>
      <w:lvlJc w:val="left"/>
      <w:pPr>
        <w:tabs>
          <w:tab w:val="left" w:pos="1008"/>
        </w:tabs>
        <w:ind w:left="1008" w:hanging="1008"/>
      </w:pPr>
      <w:rPr>
        <w:rFonts w:hint="default"/>
      </w:rPr>
    </w:lvl>
    <w:lvl w:ilvl="5" w:tentative="0">
      <w:start w:val="1"/>
      <w:numFmt w:val="decimal"/>
      <w:lvlText w:val="%1.%2.%3.%4.%5.%6"/>
      <w:lvlJc w:val="left"/>
      <w:pPr>
        <w:tabs>
          <w:tab w:val="left" w:pos="1152"/>
        </w:tabs>
        <w:ind w:left="1152" w:hanging="1152"/>
      </w:pPr>
      <w:rPr>
        <w:rFonts w:hint="default"/>
      </w:rPr>
    </w:lvl>
    <w:lvl w:ilvl="6" w:tentative="0">
      <w:start w:val="1"/>
      <w:numFmt w:val="decimal"/>
      <w:lvlText w:val="%1.%2.%3.%4.%5.%6.%7"/>
      <w:lvlJc w:val="left"/>
      <w:pPr>
        <w:tabs>
          <w:tab w:val="left" w:pos="1296"/>
        </w:tabs>
        <w:ind w:left="1296" w:hanging="1296"/>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584"/>
        </w:tabs>
        <w:ind w:left="1584" w:hanging="1584"/>
      </w:pPr>
      <w:rPr>
        <w:rFonts w:hint="default"/>
      </w:rPr>
    </w:lvl>
  </w:abstractNum>
  <w:num w:numId="1">
    <w:abstractNumId w:val="26"/>
  </w:num>
  <w:num w:numId="2">
    <w:abstractNumId w:val="10"/>
  </w:num>
  <w:num w:numId="3">
    <w:abstractNumId w:val="8"/>
  </w:num>
  <w:num w:numId="4">
    <w:abstractNumId w:val="7"/>
  </w:num>
  <w:num w:numId="5">
    <w:abstractNumId w:val="5"/>
  </w:num>
  <w:num w:numId="6">
    <w:abstractNumId w:val="9"/>
  </w:num>
  <w:num w:numId="7">
    <w:abstractNumId w:val="4"/>
  </w:num>
  <w:num w:numId="8">
    <w:abstractNumId w:val="3"/>
  </w:num>
  <w:num w:numId="9">
    <w:abstractNumId w:val="2"/>
  </w:num>
  <w:num w:numId="10">
    <w:abstractNumId w:val="1"/>
  </w:num>
  <w:num w:numId="11">
    <w:abstractNumId w:val="59"/>
  </w:num>
  <w:num w:numId="12">
    <w:abstractNumId w:val="50"/>
  </w:num>
  <w:num w:numId="13">
    <w:abstractNumId w:val="53"/>
  </w:num>
  <w:num w:numId="14">
    <w:abstractNumId w:val="89"/>
  </w:num>
  <w:num w:numId="15">
    <w:abstractNumId w:val="56"/>
    <w:lvlOverride w:ilvl="0">
      <w:startOverride w:val="1"/>
    </w:lvlOverride>
    <w:lvlOverride w:ilvl="1">
      <w:startOverride w:val="2"/>
    </w:lvlOverride>
  </w:num>
  <w:num w:numId="16">
    <w:abstractNumId w:val="15"/>
  </w:num>
  <w:num w:numId="17">
    <w:abstractNumId w:val="13"/>
  </w:num>
  <w:num w:numId="18">
    <w:abstractNumId w:val="64"/>
  </w:num>
  <w:num w:numId="19">
    <w:abstractNumId w:val="29"/>
  </w:num>
  <w:num w:numId="20">
    <w:abstractNumId w:val="6"/>
  </w:num>
  <w:num w:numId="21">
    <w:abstractNumId w:val="28"/>
  </w:num>
  <w:num w:numId="22">
    <w:abstractNumId w:val="39"/>
  </w:num>
  <w:num w:numId="23">
    <w:abstractNumId w:val="51"/>
  </w:num>
  <w:num w:numId="24">
    <w:abstractNumId w:val="46"/>
  </w:num>
  <w:num w:numId="25">
    <w:abstractNumId w:val="86"/>
  </w:num>
  <w:num w:numId="26">
    <w:abstractNumId w:val="60"/>
  </w:num>
  <w:num w:numId="27">
    <w:abstractNumId w:val="14"/>
  </w:num>
  <w:num w:numId="28">
    <w:abstractNumId w:val="93"/>
  </w:num>
  <w:num w:numId="29">
    <w:abstractNumId w:val="58"/>
  </w:num>
  <w:num w:numId="30">
    <w:abstractNumId w:val="91"/>
  </w:num>
  <w:num w:numId="31">
    <w:abstractNumId w:val="52"/>
  </w:num>
  <w:num w:numId="32">
    <w:abstractNumId w:val="90"/>
  </w:num>
  <w:num w:numId="33">
    <w:abstractNumId w:val="49"/>
  </w:num>
  <w:num w:numId="34">
    <w:abstractNumId w:val="88"/>
  </w:num>
  <w:num w:numId="35">
    <w:abstractNumId w:val="21"/>
  </w:num>
  <w:num w:numId="3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9"/>
  </w:num>
  <w:num w:numId="38">
    <w:abstractNumId w:val="30"/>
  </w:num>
  <w:num w:numId="39">
    <w:abstractNumId w:val="40"/>
  </w:num>
  <w:num w:numId="40">
    <w:abstractNumId w:val="65"/>
  </w:num>
  <w:num w:numId="41">
    <w:abstractNumId w:val="76"/>
  </w:num>
  <w:num w:numId="42">
    <w:abstractNumId w:val="34"/>
  </w:num>
  <w:num w:numId="43">
    <w:abstractNumId w:val="85"/>
  </w:num>
  <w:num w:numId="44">
    <w:abstractNumId w:val="42"/>
  </w:num>
  <w:num w:numId="45">
    <w:abstractNumId w:val="47"/>
  </w:num>
  <w:num w:numId="46">
    <w:abstractNumId w:val="75"/>
  </w:num>
  <w:num w:numId="47">
    <w:abstractNumId w:val="18"/>
  </w:num>
  <w:num w:numId="48">
    <w:abstractNumId w:val="62"/>
  </w:num>
  <w:num w:numId="49">
    <w:abstractNumId w:val="61"/>
  </w:num>
  <w:num w:numId="50">
    <w:abstractNumId w:val="20"/>
  </w:num>
  <w:num w:numId="51">
    <w:abstractNumId w:val="0"/>
  </w:num>
  <w:num w:numId="52">
    <w:abstractNumId w:val="83"/>
  </w:num>
  <w:num w:numId="53">
    <w:abstractNumId w:val="12"/>
  </w:num>
  <w:num w:numId="54">
    <w:abstractNumId w:val="68"/>
  </w:num>
  <w:num w:numId="55">
    <w:abstractNumId w:val="36"/>
  </w:num>
  <w:num w:numId="56">
    <w:abstractNumId w:val="23"/>
  </w:num>
  <w:num w:numId="57">
    <w:abstractNumId w:val="32"/>
  </w:num>
  <w:num w:numId="58">
    <w:abstractNumId w:val="38"/>
  </w:num>
  <w:num w:numId="59">
    <w:abstractNumId w:val="25"/>
  </w:num>
  <w:num w:numId="60">
    <w:abstractNumId w:val="73"/>
  </w:num>
  <w:num w:numId="61">
    <w:abstractNumId w:val="43"/>
  </w:num>
  <w:num w:numId="62">
    <w:abstractNumId w:val="80"/>
  </w:num>
  <w:num w:numId="63">
    <w:abstractNumId w:val="17"/>
  </w:num>
  <w:num w:numId="64">
    <w:abstractNumId w:val="77"/>
  </w:num>
  <w:num w:numId="65">
    <w:abstractNumId w:val="55"/>
  </w:num>
  <w:num w:numId="66">
    <w:abstractNumId w:val="35"/>
  </w:num>
  <w:num w:numId="67">
    <w:abstractNumId w:val="69"/>
  </w:num>
  <w:num w:numId="68">
    <w:abstractNumId w:val="45"/>
  </w:num>
  <w:num w:numId="69">
    <w:abstractNumId w:val="57"/>
  </w:num>
  <w:num w:numId="70">
    <w:abstractNumId w:val="71"/>
  </w:num>
  <w:num w:numId="71">
    <w:abstractNumId w:val="48"/>
  </w:num>
  <w:num w:numId="72">
    <w:abstractNumId w:val="37"/>
  </w:num>
  <w:num w:numId="73">
    <w:abstractNumId w:val="70"/>
  </w:num>
  <w:num w:numId="74">
    <w:abstractNumId w:val="27"/>
  </w:num>
  <w:num w:numId="75">
    <w:abstractNumId w:val="11"/>
  </w:num>
  <w:num w:numId="76">
    <w:abstractNumId w:val="74"/>
  </w:num>
  <w:num w:numId="77">
    <w:abstractNumId w:val="31"/>
  </w:num>
  <w:num w:numId="78">
    <w:abstractNumId w:val="82"/>
  </w:num>
  <w:num w:numId="79">
    <w:abstractNumId w:val="24"/>
  </w:num>
  <w:num w:numId="80">
    <w:abstractNumId w:val="44"/>
  </w:num>
  <w:num w:numId="81">
    <w:abstractNumId w:val="72"/>
  </w:num>
  <w:num w:numId="82">
    <w:abstractNumId w:val="54"/>
  </w:num>
  <w:num w:numId="83">
    <w:abstractNumId w:val="78"/>
  </w:num>
  <w:num w:numId="84">
    <w:abstractNumId w:val="66"/>
  </w:num>
  <w:num w:numId="85">
    <w:abstractNumId w:val="51"/>
    <w:lvlOverride w:ilvl="0">
      <w:startOverride w:val="1"/>
    </w:lvlOverride>
  </w:num>
  <w:num w:numId="86">
    <w:abstractNumId w:val="16"/>
  </w:num>
  <w:num w:numId="87">
    <w:abstractNumId w:val="16"/>
    <w:lvlOverride w:ilvl="0">
      <w:startOverride w:val="1"/>
    </w:lvlOverride>
  </w:num>
  <w:num w:numId="88">
    <w:abstractNumId w:val="92"/>
  </w:num>
  <w:num w:numId="89">
    <w:abstractNumId w:val="63"/>
  </w:num>
  <w:num w:numId="90">
    <w:abstractNumId w:val="84"/>
    <w:lvlOverride w:ilvl="0">
      <w:startOverride w:val="1"/>
    </w:lvlOverride>
  </w:num>
  <w:num w:numId="91">
    <w:abstractNumId w:val="84"/>
  </w:num>
  <w:num w:numId="92">
    <w:abstractNumId w:val="19"/>
  </w:num>
  <w:num w:numId="93">
    <w:abstractNumId w:val="67"/>
  </w:num>
  <w:num w:numId="94">
    <w:abstractNumId w:val="22"/>
  </w:num>
  <w:num w:numId="95">
    <w:abstractNumId w:val="81"/>
  </w:num>
  <w:num w:numId="96">
    <w:abstractNumId w:val="87"/>
  </w:num>
  <w:num w:numId="97">
    <w:abstractNumId w:val="33"/>
  </w:num>
  <w:num w:numId="9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mirrorMargins w:val="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20"/>
  <w:displayHorizontalDrawingGridEvery w:val="1"/>
  <w:displayVerticalDrawingGridEvery w:val="1"/>
  <w:noPunctuationKerning w:val="1"/>
  <w:characterSpacingControl w:val="doNotCompress"/>
  <w:footnotePr>
    <w:footnote w:id="96"/>
    <w:footnote w:id="97"/>
  </w:footnotePr>
  <w:compat>
    <w:doNotExpandShiftReturn/>
    <w:doNotWrapTextWithPunct/>
    <w:doNotUseEastAsianBreakRules/>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3C56"/>
    <w:rsid w:val="00000198"/>
    <w:rsid w:val="000003CA"/>
    <w:rsid w:val="00001A6B"/>
    <w:rsid w:val="00002A9A"/>
    <w:rsid w:val="000034D5"/>
    <w:rsid w:val="00004A07"/>
    <w:rsid w:val="0000522A"/>
    <w:rsid w:val="0001185D"/>
    <w:rsid w:val="00012772"/>
    <w:rsid w:val="000158D3"/>
    <w:rsid w:val="00020AC8"/>
    <w:rsid w:val="00020AFA"/>
    <w:rsid w:val="00025327"/>
    <w:rsid w:val="0002654B"/>
    <w:rsid w:val="00027DAE"/>
    <w:rsid w:val="00030555"/>
    <w:rsid w:val="00031741"/>
    <w:rsid w:val="00036A1A"/>
    <w:rsid w:val="0004534E"/>
    <w:rsid w:val="00046F04"/>
    <w:rsid w:val="00052F1C"/>
    <w:rsid w:val="00061AF0"/>
    <w:rsid w:val="00065051"/>
    <w:rsid w:val="00065A88"/>
    <w:rsid w:val="000731A3"/>
    <w:rsid w:val="000742A5"/>
    <w:rsid w:val="0007519D"/>
    <w:rsid w:val="00075D2F"/>
    <w:rsid w:val="00086C8C"/>
    <w:rsid w:val="000906B8"/>
    <w:rsid w:val="00090D34"/>
    <w:rsid w:val="0009150E"/>
    <w:rsid w:val="00091AB6"/>
    <w:rsid w:val="000947FF"/>
    <w:rsid w:val="00096491"/>
    <w:rsid w:val="000A5F1F"/>
    <w:rsid w:val="000A611F"/>
    <w:rsid w:val="000A7393"/>
    <w:rsid w:val="000B3397"/>
    <w:rsid w:val="000B6867"/>
    <w:rsid w:val="000C0B5C"/>
    <w:rsid w:val="000D0908"/>
    <w:rsid w:val="000D1FA2"/>
    <w:rsid w:val="000D5411"/>
    <w:rsid w:val="000E0727"/>
    <w:rsid w:val="000E213A"/>
    <w:rsid w:val="000E49F6"/>
    <w:rsid w:val="000E539E"/>
    <w:rsid w:val="000E6181"/>
    <w:rsid w:val="000E6189"/>
    <w:rsid w:val="000E7B73"/>
    <w:rsid w:val="000F56F4"/>
    <w:rsid w:val="00102275"/>
    <w:rsid w:val="00102641"/>
    <w:rsid w:val="0010720D"/>
    <w:rsid w:val="0011190A"/>
    <w:rsid w:val="00111918"/>
    <w:rsid w:val="00114585"/>
    <w:rsid w:val="00114DA5"/>
    <w:rsid w:val="0011794E"/>
    <w:rsid w:val="0012497D"/>
    <w:rsid w:val="00126D02"/>
    <w:rsid w:val="0012709F"/>
    <w:rsid w:val="0013121C"/>
    <w:rsid w:val="0013359D"/>
    <w:rsid w:val="001347F5"/>
    <w:rsid w:val="00135456"/>
    <w:rsid w:val="00140D2F"/>
    <w:rsid w:val="0014455A"/>
    <w:rsid w:val="00145B0C"/>
    <w:rsid w:val="00147FE7"/>
    <w:rsid w:val="001522EA"/>
    <w:rsid w:val="00152955"/>
    <w:rsid w:val="0015404F"/>
    <w:rsid w:val="00157628"/>
    <w:rsid w:val="001647A4"/>
    <w:rsid w:val="0017656A"/>
    <w:rsid w:val="001826EC"/>
    <w:rsid w:val="00185794"/>
    <w:rsid w:val="00190047"/>
    <w:rsid w:val="0019324B"/>
    <w:rsid w:val="00194F19"/>
    <w:rsid w:val="001A418F"/>
    <w:rsid w:val="001A4369"/>
    <w:rsid w:val="001A7748"/>
    <w:rsid w:val="001B2734"/>
    <w:rsid w:val="001B2EE2"/>
    <w:rsid w:val="001C03EC"/>
    <w:rsid w:val="001C045E"/>
    <w:rsid w:val="001C5708"/>
    <w:rsid w:val="001C66C8"/>
    <w:rsid w:val="001D3A60"/>
    <w:rsid w:val="001D4CEA"/>
    <w:rsid w:val="001D5134"/>
    <w:rsid w:val="001D62C4"/>
    <w:rsid w:val="001E1A75"/>
    <w:rsid w:val="001E254C"/>
    <w:rsid w:val="001E4E88"/>
    <w:rsid w:val="001E7E44"/>
    <w:rsid w:val="001F27A8"/>
    <w:rsid w:val="001F2923"/>
    <w:rsid w:val="001F452A"/>
    <w:rsid w:val="001F5CA1"/>
    <w:rsid w:val="0020119D"/>
    <w:rsid w:val="002040AD"/>
    <w:rsid w:val="00204453"/>
    <w:rsid w:val="00206F2C"/>
    <w:rsid w:val="00215251"/>
    <w:rsid w:val="0022012F"/>
    <w:rsid w:val="00220722"/>
    <w:rsid w:val="00221AED"/>
    <w:rsid w:val="00232496"/>
    <w:rsid w:val="00236CF8"/>
    <w:rsid w:val="00242221"/>
    <w:rsid w:val="00243B1E"/>
    <w:rsid w:val="002477E8"/>
    <w:rsid w:val="0026306C"/>
    <w:rsid w:val="002631B9"/>
    <w:rsid w:val="0026735A"/>
    <w:rsid w:val="00270779"/>
    <w:rsid w:val="00272DE8"/>
    <w:rsid w:val="0027443D"/>
    <w:rsid w:val="00276916"/>
    <w:rsid w:val="00277338"/>
    <w:rsid w:val="002823F8"/>
    <w:rsid w:val="002835CE"/>
    <w:rsid w:val="00283744"/>
    <w:rsid w:val="00283A08"/>
    <w:rsid w:val="00291A31"/>
    <w:rsid w:val="002A34D0"/>
    <w:rsid w:val="002A42CA"/>
    <w:rsid w:val="002A5726"/>
    <w:rsid w:val="002B090E"/>
    <w:rsid w:val="002B0B39"/>
    <w:rsid w:val="002B4F0A"/>
    <w:rsid w:val="002B718B"/>
    <w:rsid w:val="002C5035"/>
    <w:rsid w:val="002C6570"/>
    <w:rsid w:val="002D4DA6"/>
    <w:rsid w:val="002D580C"/>
    <w:rsid w:val="002D6925"/>
    <w:rsid w:val="002D7084"/>
    <w:rsid w:val="002D7904"/>
    <w:rsid w:val="002D7F1F"/>
    <w:rsid w:val="002E05EA"/>
    <w:rsid w:val="00301412"/>
    <w:rsid w:val="0030377F"/>
    <w:rsid w:val="003066E5"/>
    <w:rsid w:val="00306DBF"/>
    <w:rsid w:val="00307FCE"/>
    <w:rsid w:val="00313DE0"/>
    <w:rsid w:val="00321D32"/>
    <w:rsid w:val="0032278E"/>
    <w:rsid w:val="003244FE"/>
    <w:rsid w:val="00325307"/>
    <w:rsid w:val="00333636"/>
    <w:rsid w:val="0033400E"/>
    <w:rsid w:val="00336F2B"/>
    <w:rsid w:val="00341064"/>
    <w:rsid w:val="00341463"/>
    <w:rsid w:val="00341F4F"/>
    <w:rsid w:val="003508BB"/>
    <w:rsid w:val="003509D5"/>
    <w:rsid w:val="003536E4"/>
    <w:rsid w:val="003573F9"/>
    <w:rsid w:val="00363286"/>
    <w:rsid w:val="00363A2E"/>
    <w:rsid w:val="00366C40"/>
    <w:rsid w:val="00371378"/>
    <w:rsid w:val="00372302"/>
    <w:rsid w:val="003756CE"/>
    <w:rsid w:val="00375B33"/>
    <w:rsid w:val="0037620F"/>
    <w:rsid w:val="003769D7"/>
    <w:rsid w:val="00376AEF"/>
    <w:rsid w:val="003866DE"/>
    <w:rsid w:val="00387218"/>
    <w:rsid w:val="003935D6"/>
    <w:rsid w:val="00393B3B"/>
    <w:rsid w:val="00395CFF"/>
    <w:rsid w:val="003A0A5C"/>
    <w:rsid w:val="003A4F42"/>
    <w:rsid w:val="003A5B6C"/>
    <w:rsid w:val="003A5DC0"/>
    <w:rsid w:val="003B477E"/>
    <w:rsid w:val="003B5F19"/>
    <w:rsid w:val="003B71CD"/>
    <w:rsid w:val="003B7929"/>
    <w:rsid w:val="003C0DE4"/>
    <w:rsid w:val="003C164F"/>
    <w:rsid w:val="003C387B"/>
    <w:rsid w:val="003C4C4E"/>
    <w:rsid w:val="003C4F6D"/>
    <w:rsid w:val="003C58A7"/>
    <w:rsid w:val="003C6239"/>
    <w:rsid w:val="003C6812"/>
    <w:rsid w:val="003D3303"/>
    <w:rsid w:val="003D3B5C"/>
    <w:rsid w:val="003D4206"/>
    <w:rsid w:val="003D75A9"/>
    <w:rsid w:val="003E1212"/>
    <w:rsid w:val="003E3B1A"/>
    <w:rsid w:val="003E6BC0"/>
    <w:rsid w:val="003F17E1"/>
    <w:rsid w:val="003F6143"/>
    <w:rsid w:val="00402C5B"/>
    <w:rsid w:val="00403EDB"/>
    <w:rsid w:val="00405652"/>
    <w:rsid w:val="00411456"/>
    <w:rsid w:val="00412471"/>
    <w:rsid w:val="00412553"/>
    <w:rsid w:val="00412786"/>
    <w:rsid w:val="00413275"/>
    <w:rsid w:val="00416BE4"/>
    <w:rsid w:val="0041709E"/>
    <w:rsid w:val="00422EE4"/>
    <w:rsid w:val="00427588"/>
    <w:rsid w:val="00427946"/>
    <w:rsid w:val="00435224"/>
    <w:rsid w:val="004358BD"/>
    <w:rsid w:val="0044060E"/>
    <w:rsid w:val="00444652"/>
    <w:rsid w:val="00444B79"/>
    <w:rsid w:val="00446A0B"/>
    <w:rsid w:val="00447144"/>
    <w:rsid w:val="004473CA"/>
    <w:rsid w:val="00451007"/>
    <w:rsid w:val="0045219F"/>
    <w:rsid w:val="00455A8F"/>
    <w:rsid w:val="00456959"/>
    <w:rsid w:val="00456DEE"/>
    <w:rsid w:val="00463244"/>
    <w:rsid w:val="004639C1"/>
    <w:rsid w:val="00465413"/>
    <w:rsid w:val="00470EBE"/>
    <w:rsid w:val="004765B3"/>
    <w:rsid w:val="00477372"/>
    <w:rsid w:val="00477CE5"/>
    <w:rsid w:val="004858EA"/>
    <w:rsid w:val="00487AF5"/>
    <w:rsid w:val="0049153D"/>
    <w:rsid w:val="0049293D"/>
    <w:rsid w:val="00493775"/>
    <w:rsid w:val="0049485C"/>
    <w:rsid w:val="004948A4"/>
    <w:rsid w:val="004958FC"/>
    <w:rsid w:val="004A4144"/>
    <w:rsid w:val="004B1320"/>
    <w:rsid w:val="004B32A1"/>
    <w:rsid w:val="004B5191"/>
    <w:rsid w:val="004B5640"/>
    <w:rsid w:val="004B6454"/>
    <w:rsid w:val="004C1275"/>
    <w:rsid w:val="004C18A4"/>
    <w:rsid w:val="004C2F12"/>
    <w:rsid w:val="004C6CD4"/>
    <w:rsid w:val="004D03D7"/>
    <w:rsid w:val="004D29B4"/>
    <w:rsid w:val="004D686F"/>
    <w:rsid w:val="004D749D"/>
    <w:rsid w:val="004F28F1"/>
    <w:rsid w:val="00503D38"/>
    <w:rsid w:val="00504C74"/>
    <w:rsid w:val="00505F26"/>
    <w:rsid w:val="005065DF"/>
    <w:rsid w:val="005068DD"/>
    <w:rsid w:val="00511F78"/>
    <w:rsid w:val="00515A4A"/>
    <w:rsid w:val="00520D25"/>
    <w:rsid w:val="00530822"/>
    <w:rsid w:val="005378BF"/>
    <w:rsid w:val="0054045F"/>
    <w:rsid w:val="00541534"/>
    <w:rsid w:val="005434BE"/>
    <w:rsid w:val="005436F3"/>
    <w:rsid w:val="005449BA"/>
    <w:rsid w:val="005458E2"/>
    <w:rsid w:val="00545DD1"/>
    <w:rsid w:val="005461CE"/>
    <w:rsid w:val="0055247C"/>
    <w:rsid w:val="00555A69"/>
    <w:rsid w:val="0056014E"/>
    <w:rsid w:val="0056485E"/>
    <w:rsid w:val="00565B1A"/>
    <w:rsid w:val="00572168"/>
    <w:rsid w:val="005722F5"/>
    <w:rsid w:val="00572474"/>
    <w:rsid w:val="005917C4"/>
    <w:rsid w:val="00594414"/>
    <w:rsid w:val="00597B62"/>
    <w:rsid w:val="00597CAB"/>
    <w:rsid w:val="005B3E10"/>
    <w:rsid w:val="005B45E8"/>
    <w:rsid w:val="005B5777"/>
    <w:rsid w:val="005B6664"/>
    <w:rsid w:val="005B7347"/>
    <w:rsid w:val="005C1474"/>
    <w:rsid w:val="005C3BA4"/>
    <w:rsid w:val="005C4234"/>
    <w:rsid w:val="005C636C"/>
    <w:rsid w:val="005D1F7D"/>
    <w:rsid w:val="005D33BB"/>
    <w:rsid w:val="005D5B47"/>
    <w:rsid w:val="005D6752"/>
    <w:rsid w:val="005E4C82"/>
    <w:rsid w:val="005E51F4"/>
    <w:rsid w:val="005F0029"/>
    <w:rsid w:val="005F50D4"/>
    <w:rsid w:val="005F5675"/>
    <w:rsid w:val="005F76C3"/>
    <w:rsid w:val="00601339"/>
    <w:rsid w:val="00601700"/>
    <w:rsid w:val="00605CF3"/>
    <w:rsid w:val="00614DC3"/>
    <w:rsid w:val="006178F8"/>
    <w:rsid w:val="006211FC"/>
    <w:rsid w:val="00621F5E"/>
    <w:rsid w:val="00623674"/>
    <w:rsid w:val="00636D0B"/>
    <w:rsid w:val="00646469"/>
    <w:rsid w:val="006542E1"/>
    <w:rsid w:val="0066007D"/>
    <w:rsid w:val="00660280"/>
    <w:rsid w:val="00665BE1"/>
    <w:rsid w:val="00666C18"/>
    <w:rsid w:val="00667D09"/>
    <w:rsid w:val="00672226"/>
    <w:rsid w:val="00682705"/>
    <w:rsid w:val="006920FA"/>
    <w:rsid w:val="00696E09"/>
    <w:rsid w:val="006A44DE"/>
    <w:rsid w:val="006A51FA"/>
    <w:rsid w:val="006A53AC"/>
    <w:rsid w:val="006B439D"/>
    <w:rsid w:val="006C4196"/>
    <w:rsid w:val="006D2098"/>
    <w:rsid w:val="006D21E6"/>
    <w:rsid w:val="006D7915"/>
    <w:rsid w:val="006E09D6"/>
    <w:rsid w:val="006E1078"/>
    <w:rsid w:val="006E2B57"/>
    <w:rsid w:val="006E6220"/>
    <w:rsid w:val="006E6D73"/>
    <w:rsid w:val="006F449B"/>
    <w:rsid w:val="006F71C1"/>
    <w:rsid w:val="00703FF9"/>
    <w:rsid w:val="00707512"/>
    <w:rsid w:val="0071615E"/>
    <w:rsid w:val="007175CB"/>
    <w:rsid w:val="0073245A"/>
    <w:rsid w:val="00734157"/>
    <w:rsid w:val="0074249B"/>
    <w:rsid w:val="007530CC"/>
    <w:rsid w:val="00755CEF"/>
    <w:rsid w:val="007566B7"/>
    <w:rsid w:val="00760CDE"/>
    <w:rsid w:val="0076598B"/>
    <w:rsid w:val="00765DB8"/>
    <w:rsid w:val="00766714"/>
    <w:rsid w:val="00770240"/>
    <w:rsid w:val="0077028E"/>
    <w:rsid w:val="00771044"/>
    <w:rsid w:val="00773715"/>
    <w:rsid w:val="0077664A"/>
    <w:rsid w:val="007815EF"/>
    <w:rsid w:val="00781BFA"/>
    <w:rsid w:val="007842E6"/>
    <w:rsid w:val="0078525C"/>
    <w:rsid w:val="007906A8"/>
    <w:rsid w:val="007909E3"/>
    <w:rsid w:val="00791174"/>
    <w:rsid w:val="00795684"/>
    <w:rsid w:val="007A1F6D"/>
    <w:rsid w:val="007A2690"/>
    <w:rsid w:val="007A2855"/>
    <w:rsid w:val="007A3A47"/>
    <w:rsid w:val="007B008B"/>
    <w:rsid w:val="007B0F69"/>
    <w:rsid w:val="007B586E"/>
    <w:rsid w:val="007C6BA1"/>
    <w:rsid w:val="007C6E8B"/>
    <w:rsid w:val="007D5118"/>
    <w:rsid w:val="007E44AE"/>
    <w:rsid w:val="007E4A55"/>
    <w:rsid w:val="007E4BB6"/>
    <w:rsid w:val="007E4DF6"/>
    <w:rsid w:val="007E6E58"/>
    <w:rsid w:val="007E7203"/>
    <w:rsid w:val="007F39B1"/>
    <w:rsid w:val="007F769C"/>
    <w:rsid w:val="00800007"/>
    <w:rsid w:val="0080023F"/>
    <w:rsid w:val="00800C4F"/>
    <w:rsid w:val="008041C8"/>
    <w:rsid w:val="00804808"/>
    <w:rsid w:val="00807268"/>
    <w:rsid w:val="008106FD"/>
    <w:rsid w:val="00814E02"/>
    <w:rsid w:val="00815A2C"/>
    <w:rsid w:val="00815AFB"/>
    <w:rsid w:val="008201AC"/>
    <w:rsid w:val="00831BEF"/>
    <w:rsid w:val="00835035"/>
    <w:rsid w:val="00836E64"/>
    <w:rsid w:val="00841E29"/>
    <w:rsid w:val="008500D4"/>
    <w:rsid w:val="00853095"/>
    <w:rsid w:val="008549E3"/>
    <w:rsid w:val="00857559"/>
    <w:rsid w:val="00860846"/>
    <w:rsid w:val="00862E93"/>
    <w:rsid w:val="00864540"/>
    <w:rsid w:val="00866083"/>
    <w:rsid w:val="00874224"/>
    <w:rsid w:val="00877FDF"/>
    <w:rsid w:val="0089189F"/>
    <w:rsid w:val="00892AE8"/>
    <w:rsid w:val="00897DDF"/>
    <w:rsid w:val="008A108E"/>
    <w:rsid w:val="008A4581"/>
    <w:rsid w:val="008B4A24"/>
    <w:rsid w:val="008C00C3"/>
    <w:rsid w:val="008C500C"/>
    <w:rsid w:val="008C5458"/>
    <w:rsid w:val="008C69F5"/>
    <w:rsid w:val="008C6D36"/>
    <w:rsid w:val="008C78A6"/>
    <w:rsid w:val="008D3702"/>
    <w:rsid w:val="008E510B"/>
    <w:rsid w:val="008E7C50"/>
    <w:rsid w:val="008F2C31"/>
    <w:rsid w:val="008F71FF"/>
    <w:rsid w:val="009060F9"/>
    <w:rsid w:val="00907C36"/>
    <w:rsid w:val="00910C8F"/>
    <w:rsid w:val="00920C32"/>
    <w:rsid w:val="00921084"/>
    <w:rsid w:val="00922886"/>
    <w:rsid w:val="00926804"/>
    <w:rsid w:val="009349AF"/>
    <w:rsid w:val="00936135"/>
    <w:rsid w:val="009408E0"/>
    <w:rsid w:val="00941B70"/>
    <w:rsid w:val="00944D08"/>
    <w:rsid w:val="00947897"/>
    <w:rsid w:val="00951844"/>
    <w:rsid w:val="0095233C"/>
    <w:rsid w:val="0095348B"/>
    <w:rsid w:val="0095356F"/>
    <w:rsid w:val="00956248"/>
    <w:rsid w:val="00956B9B"/>
    <w:rsid w:val="009601FE"/>
    <w:rsid w:val="009664B2"/>
    <w:rsid w:val="00970495"/>
    <w:rsid w:val="00981C81"/>
    <w:rsid w:val="009879FA"/>
    <w:rsid w:val="009943F2"/>
    <w:rsid w:val="009A002D"/>
    <w:rsid w:val="009A34C4"/>
    <w:rsid w:val="009A56B8"/>
    <w:rsid w:val="009A5B57"/>
    <w:rsid w:val="009B0657"/>
    <w:rsid w:val="009C53D1"/>
    <w:rsid w:val="009C6C65"/>
    <w:rsid w:val="009C76F0"/>
    <w:rsid w:val="009C7C92"/>
    <w:rsid w:val="009D1F6F"/>
    <w:rsid w:val="009D50E7"/>
    <w:rsid w:val="009D53CC"/>
    <w:rsid w:val="009D7836"/>
    <w:rsid w:val="009D7B00"/>
    <w:rsid w:val="009E2EF7"/>
    <w:rsid w:val="009E3034"/>
    <w:rsid w:val="009E51B7"/>
    <w:rsid w:val="009E655F"/>
    <w:rsid w:val="009E69E7"/>
    <w:rsid w:val="009E7638"/>
    <w:rsid w:val="009E7D71"/>
    <w:rsid w:val="009F5346"/>
    <w:rsid w:val="00A0171C"/>
    <w:rsid w:val="00A01AEE"/>
    <w:rsid w:val="00A14BC5"/>
    <w:rsid w:val="00A17B8B"/>
    <w:rsid w:val="00A215AB"/>
    <w:rsid w:val="00A263C1"/>
    <w:rsid w:val="00A26E51"/>
    <w:rsid w:val="00A26E77"/>
    <w:rsid w:val="00A27CDB"/>
    <w:rsid w:val="00A306F6"/>
    <w:rsid w:val="00A30ED7"/>
    <w:rsid w:val="00A3264A"/>
    <w:rsid w:val="00A341C8"/>
    <w:rsid w:val="00A36331"/>
    <w:rsid w:val="00A37C6D"/>
    <w:rsid w:val="00A41AC1"/>
    <w:rsid w:val="00A41BA5"/>
    <w:rsid w:val="00A43C56"/>
    <w:rsid w:val="00A44519"/>
    <w:rsid w:val="00A5036B"/>
    <w:rsid w:val="00A507F1"/>
    <w:rsid w:val="00A665F3"/>
    <w:rsid w:val="00A673DB"/>
    <w:rsid w:val="00A71371"/>
    <w:rsid w:val="00A728D0"/>
    <w:rsid w:val="00A729AC"/>
    <w:rsid w:val="00A743DA"/>
    <w:rsid w:val="00A74483"/>
    <w:rsid w:val="00A75E65"/>
    <w:rsid w:val="00A77BD6"/>
    <w:rsid w:val="00A85226"/>
    <w:rsid w:val="00A91A43"/>
    <w:rsid w:val="00A96814"/>
    <w:rsid w:val="00AA10CD"/>
    <w:rsid w:val="00AA1108"/>
    <w:rsid w:val="00AA6995"/>
    <w:rsid w:val="00AA6F00"/>
    <w:rsid w:val="00AB4D20"/>
    <w:rsid w:val="00AC39E0"/>
    <w:rsid w:val="00AC4B76"/>
    <w:rsid w:val="00AC6CF2"/>
    <w:rsid w:val="00AD538A"/>
    <w:rsid w:val="00AE141E"/>
    <w:rsid w:val="00AE3306"/>
    <w:rsid w:val="00AE3FF7"/>
    <w:rsid w:val="00AE5A2A"/>
    <w:rsid w:val="00AF27D5"/>
    <w:rsid w:val="00AF2D6B"/>
    <w:rsid w:val="00AF4DDF"/>
    <w:rsid w:val="00AF699F"/>
    <w:rsid w:val="00B0061E"/>
    <w:rsid w:val="00B0412A"/>
    <w:rsid w:val="00B0794B"/>
    <w:rsid w:val="00B07ED2"/>
    <w:rsid w:val="00B113D0"/>
    <w:rsid w:val="00B135C1"/>
    <w:rsid w:val="00B13AA6"/>
    <w:rsid w:val="00B14C8A"/>
    <w:rsid w:val="00B210B7"/>
    <w:rsid w:val="00B2394E"/>
    <w:rsid w:val="00B25105"/>
    <w:rsid w:val="00B264CB"/>
    <w:rsid w:val="00B3554B"/>
    <w:rsid w:val="00B356AD"/>
    <w:rsid w:val="00B431DB"/>
    <w:rsid w:val="00B47848"/>
    <w:rsid w:val="00B50534"/>
    <w:rsid w:val="00B51822"/>
    <w:rsid w:val="00B52B4E"/>
    <w:rsid w:val="00B52EC9"/>
    <w:rsid w:val="00B53626"/>
    <w:rsid w:val="00B53918"/>
    <w:rsid w:val="00B55993"/>
    <w:rsid w:val="00B57251"/>
    <w:rsid w:val="00B61A64"/>
    <w:rsid w:val="00B749C9"/>
    <w:rsid w:val="00B77FDF"/>
    <w:rsid w:val="00B81CD1"/>
    <w:rsid w:val="00B85D21"/>
    <w:rsid w:val="00B961D0"/>
    <w:rsid w:val="00B97C75"/>
    <w:rsid w:val="00BA77CE"/>
    <w:rsid w:val="00BC078E"/>
    <w:rsid w:val="00BC7FBD"/>
    <w:rsid w:val="00BD09EC"/>
    <w:rsid w:val="00BE31DA"/>
    <w:rsid w:val="00BF2170"/>
    <w:rsid w:val="00BF2B23"/>
    <w:rsid w:val="00BF5492"/>
    <w:rsid w:val="00BF6046"/>
    <w:rsid w:val="00C010A5"/>
    <w:rsid w:val="00C05EB3"/>
    <w:rsid w:val="00C100E1"/>
    <w:rsid w:val="00C1020C"/>
    <w:rsid w:val="00C11739"/>
    <w:rsid w:val="00C119E0"/>
    <w:rsid w:val="00C15EE3"/>
    <w:rsid w:val="00C20B58"/>
    <w:rsid w:val="00C215F4"/>
    <w:rsid w:val="00C2686F"/>
    <w:rsid w:val="00C305A8"/>
    <w:rsid w:val="00C30717"/>
    <w:rsid w:val="00C30CEB"/>
    <w:rsid w:val="00C31BAD"/>
    <w:rsid w:val="00C422C4"/>
    <w:rsid w:val="00C429AE"/>
    <w:rsid w:val="00C47697"/>
    <w:rsid w:val="00C514E3"/>
    <w:rsid w:val="00C53D35"/>
    <w:rsid w:val="00C549F6"/>
    <w:rsid w:val="00C62D7B"/>
    <w:rsid w:val="00C6410E"/>
    <w:rsid w:val="00C6684C"/>
    <w:rsid w:val="00C67F62"/>
    <w:rsid w:val="00C73889"/>
    <w:rsid w:val="00C7414D"/>
    <w:rsid w:val="00C85A70"/>
    <w:rsid w:val="00C8738F"/>
    <w:rsid w:val="00C90A62"/>
    <w:rsid w:val="00C91AF6"/>
    <w:rsid w:val="00C93D6B"/>
    <w:rsid w:val="00CA4431"/>
    <w:rsid w:val="00CA5B3C"/>
    <w:rsid w:val="00CB38ED"/>
    <w:rsid w:val="00CB5B6C"/>
    <w:rsid w:val="00CB6A0E"/>
    <w:rsid w:val="00CC14EA"/>
    <w:rsid w:val="00CC1DAF"/>
    <w:rsid w:val="00CC318E"/>
    <w:rsid w:val="00CC37B2"/>
    <w:rsid w:val="00CC7A7C"/>
    <w:rsid w:val="00CE0D78"/>
    <w:rsid w:val="00CE4942"/>
    <w:rsid w:val="00CE5338"/>
    <w:rsid w:val="00CE72EB"/>
    <w:rsid w:val="00CF7AE6"/>
    <w:rsid w:val="00D013C8"/>
    <w:rsid w:val="00D07D1C"/>
    <w:rsid w:val="00D129CE"/>
    <w:rsid w:val="00D16F74"/>
    <w:rsid w:val="00D17296"/>
    <w:rsid w:val="00D2626B"/>
    <w:rsid w:val="00D30F8B"/>
    <w:rsid w:val="00D41581"/>
    <w:rsid w:val="00D416FF"/>
    <w:rsid w:val="00D41CD2"/>
    <w:rsid w:val="00D47AB9"/>
    <w:rsid w:val="00D509A1"/>
    <w:rsid w:val="00D50CB7"/>
    <w:rsid w:val="00D51EF9"/>
    <w:rsid w:val="00D57125"/>
    <w:rsid w:val="00D602E0"/>
    <w:rsid w:val="00D77589"/>
    <w:rsid w:val="00D81166"/>
    <w:rsid w:val="00D85274"/>
    <w:rsid w:val="00D86D51"/>
    <w:rsid w:val="00D874BE"/>
    <w:rsid w:val="00D8783A"/>
    <w:rsid w:val="00D9182C"/>
    <w:rsid w:val="00D920F0"/>
    <w:rsid w:val="00D9212C"/>
    <w:rsid w:val="00D93970"/>
    <w:rsid w:val="00D93F81"/>
    <w:rsid w:val="00DA21B6"/>
    <w:rsid w:val="00DA370D"/>
    <w:rsid w:val="00DA461F"/>
    <w:rsid w:val="00DB2F09"/>
    <w:rsid w:val="00DB5CB2"/>
    <w:rsid w:val="00DB621E"/>
    <w:rsid w:val="00DB7998"/>
    <w:rsid w:val="00DC0152"/>
    <w:rsid w:val="00DC1A62"/>
    <w:rsid w:val="00DC2028"/>
    <w:rsid w:val="00DC248E"/>
    <w:rsid w:val="00DD07BF"/>
    <w:rsid w:val="00DD2C74"/>
    <w:rsid w:val="00DD30AF"/>
    <w:rsid w:val="00DD5331"/>
    <w:rsid w:val="00DE0225"/>
    <w:rsid w:val="00DE0886"/>
    <w:rsid w:val="00DE256C"/>
    <w:rsid w:val="00DE2834"/>
    <w:rsid w:val="00DF1571"/>
    <w:rsid w:val="00DF1785"/>
    <w:rsid w:val="00DF5401"/>
    <w:rsid w:val="00DF5A51"/>
    <w:rsid w:val="00E0191A"/>
    <w:rsid w:val="00E15B0B"/>
    <w:rsid w:val="00E17292"/>
    <w:rsid w:val="00E21615"/>
    <w:rsid w:val="00E25AC8"/>
    <w:rsid w:val="00E32AA7"/>
    <w:rsid w:val="00E33F34"/>
    <w:rsid w:val="00E36B85"/>
    <w:rsid w:val="00E42A26"/>
    <w:rsid w:val="00E4366F"/>
    <w:rsid w:val="00E43A27"/>
    <w:rsid w:val="00E45F24"/>
    <w:rsid w:val="00E50E7E"/>
    <w:rsid w:val="00E60B95"/>
    <w:rsid w:val="00E61C36"/>
    <w:rsid w:val="00E63D5B"/>
    <w:rsid w:val="00E644BF"/>
    <w:rsid w:val="00E657F1"/>
    <w:rsid w:val="00E70BE9"/>
    <w:rsid w:val="00E72BC0"/>
    <w:rsid w:val="00E73437"/>
    <w:rsid w:val="00E756B0"/>
    <w:rsid w:val="00E833ED"/>
    <w:rsid w:val="00E8455D"/>
    <w:rsid w:val="00E847C4"/>
    <w:rsid w:val="00E9345D"/>
    <w:rsid w:val="00E93658"/>
    <w:rsid w:val="00E94E10"/>
    <w:rsid w:val="00EB04B6"/>
    <w:rsid w:val="00EB2199"/>
    <w:rsid w:val="00EB5341"/>
    <w:rsid w:val="00EC12FE"/>
    <w:rsid w:val="00EC5546"/>
    <w:rsid w:val="00EC705D"/>
    <w:rsid w:val="00EC7C39"/>
    <w:rsid w:val="00ED0A32"/>
    <w:rsid w:val="00EE00C1"/>
    <w:rsid w:val="00EE06DC"/>
    <w:rsid w:val="00EE2344"/>
    <w:rsid w:val="00EE25D3"/>
    <w:rsid w:val="00EE299C"/>
    <w:rsid w:val="00EE7B1C"/>
    <w:rsid w:val="00EF2F8E"/>
    <w:rsid w:val="00EF3F55"/>
    <w:rsid w:val="00EF4169"/>
    <w:rsid w:val="00EF60EB"/>
    <w:rsid w:val="00EF61C0"/>
    <w:rsid w:val="00F01887"/>
    <w:rsid w:val="00F029E8"/>
    <w:rsid w:val="00F03CA3"/>
    <w:rsid w:val="00F0665C"/>
    <w:rsid w:val="00F07C85"/>
    <w:rsid w:val="00F161D7"/>
    <w:rsid w:val="00F16907"/>
    <w:rsid w:val="00F17AC0"/>
    <w:rsid w:val="00F220D0"/>
    <w:rsid w:val="00F224E8"/>
    <w:rsid w:val="00F2385E"/>
    <w:rsid w:val="00F3230C"/>
    <w:rsid w:val="00F3418A"/>
    <w:rsid w:val="00F46510"/>
    <w:rsid w:val="00F46B0A"/>
    <w:rsid w:val="00F46BE9"/>
    <w:rsid w:val="00F46CC6"/>
    <w:rsid w:val="00F50417"/>
    <w:rsid w:val="00F546D5"/>
    <w:rsid w:val="00F55E6F"/>
    <w:rsid w:val="00F63134"/>
    <w:rsid w:val="00F6759D"/>
    <w:rsid w:val="00F6768E"/>
    <w:rsid w:val="00F701FD"/>
    <w:rsid w:val="00F70B29"/>
    <w:rsid w:val="00F73262"/>
    <w:rsid w:val="00F73F60"/>
    <w:rsid w:val="00F74D24"/>
    <w:rsid w:val="00F74F5B"/>
    <w:rsid w:val="00F76CC1"/>
    <w:rsid w:val="00F8170C"/>
    <w:rsid w:val="00F82925"/>
    <w:rsid w:val="00F82BC3"/>
    <w:rsid w:val="00F85A6E"/>
    <w:rsid w:val="00F86B75"/>
    <w:rsid w:val="00F9208D"/>
    <w:rsid w:val="00F96D04"/>
    <w:rsid w:val="00F9786A"/>
    <w:rsid w:val="00FA20AB"/>
    <w:rsid w:val="00FA7DB9"/>
    <w:rsid w:val="00FA7EE7"/>
    <w:rsid w:val="00FB224B"/>
    <w:rsid w:val="00FB4E9F"/>
    <w:rsid w:val="00FB683E"/>
    <w:rsid w:val="00FB6BDF"/>
    <w:rsid w:val="00FC0D60"/>
    <w:rsid w:val="00FC5610"/>
    <w:rsid w:val="00FD1FE9"/>
    <w:rsid w:val="00FD5B3D"/>
    <w:rsid w:val="00FE2F24"/>
    <w:rsid w:val="09FD62EE"/>
    <w:rsid w:val="0ADD4595"/>
    <w:rsid w:val="0B7D4B6B"/>
    <w:rsid w:val="0C846098"/>
    <w:rsid w:val="11CE05FA"/>
    <w:rsid w:val="17EC4221"/>
    <w:rsid w:val="19E32A71"/>
    <w:rsid w:val="1B913CBE"/>
    <w:rsid w:val="1EAE3826"/>
    <w:rsid w:val="1F0F6459"/>
    <w:rsid w:val="21D77D6C"/>
    <w:rsid w:val="21F7412C"/>
    <w:rsid w:val="2290181B"/>
    <w:rsid w:val="2603759A"/>
    <w:rsid w:val="26A5092E"/>
    <w:rsid w:val="2A650ECF"/>
    <w:rsid w:val="316E138A"/>
    <w:rsid w:val="322D502F"/>
    <w:rsid w:val="32BD19CC"/>
    <w:rsid w:val="35580061"/>
    <w:rsid w:val="36B82304"/>
    <w:rsid w:val="39A10378"/>
    <w:rsid w:val="39EB5055"/>
    <w:rsid w:val="3CD535FF"/>
    <w:rsid w:val="3DE55439"/>
    <w:rsid w:val="3DEF5A50"/>
    <w:rsid w:val="41B469A4"/>
    <w:rsid w:val="44824CA4"/>
    <w:rsid w:val="468E563F"/>
    <w:rsid w:val="48D94910"/>
    <w:rsid w:val="49BF3909"/>
    <w:rsid w:val="4C146BFD"/>
    <w:rsid w:val="4DF40E31"/>
    <w:rsid w:val="52635DBA"/>
    <w:rsid w:val="57707072"/>
    <w:rsid w:val="57C02809"/>
    <w:rsid w:val="59587991"/>
    <w:rsid w:val="5C056287"/>
    <w:rsid w:val="5C130499"/>
    <w:rsid w:val="5C495DD3"/>
    <w:rsid w:val="5F0C6580"/>
    <w:rsid w:val="634B0772"/>
    <w:rsid w:val="68187BD5"/>
    <w:rsid w:val="682F7FFB"/>
    <w:rsid w:val="6C891073"/>
    <w:rsid w:val="6F0E0F87"/>
    <w:rsid w:val="6F21615A"/>
    <w:rsid w:val="730E3D37"/>
    <w:rsid w:val="7334642C"/>
    <w:rsid w:val="73910B21"/>
    <w:rsid w:val="771D6637"/>
    <w:rsid w:val="77820E74"/>
    <w:rsid w:val="78C43EAD"/>
    <w:rsid w:val="78F114F9"/>
    <w:rsid w:val="792A6693"/>
    <w:rsid w:val="7E0A5B63"/>
    <w:rsid w:val="7ED06E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99"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qFormat="1" w:unhideWhenUsed="0" w:uiPriority="0" w:semiHidden="0" w:name="endnote text"/>
    <w:lsdException w:uiPriority="0" w:name="table of authorities"/>
    <w:lsdException w:uiPriority="0" w:name="macro"/>
    <w:lsdException w:qFormat="1" w:unhideWhenUsed="0" w:uiPriority="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qFormat="1" w:unhideWhenUsed="0" w:uiPriority="0" w:semiHidden="0" w:name="List Continue 2"/>
    <w:lsdException w:qFormat="1" w:unhideWhenUsed="0" w:uiPriority="0" w:semiHidden="0" w:name="List Continue 3"/>
    <w:lsdException w:uiPriority="0" w:name="List Continue 4"/>
    <w:lsdException w:uiPriority="0" w:name="List Continue 5"/>
    <w:lsdException w:qFormat="1"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Times New Roman" w:cs="Times New Roman"/>
      <w:sz w:val="24"/>
      <w:szCs w:val="24"/>
      <w:lang w:val="en-US" w:eastAsia="en-US" w:bidi="ar-SA"/>
    </w:rPr>
  </w:style>
  <w:style w:type="paragraph" w:styleId="2">
    <w:name w:val="heading 1"/>
    <w:basedOn w:val="1"/>
    <w:next w:val="1"/>
    <w:qFormat/>
    <w:uiPriority w:val="0"/>
    <w:pPr>
      <w:keepNext/>
      <w:tabs>
        <w:tab w:val="left" w:pos="1422"/>
      </w:tabs>
      <w:ind w:left="518"/>
      <w:outlineLvl w:val="0"/>
    </w:pPr>
    <w:rPr>
      <w:rFonts w:ascii="Arial" w:hAnsi="Arial" w:cs="Arial"/>
      <w:b/>
      <w:sz w:val="20"/>
    </w:rPr>
  </w:style>
  <w:style w:type="paragraph" w:styleId="3">
    <w:name w:val="heading 2"/>
    <w:basedOn w:val="1"/>
    <w:next w:val="1"/>
    <w:link w:val="242"/>
    <w:qFormat/>
    <w:uiPriority w:val="0"/>
    <w:pPr>
      <w:keepNext/>
      <w:spacing w:before="120" w:after="120"/>
      <w:ind w:left="1080" w:right="288" w:hanging="720"/>
      <w:jc w:val="center"/>
      <w:outlineLvl w:val="1"/>
    </w:pPr>
    <w:rPr>
      <w:rFonts w:ascii="Arial" w:hAnsi="Arial" w:cs="Arial"/>
      <w:b/>
      <w:bCs/>
    </w:rPr>
  </w:style>
  <w:style w:type="paragraph" w:styleId="4">
    <w:name w:val="heading 3"/>
    <w:basedOn w:val="1"/>
    <w:next w:val="1"/>
    <w:qFormat/>
    <w:uiPriority w:val="0"/>
    <w:pPr>
      <w:keepNext/>
      <w:suppressAutoHyphens/>
      <w:spacing w:after="60"/>
      <w:jc w:val="center"/>
      <w:outlineLvl w:val="2"/>
    </w:pPr>
    <w:rPr>
      <w:rFonts w:cs="Arial"/>
      <w:b/>
      <w:bCs/>
      <w:spacing w:val="-2"/>
      <w:sz w:val="16"/>
    </w:rPr>
  </w:style>
  <w:style w:type="paragraph" w:styleId="5">
    <w:name w:val="heading 4"/>
    <w:basedOn w:val="1"/>
    <w:next w:val="1"/>
    <w:qFormat/>
    <w:uiPriority w:val="9"/>
    <w:pPr>
      <w:numPr>
        <w:ilvl w:val="3"/>
        <w:numId w:val="1"/>
      </w:numPr>
      <w:spacing w:before="120" w:after="120"/>
      <w:jc w:val="both"/>
      <w:outlineLvl w:val="3"/>
    </w:pPr>
    <w:rPr>
      <w:rFonts w:ascii="Arial" w:hAnsi="Arial" w:cs="Arial"/>
      <w:sz w:val="20"/>
      <w:szCs w:val="20"/>
    </w:rPr>
  </w:style>
  <w:style w:type="paragraph" w:styleId="6">
    <w:name w:val="heading 5"/>
    <w:basedOn w:val="1"/>
    <w:next w:val="1"/>
    <w:qFormat/>
    <w:uiPriority w:val="0"/>
    <w:pPr>
      <w:keepNext/>
      <w:suppressAutoHyphens/>
      <w:spacing w:before="60" w:after="120"/>
      <w:outlineLvl w:val="4"/>
    </w:pPr>
    <w:rPr>
      <w:rFonts w:cs="Arial"/>
      <w:b/>
      <w:bCs/>
      <w:iCs/>
      <w:spacing w:val="-2"/>
    </w:rPr>
  </w:style>
  <w:style w:type="paragraph" w:styleId="7">
    <w:name w:val="heading 6"/>
    <w:basedOn w:val="1"/>
    <w:next w:val="1"/>
    <w:qFormat/>
    <w:uiPriority w:val="0"/>
    <w:pPr>
      <w:numPr>
        <w:ilvl w:val="5"/>
        <w:numId w:val="1"/>
      </w:numPr>
      <w:spacing w:before="240" w:after="60"/>
      <w:jc w:val="both"/>
      <w:outlineLvl w:val="5"/>
    </w:pPr>
    <w:rPr>
      <w:rFonts w:ascii="Arial" w:hAnsi="Arial"/>
      <w:i/>
      <w:sz w:val="22"/>
      <w:szCs w:val="20"/>
    </w:rPr>
  </w:style>
  <w:style w:type="paragraph" w:styleId="8">
    <w:name w:val="heading 7"/>
    <w:basedOn w:val="1"/>
    <w:next w:val="1"/>
    <w:qFormat/>
    <w:uiPriority w:val="0"/>
    <w:pPr>
      <w:numPr>
        <w:ilvl w:val="6"/>
        <w:numId w:val="1"/>
      </w:numPr>
      <w:spacing w:before="240" w:after="60"/>
      <w:jc w:val="both"/>
      <w:outlineLvl w:val="6"/>
    </w:pPr>
    <w:rPr>
      <w:rFonts w:ascii="Arial" w:hAnsi="Arial"/>
      <w:sz w:val="20"/>
      <w:szCs w:val="20"/>
    </w:rPr>
  </w:style>
  <w:style w:type="paragraph" w:styleId="9">
    <w:name w:val="heading 8"/>
    <w:basedOn w:val="1"/>
    <w:next w:val="1"/>
    <w:qFormat/>
    <w:uiPriority w:val="0"/>
    <w:pPr>
      <w:numPr>
        <w:ilvl w:val="7"/>
        <w:numId w:val="1"/>
      </w:numPr>
      <w:spacing w:before="240" w:after="60"/>
      <w:jc w:val="both"/>
      <w:outlineLvl w:val="7"/>
    </w:pPr>
    <w:rPr>
      <w:rFonts w:ascii="Arial" w:hAnsi="Arial"/>
      <w:i/>
      <w:sz w:val="20"/>
      <w:szCs w:val="20"/>
    </w:rPr>
  </w:style>
  <w:style w:type="paragraph" w:styleId="10">
    <w:name w:val="heading 9"/>
    <w:basedOn w:val="1"/>
    <w:next w:val="1"/>
    <w:qFormat/>
    <w:uiPriority w:val="0"/>
    <w:pPr>
      <w:numPr>
        <w:ilvl w:val="8"/>
        <w:numId w:val="1"/>
      </w:numPr>
      <w:spacing w:before="240" w:after="60"/>
      <w:jc w:val="both"/>
      <w:outlineLvl w:val="8"/>
    </w:pPr>
    <w:rPr>
      <w:rFonts w:ascii="Arial" w:hAnsi="Arial"/>
      <w:b/>
      <w:i/>
      <w:sz w:val="18"/>
      <w:szCs w:val="20"/>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13">
    <w:name w:val="Balloon Text"/>
    <w:basedOn w:val="1"/>
    <w:semiHidden/>
    <w:qFormat/>
    <w:uiPriority w:val="0"/>
    <w:pPr>
      <w:jc w:val="both"/>
    </w:pPr>
    <w:rPr>
      <w:rFonts w:ascii="Tahoma" w:hAnsi="Tahoma" w:cs="Tahoma"/>
      <w:sz w:val="16"/>
      <w:szCs w:val="16"/>
    </w:rPr>
  </w:style>
  <w:style w:type="paragraph" w:styleId="14">
    <w:name w:val="Block Text"/>
    <w:basedOn w:val="1"/>
    <w:qFormat/>
    <w:uiPriority w:val="0"/>
    <w:pPr>
      <w:ind w:left="180" w:right="108"/>
      <w:jc w:val="both"/>
    </w:pPr>
    <w:rPr>
      <w:rFonts w:ascii="Comic Sans MS" w:hAnsi="Comic Sans MS" w:cs="Arial"/>
      <w:b/>
      <w:bCs/>
      <w:i/>
      <w:iCs/>
      <w:sz w:val="16"/>
    </w:rPr>
  </w:style>
  <w:style w:type="paragraph" w:styleId="15">
    <w:name w:val="Body Text"/>
    <w:basedOn w:val="1"/>
    <w:link w:val="209"/>
    <w:qFormat/>
    <w:uiPriority w:val="0"/>
    <w:rPr>
      <w:rFonts w:ascii="Arial" w:hAnsi="Arial" w:cs="Arial"/>
      <w:sz w:val="20"/>
    </w:rPr>
  </w:style>
  <w:style w:type="paragraph" w:styleId="16">
    <w:name w:val="Body Text 2"/>
    <w:basedOn w:val="1"/>
    <w:qFormat/>
    <w:uiPriority w:val="0"/>
    <w:pPr>
      <w:spacing w:before="120" w:after="120"/>
      <w:jc w:val="center"/>
    </w:pPr>
    <w:rPr>
      <w:rFonts w:ascii="Arial" w:hAnsi="Arial"/>
      <w:b/>
      <w:szCs w:val="20"/>
    </w:rPr>
  </w:style>
  <w:style w:type="paragraph" w:styleId="17">
    <w:name w:val="Body Text 3"/>
    <w:basedOn w:val="1"/>
    <w:qFormat/>
    <w:uiPriority w:val="0"/>
    <w:pPr>
      <w:jc w:val="both"/>
    </w:pPr>
    <w:rPr>
      <w:rFonts w:ascii="Arial" w:hAnsi="Arial"/>
      <w:i/>
      <w:sz w:val="20"/>
      <w:szCs w:val="20"/>
    </w:rPr>
  </w:style>
  <w:style w:type="paragraph" w:styleId="18">
    <w:name w:val="Body Text Indent"/>
    <w:basedOn w:val="1"/>
    <w:qFormat/>
    <w:uiPriority w:val="0"/>
    <w:pPr>
      <w:ind w:left="603"/>
    </w:pPr>
    <w:rPr>
      <w:rFonts w:ascii="Arial" w:hAnsi="Arial" w:cs="Arial"/>
      <w:sz w:val="20"/>
    </w:rPr>
  </w:style>
  <w:style w:type="paragraph" w:styleId="19">
    <w:name w:val="Body Text Indent 2"/>
    <w:basedOn w:val="1"/>
    <w:qFormat/>
    <w:uiPriority w:val="0"/>
    <w:pPr>
      <w:tabs>
        <w:tab w:val="left" w:pos="720"/>
        <w:tab w:val="right" w:pos="8741"/>
      </w:tabs>
      <w:ind w:left="720" w:hanging="720"/>
    </w:pPr>
    <w:rPr>
      <w:rFonts w:ascii="Arial" w:hAnsi="Arial"/>
      <w:sz w:val="22"/>
      <w:szCs w:val="20"/>
    </w:rPr>
  </w:style>
  <w:style w:type="paragraph" w:styleId="20">
    <w:name w:val="Body Text Indent 3"/>
    <w:basedOn w:val="1"/>
    <w:qFormat/>
    <w:uiPriority w:val="0"/>
    <w:pPr>
      <w:ind w:left="2043" w:hanging="837"/>
    </w:pPr>
    <w:rPr>
      <w:rFonts w:ascii="Arial" w:hAnsi="Arial" w:cs="Arial"/>
      <w:sz w:val="20"/>
    </w:rPr>
  </w:style>
  <w:style w:type="paragraph" w:styleId="21">
    <w:name w:val="caption"/>
    <w:basedOn w:val="1"/>
    <w:next w:val="1"/>
    <w:link w:val="250"/>
    <w:qFormat/>
    <w:uiPriority w:val="0"/>
    <w:pPr>
      <w:tabs>
        <w:tab w:val="right" w:pos="7254"/>
      </w:tabs>
      <w:spacing w:before="60" w:after="60"/>
      <w:jc w:val="center"/>
    </w:pPr>
    <w:rPr>
      <w:rFonts w:ascii="Arial" w:hAnsi="Arial" w:cs="Arial"/>
      <w:b/>
    </w:rPr>
  </w:style>
  <w:style w:type="character" w:styleId="22">
    <w:name w:val="annotation reference"/>
    <w:qFormat/>
    <w:uiPriority w:val="0"/>
    <w:rPr>
      <w:sz w:val="16"/>
      <w:szCs w:val="16"/>
    </w:rPr>
  </w:style>
  <w:style w:type="paragraph" w:styleId="23">
    <w:name w:val="annotation text"/>
    <w:basedOn w:val="1"/>
    <w:link w:val="172"/>
    <w:qFormat/>
    <w:uiPriority w:val="0"/>
    <w:rPr>
      <w:rFonts w:ascii="Arial" w:hAnsi="Arial"/>
      <w:sz w:val="20"/>
      <w:szCs w:val="20"/>
      <w:lang w:val="zh-CN" w:eastAsia="zh-CN"/>
    </w:rPr>
  </w:style>
  <w:style w:type="paragraph" w:styleId="24">
    <w:name w:val="annotation subject"/>
    <w:basedOn w:val="23"/>
    <w:next w:val="23"/>
    <w:semiHidden/>
    <w:qFormat/>
    <w:uiPriority w:val="0"/>
    <w:pPr>
      <w:jc w:val="both"/>
    </w:pPr>
    <w:rPr>
      <w:b/>
      <w:bCs/>
    </w:rPr>
  </w:style>
  <w:style w:type="paragraph" w:styleId="25">
    <w:name w:val="endnote text"/>
    <w:basedOn w:val="1"/>
    <w:link w:val="190"/>
    <w:qFormat/>
    <w:uiPriority w:val="0"/>
    <w:pPr>
      <w:tabs>
        <w:tab w:val="left" w:pos="-720"/>
      </w:tabs>
      <w:suppressAutoHyphens/>
    </w:pPr>
    <w:rPr>
      <w:sz w:val="20"/>
      <w:szCs w:val="20"/>
    </w:rPr>
  </w:style>
  <w:style w:type="character" w:styleId="26">
    <w:name w:val="FollowedHyperlink"/>
    <w:qFormat/>
    <w:uiPriority w:val="0"/>
    <w:rPr>
      <w:color w:val="800080"/>
      <w:u w:val="single"/>
    </w:rPr>
  </w:style>
  <w:style w:type="paragraph" w:styleId="27">
    <w:name w:val="footer"/>
    <w:basedOn w:val="1"/>
    <w:link w:val="208"/>
    <w:qFormat/>
    <w:uiPriority w:val="0"/>
    <w:pPr>
      <w:tabs>
        <w:tab w:val="right" w:leader="underscore" w:pos="9504"/>
      </w:tabs>
      <w:spacing w:before="120"/>
    </w:pPr>
    <w:rPr>
      <w:rFonts w:ascii="Arial" w:hAnsi="Arial"/>
      <w:sz w:val="20"/>
      <w:szCs w:val="20"/>
    </w:rPr>
  </w:style>
  <w:style w:type="character" w:styleId="28">
    <w:name w:val="footnote reference"/>
    <w:qFormat/>
    <w:uiPriority w:val="99"/>
    <w:rPr>
      <w:vertAlign w:val="superscript"/>
    </w:rPr>
  </w:style>
  <w:style w:type="paragraph" w:styleId="29">
    <w:name w:val="footnote text"/>
    <w:basedOn w:val="1"/>
    <w:link w:val="173"/>
    <w:qFormat/>
    <w:uiPriority w:val="99"/>
    <w:pPr>
      <w:tabs>
        <w:tab w:val="left" w:pos="360"/>
      </w:tabs>
      <w:suppressAutoHyphens/>
      <w:overflowPunct w:val="0"/>
      <w:autoSpaceDE w:val="0"/>
      <w:autoSpaceDN w:val="0"/>
      <w:adjustRightInd w:val="0"/>
      <w:ind w:left="360" w:hanging="360"/>
      <w:textAlignment w:val="baseline"/>
    </w:pPr>
    <w:rPr>
      <w:sz w:val="20"/>
      <w:szCs w:val="20"/>
    </w:rPr>
  </w:style>
  <w:style w:type="paragraph" w:styleId="30">
    <w:name w:val="header"/>
    <w:basedOn w:val="1"/>
    <w:link w:val="177"/>
    <w:qFormat/>
    <w:uiPriority w:val="0"/>
    <w:pPr>
      <w:pBdr>
        <w:bottom w:val="single" w:color="000000" w:sz="4" w:space="1"/>
      </w:pBdr>
      <w:tabs>
        <w:tab w:val="right" w:pos="9000"/>
      </w:tabs>
      <w:jc w:val="both"/>
    </w:pPr>
    <w:rPr>
      <w:rFonts w:ascii="Arial" w:hAnsi="Arial"/>
      <w:sz w:val="20"/>
      <w:szCs w:val="20"/>
      <w:lang w:val="zh-CN" w:eastAsia="zh-CN"/>
    </w:rPr>
  </w:style>
  <w:style w:type="character" w:styleId="31">
    <w:name w:val="Hyperlink"/>
    <w:qFormat/>
    <w:uiPriority w:val="99"/>
    <w:rPr>
      <w:color w:val="0000FF"/>
      <w:u w:val="single"/>
    </w:rPr>
  </w:style>
  <w:style w:type="paragraph" w:styleId="32">
    <w:name w:val="index 1"/>
    <w:basedOn w:val="1"/>
    <w:next w:val="1"/>
    <w:autoRedefine/>
    <w:semiHidden/>
    <w:qFormat/>
    <w:uiPriority w:val="0"/>
    <w:pPr>
      <w:ind w:left="240" w:hanging="240"/>
    </w:pPr>
  </w:style>
  <w:style w:type="paragraph" w:styleId="33">
    <w:name w:val="index heading"/>
    <w:basedOn w:val="1"/>
    <w:next w:val="32"/>
    <w:semiHidden/>
    <w:qFormat/>
    <w:uiPriority w:val="0"/>
    <w:rPr>
      <w:sz w:val="20"/>
      <w:szCs w:val="20"/>
    </w:rPr>
  </w:style>
  <w:style w:type="paragraph" w:styleId="34">
    <w:name w:val="List"/>
    <w:basedOn w:val="1"/>
    <w:qFormat/>
    <w:uiPriority w:val="0"/>
    <w:pPr>
      <w:spacing w:before="120" w:after="120"/>
      <w:ind w:left="1440"/>
      <w:jc w:val="both"/>
    </w:pPr>
    <w:rPr>
      <w:rFonts w:ascii="Arial" w:hAnsi="Arial"/>
      <w:sz w:val="20"/>
      <w:szCs w:val="20"/>
    </w:rPr>
  </w:style>
  <w:style w:type="paragraph" w:styleId="35">
    <w:name w:val="List 2"/>
    <w:basedOn w:val="1"/>
    <w:qFormat/>
    <w:uiPriority w:val="0"/>
    <w:pPr>
      <w:ind w:left="720" w:hanging="360"/>
    </w:pPr>
  </w:style>
  <w:style w:type="paragraph" w:styleId="36">
    <w:name w:val="List 3"/>
    <w:basedOn w:val="1"/>
    <w:qFormat/>
    <w:uiPriority w:val="0"/>
    <w:pPr>
      <w:ind w:left="1080" w:hanging="360"/>
    </w:pPr>
  </w:style>
  <w:style w:type="paragraph" w:styleId="37">
    <w:name w:val="List Bullet"/>
    <w:basedOn w:val="1"/>
    <w:autoRedefine/>
    <w:qFormat/>
    <w:uiPriority w:val="0"/>
    <w:pPr>
      <w:numPr>
        <w:ilvl w:val="0"/>
        <w:numId w:val="2"/>
      </w:numPr>
    </w:pPr>
    <w:rPr>
      <w:sz w:val="20"/>
      <w:szCs w:val="20"/>
    </w:rPr>
  </w:style>
  <w:style w:type="paragraph" w:styleId="38">
    <w:name w:val="List Bullet 2"/>
    <w:basedOn w:val="1"/>
    <w:autoRedefine/>
    <w:qFormat/>
    <w:uiPriority w:val="0"/>
    <w:pPr>
      <w:numPr>
        <w:ilvl w:val="0"/>
        <w:numId w:val="3"/>
      </w:numPr>
    </w:pPr>
    <w:rPr>
      <w:sz w:val="20"/>
      <w:szCs w:val="20"/>
    </w:rPr>
  </w:style>
  <w:style w:type="paragraph" w:styleId="39">
    <w:name w:val="List Bullet 3"/>
    <w:basedOn w:val="1"/>
    <w:autoRedefine/>
    <w:qFormat/>
    <w:uiPriority w:val="0"/>
    <w:pPr>
      <w:numPr>
        <w:ilvl w:val="0"/>
        <w:numId w:val="4"/>
      </w:numPr>
    </w:pPr>
    <w:rPr>
      <w:sz w:val="20"/>
      <w:szCs w:val="20"/>
    </w:rPr>
  </w:style>
  <w:style w:type="paragraph" w:styleId="40">
    <w:name w:val="List Bullet 4"/>
    <w:basedOn w:val="1"/>
    <w:autoRedefine/>
    <w:qFormat/>
    <w:uiPriority w:val="0"/>
    <w:pPr>
      <w:tabs>
        <w:tab w:val="left" w:pos="1440"/>
      </w:tabs>
      <w:ind w:left="1440" w:hanging="360"/>
    </w:pPr>
    <w:rPr>
      <w:sz w:val="20"/>
      <w:szCs w:val="20"/>
    </w:rPr>
  </w:style>
  <w:style w:type="paragraph" w:styleId="41">
    <w:name w:val="List Bullet 5"/>
    <w:basedOn w:val="1"/>
    <w:autoRedefine/>
    <w:qFormat/>
    <w:uiPriority w:val="0"/>
    <w:pPr>
      <w:numPr>
        <w:ilvl w:val="0"/>
        <w:numId w:val="5"/>
      </w:numPr>
    </w:pPr>
    <w:rPr>
      <w:sz w:val="20"/>
      <w:szCs w:val="20"/>
    </w:rPr>
  </w:style>
  <w:style w:type="paragraph" w:styleId="42">
    <w:name w:val="List Continue 2"/>
    <w:basedOn w:val="1"/>
    <w:qFormat/>
    <w:uiPriority w:val="0"/>
    <w:pPr>
      <w:spacing w:after="120"/>
      <w:ind w:left="720"/>
    </w:pPr>
  </w:style>
  <w:style w:type="paragraph" w:styleId="43">
    <w:name w:val="List Continue 3"/>
    <w:basedOn w:val="1"/>
    <w:qFormat/>
    <w:uiPriority w:val="0"/>
    <w:pPr>
      <w:spacing w:after="120"/>
      <w:ind w:left="1080"/>
    </w:pPr>
  </w:style>
  <w:style w:type="paragraph" w:styleId="44">
    <w:name w:val="List Number"/>
    <w:basedOn w:val="1"/>
    <w:qFormat/>
    <w:uiPriority w:val="0"/>
    <w:pPr>
      <w:numPr>
        <w:ilvl w:val="0"/>
        <w:numId w:val="6"/>
      </w:numPr>
    </w:pPr>
    <w:rPr>
      <w:sz w:val="20"/>
      <w:szCs w:val="20"/>
    </w:rPr>
  </w:style>
  <w:style w:type="paragraph" w:styleId="45">
    <w:name w:val="List Number 2"/>
    <w:basedOn w:val="1"/>
    <w:qFormat/>
    <w:uiPriority w:val="0"/>
    <w:pPr>
      <w:numPr>
        <w:ilvl w:val="0"/>
        <w:numId w:val="7"/>
      </w:numPr>
    </w:pPr>
    <w:rPr>
      <w:sz w:val="20"/>
      <w:szCs w:val="20"/>
    </w:rPr>
  </w:style>
  <w:style w:type="paragraph" w:styleId="46">
    <w:name w:val="List Number 3"/>
    <w:basedOn w:val="1"/>
    <w:qFormat/>
    <w:uiPriority w:val="0"/>
    <w:pPr>
      <w:numPr>
        <w:ilvl w:val="0"/>
        <w:numId w:val="8"/>
      </w:numPr>
    </w:pPr>
    <w:rPr>
      <w:sz w:val="20"/>
      <w:szCs w:val="20"/>
    </w:rPr>
  </w:style>
  <w:style w:type="paragraph" w:styleId="47">
    <w:name w:val="List Number 4"/>
    <w:basedOn w:val="1"/>
    <w:qFormat/>
    <w:uiPriority w:val="0"/>
    <w:pPr>
      <w:numPr>
        <w:ilvl w:val="0"/>
        <w:numId w:val="9"/>
      </w:numPr>
    </w:pPr>
    <w:rPr>
      <w:sz w:val="20"/>
      <w:szCs w:val="20"/>
    </w:rPr>
  </w:style>
  <w:style w:type="paragraph" w:styleId="48">
    <w:name w:val="List Number 5"/>
    <w:basedOn w:val="1"/>
    <w:qFormat/>
    <w:uiPriority w:val="0"/>
    <w:pPr>
      <w:numPr>
        <w:ilvl w:val="0"/>
        <w:numId w:val="10"/>
      </w:numPr>
    </w:pPr>
    <w:rPr>
      <w:sz w:val="20"/>
      <w:szCs w:val="20"/>
    </w:rPr>
  </w:style>
  <w:style w:type="paragraph" w:styleId="49">
    <w:name w:val="Message Header"/>
    <w:basedOn w:val="1"/>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rPr>
  </w:style>
  <w:style w:type="paragraph" w:styleId="50">
    <w:name w:val="Normal (Web)"/>
    <w:basedOn w:val="1"/>
    <w:qFormat/>
    <w:uiPriority w:val="0"/>
    <w:pPr>
      <w:spacing w:before="100" w:beforeAutospacing="1" w:after="100" w:afterAutospacing="1"/>
    </w:pPr>
    <w:rPr>
      <w:rFonts w:ascii="Arial Unicode MS" w:hAnsi="Arial Unicode MS" w:eastAsia="Arial Unicode MS"/>
      <w:sz w:val="20"/>
    </w:rPr>
  </w:style>
  <w:style w:type="paragraph" w:styleId="51">
    <w:name w:val="Normal Indent"/>
    <w:basedOn w:val="1"/>
    <w:qFormat/>
    <w:uiPriority w:val="0"/>
    <w:pPr>
      <w:ind w:left="720"/>
    </w:pPr>
  </w:style>
  <w:style w:type="paragraph" w:styleId="52">
    <w:name w:val="Note Heading"/>
    <w:basedOn w:val="1"/>
    <w:next w:val="1"/>
    <w:qFormat/>
    <w:uiPriority w:val="0"/>
    <w:pPr>
      <w:suppressAutoHyphens/>
      <w:overflowPunct w:val="0"/>
      <w:autoSpaceDE w:val="0"/>
      <w:autoSpaceDN w:val="0"/>
      <w:adjustRightInd w:val="0"/>
      <w:jc w:val="both"/>
      <w:textAlignment w:val="baseline"/>
    </w:pPr>
    <w:rPr>
      <w:szCs w:val="20"/>
    </w:rPr>
  </w:style>
  <w:style w:type="character" w:styleId="53">
    <w:name w:val="page number"/>
    <w:qFormat/>
    <w:uiPriority w:val="0"/>
    <w:rPr>
      <w:rFonts w:ascii="Times New Roman" w:hAnsi="Times New Roman"/>
      <w:sz w:val="20"/>
    </w:rPr>
  </w:style>
  <w:style w:type="paragraph" w:styleId="54">
    <w:name w:val="Subtitle"/>
    <w:basedOn w:val="1"/>
    <w:qFormat/>
    <w:uiPriority w:val="0"/>
    <w:pPr>
      <w:spacing w:before="120" w:after="240"/>
      <w:jc w:val="center"/>
    </w:pPr>
    <w:rPr>
      <w:b/>
      <w:sz w:val="36"/>
      <w:szCs w:val="20"/>
    </w:rPr>
  </w:style>
  <w:style w:type="table" w:styleId="55">
    <w:name w:val="Table Grid"/>
    <w:basedOn w:val="12"/>
    <w:qFormat/>
    <w:uiPriority w:val="39"/>
    <w:pPr>
      <w:jc w:val="both"/>
    </w:pPr>
    <w:rPr>
      <w:sz w:val="24"/>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6">
    <w:name w:val="Title"/>
    <w:basedOn w:val="1"/>
    <w:qFormat/>
    <w:uiPriority w:val="0"/>
    <w:pPr>
      <w:jc w:val="center"/>
    </w:pPr>
    <w:rPr>
      <w:rFonts w:ascii="Arial" w:hAnsi="Arial"/>
      <w:b/>
      <w:sz w:val="48"/>
      <w:szCs w:val="20"/>
    </w:rPr>
  </w:style>
  <w:style w:type="paragraph" w:styleId="57">
    <w:name w:val="toa heading"/>
    <w:basedOn w:val="1"/>
    <w:next w:val="1"/>
    <w:semiHidden/>
    <w:qFormat/>
    <w:uiPriority w:val="0"/>
    <w:pPr>
      <w:tabs>
        <w:tab w:val="left" w:pos="9000"/>
        <w:tab w:val="right" w:pos="9360"/>
      </w:tabs>
      <w:suppressAutoHyphens/>
      <w:overflowPunct w:val="0"/>
      <w:autoSpaceDE w:val="0"/>
      <w:autoSpaceDN w:val="0"/>
      <w:adjustRightInd w:val="0"/>
      <w:jc w:val="both"/>
      <w:textAlignment w:val="baseline"/>
    </w:pPr>
    <w:rPr>
      <w:szCs w:val="20"/>
    </w:rPr>
  </w:style>
  <w:style w:type="paragraph" w:styleId="58">
    <w:name w:val="toc 1"/>
    <w:basedOn w:val="1"/>
    <w:next w:val="1"/>
    <w:qFormat/>
    <w:uiPriority w:val="39"/>
    <w:pPr>
      <w:spacing w:before="240" w:after="240"/>
      <w:outlineLvl w:val="0"/>
    </w:pPr>
    <w:rPr>
      <w:b/>
      <w:szCs w:val="20"/>
    </w:rPr>
  </w:style>
  <w:style w:type="paragraph" w:styleId="59">
    <w:name w:val="toc 2"/>
    <w:basedOn w:val="1"/>
    <w:next w:val="1"/>
    <w:autoRedefine/>
    <w:qFormat/>
    <w:uiPriority w:val="39"/>
    <w:pPr>
      <w:tabs>
        <w:tab w:val="left" w:pos="1350"/>
        <w:tab w:val="right" w:leader="dot" w:pos="9000"/>
      </w:tabs>
      <w:ind w:left="720" w:hanging="547"/>
      <w:outlineLvl w:val="1"/>
    </w:pPr>
    <w:rPr>
      <w:szCs w:val="20"/>
    </w:rPr>
  </w:style>
  <w:style w:type="paragraph" w:styleId="60">
    <w:name w:val="toc 3"/>
    <w:basedOn w:val="1"/>
    <w:next w:val="1"/>
    <w:autoRedefine/>
    <w:qFormat/>
    <w:uiPriority w:val="39"/>
    <w:pPr>
      <w:ind w:left="480"/>
    </w:pPr>
  </w:style>
  <w:style w:type="paragraph" w:styleId="61">
    <w:name w:val="toc 4"/>
    <w:basedOn w:val="1"/>
    <w:next w:val="1"/>
    <w:autoRedefine/>
    <w:qFormat/>
    <w:uiPriority w:val="39"/>
    <w:pPr>
      <w:ind w:left="720"/>
    </w:pPr>
  </w:style>
  <w:style w:type="paragraph" w:styleId="62">
    <w:name w:val="toc 5"/>
    <w:basedOn w:val="1"/>
    <w:next w:val="1"/>
    <w:autoRedefine/>
    <w:qFormat/>
    <w:uiPriority w:val="39"/>
    <w:pPr>
      <w:ind w:left="960"/>
    </w:pPr>
  </w:style>
  <w:style w:type="paragraph" w:styleId="63">
    <w:name w:val="toc 6"/>
    <w:basedOn w:val="1"/>
    <w:next w:val="1"/>
    <w:autoRedefine/>
    <w:qFormat/>
    <w:uiPriority w:val="39"/>
    <w:pPr>
      <w:ind w:left="1200"/>
    </w:pPr>
  </w:style>
  <w:style w:type="paragraph" w:styleId="64">
    <w:name w:val="toc 7"/>
    <w:basedOn w:val="1"/>
    <w:next w:val="1"/>
    <w:autoRedefine/>
    <w:qFormat/>
    <w:uiPriority w:val="39"/>
    <w:pPr>
      <w:ind w:left="1440"/>
    </w:pPr>
  </w:style>
  <w:style w:type="paragraph" w:styleId="65">
    <w:name w:val="toc 8"/>
    <w:basedOn w:val="1"/>
    <w:next w:val="1"/>
    <w:autoRedefine/>
    <w:qFormat/>
    <w:uiPriority w:val="39"/>
    <w:pPr>
      <w:ind w:left="1680"/>
    </w:pPr>
  </w:style>
  <w:style w:type="paragraph" w:styleId="66">
    <w:name w:val="toc 9"/>
    <w:basedOn w:val="1"/>
    <w:next w:val="1"/>
    <w:autoRedefine/>
    <w:qFormat/>
    <w:uiPriority w:val="39"/>
    <w:pPr>
      <w:ind w:left="1920"/>
    </w:pPr>
  </w:style>
  <w:style w:type="paragraph" w:customStyle="1" w:styleId="67">
    <w:name w:val="2AutoList1"/>
    <w:basedOn w:val="1"/>
    <w:qFormat/>
    <w:uiPriority w:val="0"/>
    <w:pPr>
      <w:numPr>
        <w:ilvl w:val="1"/>
        <w:numId w:val="11"/>
      </w:numPr>
      <w:jc w:val="both"/>
    </w:pPr>
    <w:rPr>
      <w:rFonts w:ascii="Arial" w:hAnsi="Arial"/>
      <w:sz w:val="20"/>
      <w:szCs w:val="20"/>
    </w:rPr>
  </w:style>
  <w:style w:type="paragraph" w:customStyle="1" w:styleId="68">
    <w:name w:val="Header 1 - Clauses"/>
    <w:basedOn w:val="1"/>
    <w:qFormat/>
    <w:uiPriority w:val="0"/>
    <w:pPr>
      <w:numPr>
        <w:ilvl w:val="0"/>
        <w:numId w:val="12"/>
      </w:numPr>
      <w:spacing w:before="120"/>
    </w:pPr>
    <w:rPr>
      <w:rFonts w:ascii="Arial" w:hAnsi="Arial"/>
      <w:b/>
      <w:sz w:val="20"/>
      <w:szCs w:val="20"/>
    </w:rPr>
  </w:style>
  <w:style w:type="paragraph" w:customStyle="1" w:styleId="69">
    <w:name w:val="Header 2 - SubClauses"/>
    <w:basedOn w:val="1"/>
    <w:qFormat/>
    <w:uiPriority w:val="0"/>
    <w:pPr>
      <w:numPr>
        <w:ilvl w:val="1"/>
        <w:numId w:val="1"/>
      </w:numPr>
      <w:spacing w:after="200"/>
      <w:jc w:val="both"/>
    </w:pPr>
    <w:rPr>
      <w:rFonts w:cs="Arial"/>
    </w:rPr>
  </w:style>
  <w:style w:type="paragraph" w:customStyle="1" w:styleId="70">
    <w:name w:val="P3 Header1-Clauses"/>
    <w:basedOn w:val="68"/>
    <w:qFormat/>
    <w:uiPriority w:val="0"/>
    <w:pPr>
      <w:numPr>
        <w:ilvl w:val="2"/>
        <w:numId w:val="1"/>
      </w:numPr>
      <w:spacing w:before="0" w:after="200"/>
      <w:jc w:val="both"/>
    </w:pPr>
    <w:rPr>
      <w:rFonts w:ascii="Times New Roman" w:hAnsi="Times New Roman"/>
      <w:b w:val="0"/>
      <w:sz w:val="24"/>
    </w:rPr>
  </w:style>
  <w:style w:type="paragraph" w:customStyle="1" w:styleId="71">
    <w:name w:val="Outline3"/>
    <w:basedOn w:val="1"/>
    <w:qFormat/>
    <w:uiPriority w:val="0"/>
    <w:pPr>
      <w:numPr>
        <w:ilvl w:val="2"/>
        <w:numId w:val="13"/>
      </w:numPr>
      <w:spacing w:before="240"/>
    </w:pPr>
    <w:rPr>
      <w:rFonts w:ascii="Arial" w:hAnsi="Arial"/>
      <w:kern w:val="28"/>
      <w:sz w:val="20"/>
      <w:szCs w:val="20"/>
    </w:rPr>
  </w:style>
  <w:style w:type="paragraph" w:customStyle="1" w:styleId="72">
    <w:name w:val="Outline4"/>
    <w:basedOn w:val="1"/>
    <w:autoRedefine/>
    <w:qFormat/>
    <w:uiPriority w:val="0"/>
    <w:pPr>
      <w:spacing w:before="120"/>
      <w:ind w:left="1080"/>
    </w:pPr>
    <w:rPr>
      <w:rFonts w:ascii="Arial" w:hAnsi="Arial"/>
      <w:kern w:val="28"/>
      <w:sz w:val="20"/>
      <w:szCs w:val="20"/>
    </w:rPr>
  </w:style>
  <w:style w:type="paragraph" w:customStyle="1" w:styleId="73">
    <w:name w:val="Outline i)"/>
    <w:basedOn w:val="1"/>
    <w:qFormat/>
    <w:uiPriority w:val="0"/>
    <w:pPr>
      <w:numPr>
        <w:ilvl w:val="0"/>
        <w:numId w:val="14"/>
      </w:numPr>
      <w:spacing w:before="120"/>
    </w:pPr>
    <w:rPr>
      <w:rFonts w:ascii="Arial" w:hAnsi="Arial"/>
      <w:sz w:val="20"/>
      <w:szCs w:val="20"/>
    </w:rPr>
  </w:style>
  <w:style w:type="paragraph" w:customStyle="1" w:styleId="74">
    <w:name w:val="Subtitle 2"/>
    <w:basedOn w:val="27"/>
    <w:autoRedefine/>
    <w:qFormat/>
    <w:uiPriority w:val="0"/>
    <w:pPr>
      <w:tabs>
        <w:tab w:val="clear" w:pos="9504"/>
      </w:tabs>
      <w:spacing w:before="0"/>
      <w:ind w:left="281" w:right="288" w:hanging="281"/>
      <w:jc w:val="center"/>
      <w:outlineLvl w:val="1"/>
    </w:pPr>
    <w:rPr>
      <w:rFonts w:ascii="Times New Roman" w:hAnsi="Times New Roman"/>
      <w:b/>
      <w:sz w:val="28"/>
      <w:szCs w:val="28"/>
    </w:rPr>
  </w:style>
  <w:style w:type="paragraph" w:customStyle="1" w:styleId="75">
    <w:name w:val="explanatory_notes"/>
    <w:basedOn w:val="1"/>
    <w:qFormat/>
    <w:uiPriority w:val="0"/>
    <w:pPr>
      <w:suppressAutoHyphens/>
      <w:spacing w:after="240" w:line="360" w:lineRule="exact"/>
      <w:jc w:val="both"/>
    </w:pPr>
    <w:rPr>
      <w:rFonts w:ascii="Arial" w:hAnsi="Arial"/>
      <w:sz w:val="20"/>
      <w:szCs w:val="20"/>
    </w:rPr>
  </w:style>
  <w:style w:type="paragraph" w:customStyle="1" w:styleId="76">
    <w:name w:val="(i)"/>
    <w:basedOn w:val="1"/>
    <w:qFormat/>
    <w:uiPriority w:val="0"/>
    <w:pPr>
      <w:suppressAutoHyphens/>
      <w:jc w:val="both"/>
    </w:pPr>
    <w:rPr>
      <w:rFonts w:ascii="Tms Rmn" w:hAnsi="Tms Rmn"/>
      <w:sz w:val="20"/>
      <w:szCs w:val="20"/>
    </w:rPr>
  </w:style>
  <w:style w:type="paragraph" w:customStyle="1" w:styleId="77">
    <w:name w:val="TOC Number1"/>
    <w:basedOn w:val="5"/>
    <w:autoRedefine/>
    <w:qFormat/>
    <w:uiPriority w:val="0"/>
    <w:pPr>
      <w:numPr>
        <w:ilvl w:val="0"/>
        <w:numId w:val="0"/>
      </w:numPr>
      <w:tabs>
        <w:tab w:val="right" w:pos="9360"/>
      </w:tabs>
      <w:suppressAutoHyphens/>
      <w:spacing w:before="0"/>
      <w:ind w:left="187"/>
      <w:jc w:val="left"/>
      <w:outlineLvl w:val="9"/>
    </w:pPr>
    <w:rPr>
      <w:b/>
      <w:bCs/>
    </w:rPr>
  </w:style>
  <w:style w:type="paragraph" w:customStyle="1" w:styleId="78">
    <w:name w:val="Section VII Header2"/>
    <w:basedOn w:val="2"/>
    <w:autoRedefine/>
    <w:qFormat/>
    <w:uiPriority w:val="0"/>
    <w:pPr>
      <w:keepNext w:val="0"/>
      <w:tabs>
        <w:tab w:val="right" w:pos="9000"/>
        <w:tab w:val="clear" w:pos="1422"/>
      </w:tabs>
      <w:spacing w:before="120" w:after="120"/>
      <w:ind w:left="0"/>
      <w:outlineLvl w:val="9"/>
    </w:pPr>
    <w:rPr>
      <w:bCs/>
      <w:szCs w:val="20"/>
    </w:rPr>
  </w:style>
  <w:style w:type="paragraph" w:customStyle="1" w:styleId="79">
    <w:name w:val="Head 2"/>
    <w:basedOn w:val="10"/>
    <w:qFormat/>
    <w:uiPriority w:val="0"/>
    <w:pPr>
      <w:keepNext/>
      <w:widowControl w:val="0"/>
      <w:numPr>
        <w:ilvl w:val="0"/>
        <w:numId w:val="0"/>
      </w:numPr>
      <w:suppressAutoHyphens/>
      <w:spacing w:before="0" w:after="0"/>
      <w:outlineLvl w:val="9"/>
    </w:pPr>
    <w:rPr>
      <w:rFonts w:ascii="Times New Roman Bold" w:hAnsi="Times New Roman Bold"/>
      <w:b w:val="0"/>
      <w:i w:val="0"/>
      <w:spacing w:val="-4"/>
      <w:sz w:val="32"/>
    </w:rPr>
  </w:style>
  <w:style w:type="paragraph" w:customStyle="1" w:styleId="80">
    <w:name w:val="Section V. Header"/>
    <w:basedOn w:val="1"/>
    <w:qFormat/>
    <w:uiPriority w:val="0"/>
    <w:pPr>
      <w:jc w:val="center"/>
    </w:pPr>
    <w:rPr>
      <w:rFonts w:ascii="Arial" w:hAnsi="Arial"/>
      <w:b/>
      <w:sz w:val="36"/>
      <w:szCs w:val="20"/>
    </w:rPr>
  </w:style>
  <w:style w:type="paragraph" w:customStyle="1" w:styleId="81">
    <w:name w:val="Technical 4"/>
    <w:qFormat/>
    <w:uiPriority w:val="0"/>
    <w:pPr>
      <w:tabs>
        <w:tab w:val="left" w:pos="-720"/>
      </w:tabs>
      <w:suppressAutoHyphens/>
    </w:pPr>
    <w:rPr>
      <w:rFonts w:ascii="Times" w:hAnsi="Times" w:eastAsia="Times New Roman" w:cs="Times New Roman"/>
      <w:b/>
      <w:sz w:val="24"/>
      <w:lang w:val="en-US" w:eastAsia="en-US" w:bidi="ar-SA"/>
    </w:rPr>
  </w:style>
  <w:style w:type="character" w:customStyle="1" w:styleId="82">
    <w:name w:val="Table"/>
    <w:qFormat/>
    <w:uiPriority w:val="0"/>
    <w:rPr>
      <w:rFonts w:ascii="Arial" w:hAnsi="Arial"/>
      <w:sz w:val="20"/>
    </w:rPr>
  </w:style>
  <w:style w:type="paragraph" w:customStyle="1" w:styleId="83">
    <w:name w:val="Head 1.2"/>
    <w:basedOn w:val="1"/>
    <w:qFormat/>
    <w:uiPriority w:val="0"/>
    <w:pPr>
      <w:numPr>
        <w:ilvl w:val="1"/>
        <w:numId w:val="15"/>
      </w:numPr>
      <w:jc w:val="both"/>
    </w:pPr>
    <w:rPr>
      <w:rFonts w:ascii="Arial" w:hAnsi="Arial"/>
      <w:sz w:val="20"/>
      <w:szCs w:val="20"/>
    </w:rPr>
  </w:style>
  <w:style w:type="paragraph" w:customStyle="1" w:styleId="84">
    <w:name w:val="Header 3 - Paragraph"/>
    <w:basedOn w:val="1"/>
    <w:qFormat/>
    <w:uiPriority w:val="0"/>
    <w:pPr>
      <w:tabs>
        <w:tab w:val="left" w:pos="864"/>
      </w:tabs>
      <w:spacing w:after="200"/>
      <w:ind w:left="864" w:hanging="432"/>
      <w:jc w:val="both"/>
    </w:pPr>
    <w:rPr>
      <w:rFonts w:ascii="Arial" w:hAnsi="Arial"/>
      <w:sz w:val="20"/>
      <w:szCs w:val="20"/>
    </w:rPr>
  </w:style>
  <w:style w:type="paragraph" w:customStyle="1" w:styleId="85">
    <w:name w:val="titulo"/>
    <w:basedOn w:val="6"/>
    <w:qFormat/>
    <w:uiPriority w:val="0"/>
    <w:pPr>
      <w:keepNext w:val="0"/>
      <w:suppressAutoHyphens w:val="0"/>
      <w:spacing w:before="0" w:after="240"/>
      <w:jc w:val="center"/>
    </w:pPr>
    <w:rPr>
      <w:rFonts w:ascii="Times New Roman Bold" w:hAnsi="Times New Roman Bold" w:cs="Times New Roman"/>
      <w:bCs w:val="0"/>
      <w:iCs w:val="0"/>
      <w:spacing w:val="0"/>
      <w:szCs w:val="20"/>
    </w:rPr>
  </w:style>
  <w:style w:type="paragraph" w:customStyle="1" w:styleId="86">
    <w:name w:val="BankNormal"/>
    <w:basedOn w:val="1"/>
    <w:qFormat/>
    <w:uiPriority w:val="0"/>
    <w:pPr>
      <w:spacing w:after="240"/>
    </w:pPr>
    <w:rPr>
      <w:rFonts w:ascii="Arial" w:hAnsi="Arial"/>
      <w:sz w:val="20"/>
      <w:szCs w:val="20"/>
    </w:rPr>
  </w:style>
  <w:style w:type="paragraph" w:customStyle="1" w:styleId="87">
    <w:name w:val="Outline"/>
    <w:basedOn w:val="1"/>
    <w:qFormat/>
    <w:uiPriority w:val="0"/>
    <w:pPr>
      <w:spacing w:before="240"/>
    </w:pPr>
    <w:rPr>
      <w:rFonts w:ascii="Arial" w:hAnsi="Arial"/>
      <w:kern w:val="28"/>
      <w:sz w:val="20"/>
      <w:szCs w:val="20"/>
    </w:rPr>
  </w:style>
  <w:style w:type="paragraph" w:customStyle="1" w:styleId="88">
    <w:name w:val="Section Title"/>
    <w:next w:val="1"/>
    <w:qFormat/>
    <w:uiPriority w:val="0"/>
    <w:pPr>
      <w:spacing w:after="200"/>
      <w:jc w:val="center"/>
    </w:pPr>
    <w:rPr>
      <w:rFonts w:ascii="Times New Roman" w:hAnsi="Times New Roman" w:eastAsia="Times New Roman" w:cs="Times New Roman"/>
      <w:b/>
      <w:sz w:val="44"/>
      <w:lang w:val="en-GB" w:eastAsia="en-US" w:bidi="ar-SA"/>
    </w:rPr>
  </w:style>
  <w:style w:type="paragraph" w:customStyle="1" w:styleId="89">
    <w:name w:val="Outline2"/>
    <w:basedOn w:val="1"/>
    <w:qFormat/>
    <w:uiPriority w:val="0"/>
    <w:pPr>
      <w:numPr>
        <w:ilvl w:val="1"/>
        <w:numId w:val="16"/>
      </w:numPr>
      <w:tabs>
        <w:tab w:val="left" w:pos="360"/>
        <w:tab w:val="left" w:pos="864"/>
      </w:tabs>
      <w:spacing w:before="240"/>
      <w:ind w:left="864" w:hanging="504"/>
    </w:pPr>
    <w:rPr>
      <w:rFonts w:ascii="Arial" w:hAnsi="Arial"/>
      <w:kern w:val="28"/>
      <w:sz w:val="20"/>
      <w:szCs w:val="20"/>
    </w:rPr>
  </w:style>
  <w:style w:type="paragraph" w:customStyle="1" w:styleId="90">
    <w:name w:val="explanatory_clause"/>
    <w:basedOn w:val="1"/>
    <w:qFormat/>
    <w:uiPriority w:val="0"/>
    <w:pPr>
      <w:suppressAutoHyphens/>
      <w:spacing w:after="240"/>
      <w:ind w:left="738" w:right="-14" w:hanging="738"/>
    </w:pPr>
    <w:rPr>
      <w:rFonts w:ascii="Arial" w:hAnsi="Arial"/>
      <w:sz w:val="22"/>
      <w:szCs w:val="20"/>
    </w:rPr>
  </w:style>
  <w:style w:type="paragraph" w:customStyle="1" w:styleId="91">
    <w:name w:val="Level 3 (Body)"/>
    <w:qFormat/>
    <w:uiPriority w:val="0"/>
    <w:pPr>
      <w:tabs>
        <w:tab w:val="left" w:pos="1502"/>
      </w:tabs>
      <w:spacing w:line="270" w:lineRule="atLeast"/>
      <w:ind w:left="1502" w:hanging="425"/>
      <w:jc w:val="both"/>
    </w:pPr>
    <w:rPr>
      <w:rFonts w:ascii="Optima" w:hAnsi="Optima" w:eastAsia="Times New Roman" w:cs="Times New Roman"/>
      <w:sz w:val="22"/>
      <w:lang w:val="en-US" w:eastAsia="en-US" w:bidi="ar-SA"/>
    </w:rPr>
  </w:style>
  <w:style w:type="paragraph" w:customStyle="1" w:styleId="92">
    <w:name w:val="Enclosure"/>
    <w:basedOn w:val="1"/>
    <w:qFormat/>
    <w:uiPriority w:val="0"/>
  </w:style>
  <w:style w:type="paragraph" w:customStyle="1" w:styleId="93">
    <w:name w:val="Short Return Address"/>
    <w:basedOn w:val="1"/>
    <w:qFormat/>
    <w:uiPriority w:val="0"/>
  </w:style>
  <w:style w:type="paragraph" w:customStyle="1" w:styleId="94">
    <w:name w:val="Right Par 5"/>
    <w:qFormat/>
    <w:uiPriority w:val="0"/>
    <w:pPr>
      <w:tabs>
        <w:tab w:val="left" w:pos="-720"/>
        <w:tab w:val="left" w:pos="0"/>
        <w:tab w:val="left" w:pos="720"/>
        <w:tab w:val="left" w:pos="1440"/>
        <w:tab w:val="left" w:pos="2160"/>
        <w:tab w:val="left" w:pos="2880"/>
        <w:tab w:val="decimal" w:pos="3600"/>
      </w:tabs>
      <w:suppressAutoHyphens/>
      <w:ind w:firstLine="3600"/>
    </w:pPr>
    <w:rPr>
      <w:rFonts w:ascii="Times" w:hAnsi="Times" w:eastAsia="Times New Roman" w:cs="Times New Roman"/>
      <w:sz w:val="24"/>
      <w:lang w:val="en-US" w:eastAsia="en-US" w:bidi="ar-SA"/>
    </w:rPr>
  </w:style>
  <w:style w:type="character" w:customStyle="1" w:styleId="95">
    <w:name w:val="_Equation Caption"/>
    <w:qFormat/>
    <w:uiPriority w:val="0"/>
  </w:style>
  <w:style w:type="character" w:customStyle="1" w:styleId="96">
    <w:name w:val="Tech Init"/>
    <w:qFormat/>
    <w:uiPriority w:val="0"/>
    <w:rPr>
      <w:rFonts w:ascii="Times New Roman" w:hAnsi="Times New Roman"/>
      <w:sz w:val="20"/>
      <w:lang w:val="en-US"/>
    </w:rPr>
  </w:style>
  <w:style w:type="character" w:customStyle="1" w:styleId="97">
    <w:name w:val="Technical 1"/>
    <w:qFormat/>
    <w:uiPriority w:val="0"/>
    <w:rPr>
      <w:rFonts w:ascii="Times New Roman" w:hAnsi="Times New Roman"/>
      <w:sz w:val="20"/>
      <w:lang w:val="en-US"/>
    </w:rPr>
  </w:style>
  <w:style w:type="character" w:customStyle="1" w:styleId="98">
    <w:name w:val="Technical 2"/>
    <w:qFormat/>
    <w:uiPriority w:val="0"/>
    <w:rPr>
      <w:rFonts w:ascii="Times New Roman" w:hAnsi="Times New Roman"/>
      <w:sz w:val="20"/>
      <w:lang w:val="en-US"/>
    </w:rPr>
  </w:style>
  <w:style w:type="character" w:customStyle="1" w:styleId="99">
    <w:name w:val="Technical 3"/>
    <w:qFormat/>
    <w:uiPriority w:val="0"/>
    <w:rPr>
      <w:rFonts w:ascii="Times New Roman" w:hAnsi="Times New Roman"/>
      <w:sz w:val="20"/>
      <w:lang w:val="en-US"/>
    </w:rPr>
  </w:style>
  <w:style w:type="paragraph" w:customStyle="1" w:styleId="100">
    <w:name w:val="Technical 5"/>
    <w:qFormat/>
    <w:uiPriority w:val="0"/>
    <w:pPr>
      <w:tabs>
        <w:tab w:val="left" w:pos="-720"/>
      </w:tabs>
      <w:suppressAutoHyphens/>
      <w:overflowPunct w:val="0"/>
      <w:autoSpaceDE w:val="0"/>
      <w:autoSpaceDN w:val="0"/>
      <w:adjustRightInd w:val="0"/>
      <w:ind w:firstLine="720"/>
      <w:textAlignment w:val="baseline"/>
    </w:pPr>
    <w:rPr>
      <w:rFonts w:ascii="Times New Roman" w:hAnsi="Times New Roman" w:eastAsia="Times New Roman" w:cs="Times New Roman"/>
      <w:b/>
      <w:lang w:val="en-US" w:eastAsia="en-US" w:bidi="ar-SA"/>
    </w:rPr>
  </w:style>
  <w:style w:type="paragraph" w:customStyle="1" w:styleId="101">
    <w:name w:val="Technical 6"/>
    <w:qFormat/>
    <w:uiPriority w:val="0"/>
    <w:pPr>
      <w:tabs>
        <w:tab w:val="left" w:pos="-720"/>
      </w:tabs>
      <w:suppressAutoHyphens/>
      <w:overflowPunct w:val="0"/>
      <w:autoSpaceDE w:val="0"/>
      <w:autoSpaceDN w:val="0"/>
      <w:adjustRightInd w:val="0"/>
      <w:ind w:firstLine="720"/>
      <w:textAlignment w:val="baseline"/>
    </w:pPr>
    <w:rPr>
      <w:rFonts w:ascii="Times New Roman" w:hAnsi="Times New Roman" w:eastAsia="Times New Roman" w:cs="Times New Roman"/>
      <w:b/>
      <w:lang w:val="en-US" w:eastAsia="en-US" w:bidi="ar-SA"/>
    </w:rPr>
  </w:style>
  <w:style w:type="paragraph" w:customStyle="1" w:styleId="102">
    <w:name w:val="Technical 7"/>
    <w:qFormat/>
    <w:uiPriority w:val="0"/>
    <w:pPr>
      <w:tabs>
        <w:tab w:val="left" w:pos="-720"/>
      </w:tabs>
      <w:suppressAutoHyphens/>
      <w:overflowPunct w:val="0"/>
      <w:autoSpaceDE w:val="0"/>
      <w:autoSpaceDN w:val="0"/>
      <w:adjustRightInd w:val="0"/>
      <w:ind w:firstLine="720"/>
      <w:textAlignment w:val="baseline"/>
    </w:pPr>
    <w:rPr>
      <w:rFonts w:ascii="Times New Roman" w:hAnsi="Times New Roman" w:eastAsia="Times New Roman" w:cs="Times New Roman"/>
      <w:b/>
      <w:lang w:val="en-US" w:eastAsia="en-US" w:bidi="ar-SA"/>
    </w:rPr>
  </w:style>
  <w:style w:type="paragraph" w:customStyle="1" w:styleId="103">
    <w:name w:val="Technical 8"/>
    <w:qFormat/>
    <w:uiPriority w:val="0"/>
    <w:pPr>
      <w:tabs>
        <w:tab w:val="left" w:pos="-720"/>
      </w:tabs>
      <w:suppressAutoHyphens/>
      <w:overflowPunct w:val="0"/>
      <w:autoSpaceDE w:val="0"/>
      <w:autoSpaceDN w:val="0"/>
      <w:adjustRightInd w:val="0"/>
      <w:ind w:firstLine="720"/>
      <w:textAlignment w:val="baseline"/>
    </w:pPr>
    <w:rPr>
      <w:rFonts w:ascii="Times New Roman" w:hAnsi="Times New Roman" w:eastAsia="Times New Roman" w:cs="Times New Roman"/>
      <w:b/>
      <w:lang w:val="en-US" w:eastAsia="en-US" w:bidi="ar-SA"/>
    </w:rPr>
  </w:style>
  <w:style w:type="character" w:customStyle="1" w:styleId="104">
    <w:name w:val="Doc Init"/>
    <w:basedOn w:val="11"/>
    <w:qFormat/>
    <w:uiPriority w:val="0"/>
  </w:style>
  <w:style w:type="paragraph" w:customStyle="1" w:styleId="105">
    <w:name w:val="Document 1"/>
    <w:qFormat/>
    <w:uiPriority w:val="0"/>
    <w:pPr>
      <w:keepNext/>
      <w:keepLines/>
      <w:tabs>
        <w:tab w:val="left" w:pos="-720"/>
      </w:tabs>
      <w:suppressAutoHyphens/>
      <w:overflowPunct w:val="0"/>
      <w:autoSpaceDE w:val="0"/>
      <w:autoSpaceDN w:val="0"/>
      <w:adjustRightInd w:val="0"/>
      <w:textAlignment w:val="baseline"/>
    </w:pPr>
    <w:rPr>
      <w:rFonts w:ascii="Times New Roman" w:hAnsi="Times New Roman" w:eastAsia="Times New Roman" w:cs="Times New Roman"/>
      <w:lang w:val="en-US" w:eastAsia="en-US" w:bidi="ar-SA"/>
    </w:rPr>
  </w:style>
  <w:style w:type="character" w:customStyle="1" w:styleId="106">
    <w:name w:val="Document 2"/>
    <w:qFormat/>
    <w:uiPriority w:val="0"/>
    <w:rPr>
      <w:rFonts w:ascii="Times New Roman" w:hAnsi="Times New Roman"/>
      <w:sz w:val="20"/>
      <w:lang w:val="en-US"/>
    </w:rPr>
  </w:style>
  <w:style w:type="character" w:customStyle="1" w:styleId="107">
    <w:name w:val="Document 3"/>
    <w:qFormat/>
    <w:uiPriority w:val="0"/>
    <w:rPr>
      <w:rFonts w:ascii="Times New Roman" w:hAnsi="Times New Roman"/>
      <w:sz w:val="20"/>
      <w:lang w:val="en-US"/>
    </w:rPr>
  </w:style>
  <w:style w:type="character" w:customStyle="1" w:styleId="108">
    <w:name w:val="Document 4"/>
    <w:qFormat/>
    <w:uiPriority w:val="0"/>
    <w:rPr>
      <w:b/>
      <w:i/>
      <w:sz w:val="20"/>
    </w:rPr>
  </w:style>
  <w:style w:type="character" w:customStyle="1" w:styleId="109">
    <w:name w:val="Document 5"/>
    <w:basedOn w:val="11"/>
    <w:qFormat/>
    <w:uiPriority w:val="0"/>
  </w:style>
  <w:style w:type="character" w:customStyle="1" w:styleId="110">
    <w:name w:val="Document 6"/>
    <w:basedOn w:val="11"/>
    <w:qFormat/>
    <w:uiPriority w:val="0"/>
  </w:style>
  <w:style w:type="character" w:customStyle="1" w:styleId="111">
    <w:name w:val="Document 7"/>
    <w:basedOn w:val="11"/>
    <w:qFormat/>
    <w:uiPriority w:val="0"/>
  </w:style>
  <w:style w:type="character" w:customStyle="1" w:styleId="112">
    <w:name w:val="Document 8"/>
    <w:basedOn w:val="11"/>
    <w:qFormat/>
    <w:uiPriority w:val="0"/>
  </w:style>
  <w:style w:type="paragraph" w:customStyle="1" w:styleId="113">
    <w:name w:val="Pleading"/>
    <w:qFormat/>
    <w:uiPriority w:val="0"/>
    <w:pPr>
      <w:tabs>
        <w:tab w:val="left" w:pos="-720"/>
      </w:tabs>
      <w:suppressAutoHyphens/>
      <w:overflowPunct w:val="0"/>
      <w:autoSpaceDE w:val="0"/>
      <w:autoSpaceDN w:val="0"/>
      <w:adjustRightInd w:val="0"/>
      <w:spacing w:line="240" w:lineRule="exact"/>
      <w:textAlignment w:val="baseline"/>
    </w:pPr>
    <w:rPr>
      <w:rFonts w:ascii="Times New Roman" w:hAnsi="Times New Roman" w:eastAsia="Times New Roman" w:cs="Times New Roman"/>
      <w:lang w:val="en-US" w:eastAsia="en-US" w:bidi="ar-SA"/>
    </w:rPr>
  </w:style>
  <w:style w:type="character" w:customStyle="1" w:styleId="114">
    <w:name w:val="A Head"/>
    <w:qFormat/>
    <w:uiPriority w:val="0"/>
    <w:rPr>
      <w:rFonts w:ascii="Times New Roman" w:hAnsi="Times New Roman"/>
      <w:sz w:val="20"/>
      <w:lang w:val="en-US"/>
    </w:rPr>
  </w:style>
  <w:style w:type="paragraph" w:customStyle="1" w:styleId="115">
    <w:name w:val="B Head"/>
    <w:qFormat/>
    <w:uiPriority w:val="0"/>
    <w:pPr>
      <w:tabs>
        <w:tab w:val="left" w:pos="-720"/>
      </w:tabs>
      <w:suppressAutoHyphens/>
      <w:overflowPunct w:val="0"/>
      <w:autoSpaceDE w:val="0"/>
      <w:autoSpaceDN w:val="0"/>
      <w:adjustRightInd w:val="0"/>
      <w:textAlignment w:val="baseline"/>
    </w:pPr>
    <w:rPr>
      <w:rFonts w:ascii="Times New Roman" w:hAnsi="Times New Roman" w:eastAsia="Times New Roman" w:cs="Times New Roman"/>
      <w:lang w:val="en-US" w:eastAsia="en-US" w:bidi="ar-SA"/>
    </w:rPr>
  </w:style>
  <w:style w:type="paragraph" w:customStyle="1" w:styleId="116">
    <w:name w:val="C Head"/>
    <w:qFormat/>
    <w:uiPriority w:val="0"/>
    <w:pPr>
      <w:tabs>
        <w:tab w:val="left" w:pos="-720"/>
      </w:tabs>
      <w:suppressAutoHyphens/>
      <w:overflowPunct w:val="0"/>
      <w:autoSpaceDE w:val="0"/>
      <w:autoSpaceDN w:val="0"/>
      <w:adjustRightInd w:val="0"/>
      <w:textAlignment w:val="baseline"/>
    </w:pPr>
    <w:rPr>
      <w:rFonts w:ascii="Times New Roman" w:hAnsi="Times New Roman" w:eastAsia="Times New Roman" w:cs="Times New Roman"/>
      <w:lang w:val="en-US" w:eastAsia="en-US" w:bidi="ar-SA"/>
    </w:rPr>
  </w:style>
  <w:style w:type="paragraph" w:customStyle="1" w:styleId="117">
    <w:name w:val="Sec No. &amp; He"/>
    <w:qFormat/>
    <w:uiPriority w:val="0"/>
    <w:pPr>
      <w:tabs>
        <w:tab w:val="left" w:pos="-720"/>
      </w:tabs>
      <w:suppressAutoHyphens/>
      <w:overflowPunct w:val="0"/>
      <w:autoSpaceDE w:val="0"/>
      <w:autoSpaceDN w:val="0"/>
      <w:adjustRightInd w:val="0"/>
      <w:textAlignment w:val="baseline"/>
    </w:pPr>
    <w:rPr>
      <w:rFonts w:ascii="Times New Roman" w:hAnsi="Times New Roman" w:eastAsia="Times New Roman" w:cs="Times New Roman"/>
      <w:lang w:val="en-US" w:eastAsia="en-US" w:bidi="ar-SA"/>
    </w:rPr>
  </w:style>
  <w:style w:type="character" w:customStyle="1" w:styleId="118">
    <w:name w:val="Default Para"/>
    <w:qFormat/>
    <w:uiPriority w:val="0"/>
    <w:rPr>
      <w:rFonts w:ascii="CG Times" w:hAnsi="CG Times"/>
      <w:b/>
      <w:i/>
      <w:sz w:val="24"/>
      <w:lang w:val="en-US"/>
    </w:rPr>
  </w:style>
  <w:style w:type="paragraph" w:customStyle="1" w:styleId="119">
    <w:name w:val="Right Par[1]"/>
    <w:qFormat/>
    <w:uiPriority w:val="0"/>
    <w:pPr>
      <w:tabs>
        <w:tab w:val="left" w:pos="-720"/>
        <w:tab w:val="left" w:pos="0"/>
        <w:tab w:val="decimal" w:pos="720"/>
      </w:tabs>
      <w:suppressAutoHyphens/>
      <w:overflowPunct w:val="0"/>
      <w:autoSpaceDE w:val="0"/>
      <w:autoSpaceDN w:val="0"/>
      <w:adjustRightInd w:val="0"/>
      <w:ind w:firstLine="720"/>
      <w:textAlignment w:val="baseline"/>
    </w:pPr>
    <w:rPr>
      <w:rFonts w:ascii="CG Times" w:hAnsi="CG Times" w:eastAsia="Times New Roman" w:cs="Times New Roman"/>
      <w:b/>
      <w:i/>
      <w:sz w:val="24"/>
      <w:lang w:val="en-US" w:eastAsia="en-US" w:bidi="ar-SA"/>
    </w:rPr>
  </w:style>
  <w:style w:type="paragraph" w:customStyle="1" w:styleId="120">
    <w:name w:val="Right Par[2]"/>
    <w:qFormat/>
    <w:uiPriority w:val="0"/>
    <w:pPr>
      <w:tabs>
        <w:tab w:val="left" w:pos="-720"/>
        <w:tab w:val="left" w:pos="0"/>
        <w:tab w:val="left" w:pos="720"/>
        <w:tab w:val="decimal" w:pos="1440"/>
      </w:tabs>
      <w:suppressAutoHyphens/>
      <w:overflowPunct w:val="0"/>
      <w:autoSpaceDE w:val="0"/>
      <w:autoSpaceDN w:val="0"/>
      <w:adjustRightInd w:val="0"/>
      <w:ind w:firstLine="1440"/>
      <w:textAlignment w:val="baseline"/>
    </w:pPr>
    <w:rPr>
      <w:rFonts w:ascii="CG Times" w:hAnsi="CG Times" w:eastAsia="Times New Roman" w:cs="Times New Roman"/>
      <w:b/>
      <w:i/>
      <w:sz w:val="24"/>
      <w:lang w:val="en-US" w:eastAsia="en-US" w:bidi="ar-SA"/>
    </w:rPr>
  </w:style>
  <w:style w:type="paragraph" w:customStyle="1" w:styleId="121">
    <w:name w:val="Right Par[3]"/>
    <w:qFormat/>
    <w:uiPriority w:val="0"/>
    <w:pPr>
      <w:tabs>
        <w:tab w:val="left" w:pos="-720"/>
        <w:tab w:val="left" w:pos="0"/>
        <w:tab w:val="left" w:pos="720"/>
        <w:tab w:val="left" w:pos="1440"/>
        <w:tab w:val="decimal" w:pos="2160"/>
      </w:tabs>
      <w:suppressAutoHyphens/>
      <w:overflowPunct w:val="0"/>
      <w:autoSpaceDE w:val="0"/>
      <w:autoSpaceDN w:val="0"/>
      <w:adjustRightInd w:val="0"/>
      <w:ind w:firstLine="2160"/>
      <w:textAlignment w:val="baseline"/>
    </w:pPr>
    <w:rPr>
      <w:rFonts w:ascii="CG Times" w:hAnsi="CG Times" w:eastAsia="Times New Roman" w:cs="Times New Roman"/>
      <w:b/>
      <w:i/>
      <w:sz w:val="24"/>
      <w:lang w:val="en-US" w:eastAsia="en-US" w:bidi="ar-SA"/>
    </w:rPr>
  </w:style>
  <w:style w:type="paragraph" w:customStyle="1" w:styleId="122">
    <w:name w:val="Right Par[4]"/>
    <w:qFormat/>
    <w:uiPriority w:val="0"/>
    <w:pPr>
      <w:tabs>
        <w:tab w:val="left" w:pos="-720"/>
        <w:tab w:val="left" w:pos="0"/>
        <w:tab w:val="left" w:pos="720"/>
        <w:tab w:val="left" w:pos="1440"/>
        <w:tab w:val="left" w:pos="2160"/>
        <w:tab w:val="decimal" w:pos="2880"/>
      </w:tabs>
      <w:suppressAutoHyphens/>
      <w:overflowPunct w:val="0"/>
      <w:autoSpaceDE w:val="0"/>
      <w:autoSpaceDN w:val="0"/>
      <w:adjustRightInd w:val="0"/>
      <w:ind w:firstLine="2880"/>
      <w:textAlignment w:val="baseline"/>
    </w:pPr>
    <w:rPr>
      <w:rFonts w:ascii="CG Times" w:hAnsi="CG Times" w:eastAsia="Times New Roman" w:cs="Times New Roman"/>
      <w:b/>
      <w:i/>
      <w:sz w:val="24"/>
      <w:lang w:val="en-US" w:eastAsia="en-US" w:bidi="ar-SA"/>
    </w:rPr>
  </w:style>
  <w:style w:type="paragraph" w:customStyle="1" w:styleId="123">
    <w:name w:val="Right Par[5]"/>
    <w:qFormat/>
    <w:uiPriority w:val="0"/>
    <w:pPr>
      <w:tabs>
        <w:tab w:val="left" w:pos="-720"/>
        <w:tab w:val="left" w:pos="0"/>
        <w:tab w:val="left" w:pos="720"/>
        <w:tab w:val="left" w:pos="1440"/>
        <w:tab w:val="left" w:pos="2160"/>
        <w:tab w:val="left" w:pos="2880"/>
        <w:tab w:val="decimal" w:pos="3600"/>
      </w:tabs>
      <w:suppressAutoHyphens/>
      <w:overflowPunct w:val="0"/>
      <w:autoSpaceDE w:val="0"/>
      <w:autoSpaceDN w:val="0"/>
      <w:adjustRightInd w:val="0"/>
      <w:ind w:firstLine="3600"/>
      <w:textAlignment w:val="baseline"/>
    </w:pPr>
    <w:rPr>
      <w:rFonts w:ascii="CG Times" w:hAnsi="CG Times" w:eastAsia="Times New Roman" w:cs="Times New Roman"/>
      <w:b/>
      <w:i/>
      <w:sz w:val="24"/>
      <w:lang w:val="en-US" w:eastAsia="en-US" w:bidi="ar-SA"/>
    </w:rPr>
  </w:style>
  <w:style w:type="paragraph" w:customStyle="1" w:styleId="124">
    <w:name w:val="Right Par[6]"/>
    <w:qFormat/>
    <w:uiPriority w:val="0"/>
    <w:pPr>
      <w:tabs>
        <w:tab w:val="left" w:pos="-720"/>
        <w:tab w:val="left" w:pos="0"/>
        <w:tab w:val="left" w:pos="720"/>
        <w:tab w:val="left" w:pos="1440"/>
        <w:tab w:val="left" w:pos="2160"/>
        <w:tab w:val="left" w:pos="2880"/>
        <w:tab w:val="left" w:pos="3600"/>
        <w:tab w:val="decimal" w:pos="4320"/>
      </w:tabs>
      <w:suppressAutoHyphens/>
      <w:overflowPunct w:val="0"/>
      <w:autoSpaceDE w:val="0"/>
      <w:autoSpaceDN w:val="0"/>
      <w:adjustRightInd w:val="0"/>
      <w:ind w:firstLine="4320"/>
      <w:textAlignment w:val="baseline"/>
    </w:pPr>
    <w:rPr>
      <w:rFonts w:ascii="CG Times" w:hAnsi="CG Times" w:eastAsia="Times New Roman" w:cs="Times New Roman"/>
      <w:b/>
      <w:i/>
      <w:sz w:val="24"/>
      <w:lang w:val="en-US" w:eastAsia="en-US" w:bidi="ar-SA"/>
    </w:rPr>
  </w:style>
  <w:style w:type="paragraph" w:customStyle="1" w:styleId="125">
    <w:name w:val="Right Par[7]"/>
    <w:qFormat/>
    <w:uiPriority w:val="0"/>
    <w:pPr>
      <w:tabs>
        <w:tab w:val="left" w:pos="-720"/>
        <w:tab w:val="left" w:pos="0"/>
        <w:tab w:val="left" w:pos="720"/>
        <w:tab w:val="left" w:pos="1440"/>
        <w:tab w:val="left" w:pos="2160"/>
        <w:tab w:val="left" w:pos="2880"/>
        <w:tab w:val="left" w:pos="3600"/>
        <w:tab w:val="left" w:pos="4320"/>
        <w:tab w:val="decimal" w:pos="5040"/>
      </w:tabs>
      <w:suppressAutoHyphens/>
      <w:overflowPunct w:val="0"/>
      <w:autoSpaceDE w:val="0"/>
      <w:autoSpaceDN w:val="0"/>
      <w:adjustRightInd w:val="0"/>
      <w:ind w:firstLine="5040"/>
      <w:textAlignment w:val="baseline"/>
    </w:pPr>
    <w:rPr>
      <w:rFonts w:ascii="CG Times" w:hAnsi="CG Times" w:eastAsia="Times New Roman" w:cs="Times New Roman"/>
      <w:b/>
      <w:i/>
      <w:sz w:val="24"/>
      <w:lang w:val="en-US" w:eastAsia="en-US" w:bidi="ar-SA"/>
    </w:rPr>
  </w:style>
  <w:style w:type="paragraph" w:customStyle="1" w:styleId="126">
    <w:name w:val="Right Par[8]"/>
    <w:qFormat/>
    <w:uiPriority w:val="0"/>
    <w:pPr>
      <w:tabs>
        <w:tab w:val="left" w:pos="-720"/>
        <w:tab w:val="left" w:pos="0"/>
        <w:tab w:val="left" w:pos="720"/>
        <w:tab w:val="left" w:pos="1440"/>
        <w:tab w:val="left" w:pos="2160"/>
        <w:tab w:val="left" w:pos="2880"/>
        <w:tab w:val="left" w:pos="3600"/>
        <w:tab w:val="left" w:pos="4320"/>
        <w:tab w:val="left" w:pos="5040"/>
        <w:tab w:val="decimal" w:pos="5760"/>
      </w:tabs>
      <w:suppressAutoHyphens/>
      <w:overflowPunct w:val="0"/>
      <w:autoSpaceDE w:val="0"/>
      <w:autoSpaceDN w:val="0"/>
      <w:adjustRightInd w:val="0"/>
      <w:ind w:firstLine="5760"/>
      <w:textAlignment w:val="baseline"/>
    </w:pPr>
    <w:rPr>
      <w:rFonts w:ascii="CG Times" w:hAnsi="CG Times" w:eastAsia="Times New Roman" w:cs="Times New Roman"/>
      <w:b/>
      <w:i/>
      <w:sz w:val="24"/>
      <w:lang w:val="en-US" w:eastAsia="en-US" w:bidi="ar-SA"/>
    </w:rPr>
  </w:style>
  <w:style w:type="character" w:customStyle="1" w:styleId="127">
    <w:name w:val="Bibliogrphy"/>
    <w:basedOn w:val="11"/>
    <w:qFormat/>
    <w:uiPriority w:val="0"/>
  </w:style>
  <w:style w:type="character" w:customStyle="1" w:styleId="128">
    <w:name w:val="Bullet List"/>
    <w:basedOn w:val="11"/>
    <w:qFormat/>
    <w:uiPriority w:val="0"/>
  </w:style>
  <w:style w:type="paragraph" w:customStyle="1" w:styleId="129">
    <w:name w:val="Head 2.1"/>
    <w:basedOn w:val="1"/>
    <w:qFormat/>
    <w:uiPriority w:val="0"/>
    <w:pPr>
      <w:suppressAutoHyphens/>
      <w:overflowPunct w:val="0"/>
      <w:autoSpaceDE w:val="0"/>
      <w:autoSpaceDN w:val="0"/>
      <w:adjustRightInd w:val="0"/>
      <w:jc w:val="center"/>
      <w:textAlignment w:val="baseline"/>
    </w:pPr>
    <w:rPr>
      <w:b/>
      <w:sz w:val="28"/>
      <w:szCs w:val="20"/>
    </w:rPr>
  </w:style>
  <w:style w:type="paragraph" w:customStyle="1" w:styleId="130">
    <w:name w:val="Head 2.2"/>
    <w:basedOn w:val="1"/>
    <w:qFormat/>
    <w:uiPriority w:val="0"/>
    <w:pPr>
      <w:tabs>
        <w:tab w:val="left" w:pos="360"/>
      </w:tabs>
      <w:suppressAutoHyphens/>
      <w:overflowPunct w:val="0"/>
      <w:autoSpaceDE w:val="0"/>
      <w:autoSpaceDN w:val="0"/>
      <w:adjustRightInd w:val="0"/>
      <w:ind w:left="360" w:hanging="360"/>
      <w:textAlignment w:val="baseline"/>
    </w:pPr>
    <w:rPr>
      <w:b/>
      <w:szCs w:val="20"/>
    </w:rPr>
  </w:style>
  <w:style w:type="paragraph" w:customStyle="1" w:styleId="131">
    <w:name w:val="Head 4.1"/>
    <w:basedOn w:val="1"/>
    <w:qFormat/>
    <w:uiPriority w:val="0"/>
    <w:pPr>
      <w:suppressAutoHyphens/>
      <w:overflowPunct w:val="0"/>
      <w:autoSpaceDE w:val="0"/>
      <w:autoSpaceDN w:val="0"/>
      <w:adjustRightInd w:val="0"/>
      <w:spacing w:before="120" w:after="200"/>
      <w:jc w:val="center"/>
      <w:textAlignment w:val="baseline"/>
    </w:pPr>
    <w:rPr>
      <w:b/>
      <w:sz w:val="28"/>
      <w:szCs w:val="20"/>
    </w:rPr>
  </w:style>
  <w:style w:type="paragraph" w:customStyle="1" w:styleId="132">
    <w:name w:val="Head 4.2"/>
    <w:basedOn w:val="1"/>
    <w:qFormat/>
    <w:uiPriority w:val="0"/>
    <w:pPr>
      <w:tabs>
        <w:tab w:val="left" w:pos="360"/>
      </w:tabs>
      <w:suppressAutoHyphens/>
      <w:overflowPunct w:val="0"/>
      <w:autoSpaceDE w:val="0"/>
      <w:autoSpaceDN w:val="0"/>
      <w:adjustRightInd w:val="0"/>
      <w:ind w:left="360" w:hanging="360"/>
      <w:textAlignment w:val="baseline"/>
    </w:pPr>
    <w:rPr>
      <w:b/>
      <w:szCs w:val="20"/>
    </w:rPr>
  </w:style>
  <w:style w:type="paragraph" w:customStyle="1" w:styleId="133">
    <w:name w:val="Sub-Clause Text"/>
    <w:basedOn w:val="1"/>
    <w:qFormat/>
    <w:uiPriority w:val="0"/>
    <w:pPr>
      <w:overflowPunct w:val="0"/>
      <w:autoSpaceDE w:val="0"/>
      <w:autoSpaceDN w:val="0"/>
      <w:adjustRightInd w:val="0"/>
      <w:spacing w:before="120" w:after="120"/>
      <w:jc w:val="both"/>
      <w:textAlignment w:val="baseline"/>
    </w:pPr>
    <w:rPr>
      <w:spacing w:val="-4"/>
      <w:szCs w:val="20"/>
    </w:rPr>
  </w:style>
  <w:style w:type="paragraph" w:customStyle="1" w:styleId="134">
    <w:name w:val="Outline1"/>
    <w:basedOn w:val="87"/>
    <w:next w:val="89"/>
    <w:qFormat/>
    <w:uiPriority w:val="0"/>
    <w:pPr>
      <w:keepNext/>
      <w:tabs>
        <w:tab w:val="left" w:pos="360"/>
      </w:tabs>
      <w:overflowPunct w:val="0"/>
      <w:autoSpaceDE w:val="0"/>
      <w:autoSpaceDN w:val="0"/>
      <w:adjustRightInd w:val="0"/>
      <w:ind w:left="360" w:hanging="360"/>
      <w:textAlignment w:val="baseline"/>
    </w:pPr>
    <w:rPr>
      <w:rFonts w:ascii="Times New Roman" w:hAnsi="Times New Roman"/>
      <w:sz w:val="24"/>
    </w:rPr>
  </w:style>
  <w:style w:type="paragraph" w:customStyle="1" w:styleId="135">
    <w:name w:val="text 3"/>
    <w:basedOn w:val="1"/>
    <w:qFormat/>
    <w:uiPriority w:val="0"/>
    <w:pPr>
      <w:spacing w:before="240" w:after="240"/>
      <w:ind w:left="1418"/>
    </w:pPr>
  </w:style>
  <w:style w:type="paragraph" w:customStyle="1" w:styleId="136">
    <w:name w:val="e4"/>
    <w:basedOn w:val="1"/>
    <w:next w:val="1"/>
    <w:qFormat/>
    <w:uiPriority w:val="0"/>
    <w:pPr>
      <w:keepLines/>
      <w:pBdr>
        <w:bottom w:val="single" w:color="auto" w:sz="6" w:space="0"/>
        <w:between w:val="single" w:color="auto" w:sz="6" w:space="0"/>
      </w:pBdr>
      <w:overflowPunct w:val="0"/>
      <w:autoSpaceDE w:val="0"/>
      <w:autoSpaceDN w:val="0"/>
      <w:adjustRightInd w:val="0"/>
      <w:spacing w:after="260" w:line="260" w:lineRule="atLeast"/>
      <w:textAlignment w:val="baseline"/>
    </w:pPr>
    <w:rPr>
      <w:szCs w:val="20"/>
    </w:rPr>
  </w:style>
  <w:style w:type="character" w:customStyle="1" w:styleId="137">
    <w:name w:val="Header 2 - SubClauses Char Char"/>
    <w:qFormat/>
    <w:uiPriority w:val="0"/>
    <w:rPr>
      <w:rFonts w:cs="Arial"/>
      <w:sz w:val="24"/>
      <w:szCs w:val="24"/>
      <w:lang w:val="en-US" w:eastAsia="en-US" w:bidi="ar-SA"/>
    </w:rPr>
  </w:style>
  <w:style w:type="paragraph" w:customStyle="1" w:styleId="138">
    <w:name w:val="Section X Header 3"/>
    <w:basedOn w:val="2"/>
    <w:autoRedefine/>
    <w:qFormat/>
    <w:uiPriority w:val="0"/>
    <w:pPr>
      <w:keepNext w:val="0"/>
      <w:tabs>
        <w:tab w:val="clear" w:pos="1422"/>
      </w:tabs>
      <w:ind w:left="0"/>
      <w:jc w:val="both"/>
    </w:pPr>
    <w:rPr>
      <w:rFonts w:ascii="Times New Roman" w:hAnsi="Times New Roman" w:cs="Times New Roman"/>
      <w:b w:val="0"/>
      <w:bCs/>
      <w:sz w:val="24"/>
    </w:rPr>
  </w:style>
  <w:style w:type="paragraph" w:customStyle="1" w:styleId="139">
    <w:name w:val="Part 1"/>
    <w:basedOn w:val="1"/>
    <w:autoRedefine/>
    <w:qFormat/>
    <w:uiPriority w:val="0"/>
    <w:pPr>
      <w:spacing w:before="3120" w:after="240"/>
      <w:jc w:val="center"/>
    </w:pPr>
    <w:rPr>
      <w:b/>
      <w:sz w:val="48"/>
      <w:szCs w:val="20"/>
    </w:rPr>
  </w:style>
  <w:style w:type="paragraph" w:customStyle="1" w:styleId="140">
    <w:name w:val="plane"/>
    <w:basedOn w:val="1"/>
    <w:uiPriority w:val="0"/>
    <w:pPr>
      <w:suppressAutoHyphens/>
      <w:jc w:val="both"/>
    </w:pPr>
    <w:rPr>
      <w:rFonts w:ascii="Tms Rmn" w:hAnsi="Tms Rmn"/>
      <w:szCs w:val="20"/>
    </w:rPr>
  </w:style>
  <w:style w:type="paragraph" w:customStyle="1" w:styleId="141">
    <w:name w:val="S8 Header 1"/>
    <w:basedOn w:val="1"/>
    <w:next w:val="1"/>
    <w:qFormat/>
    <w:uiPriority w:val="0"/>
    <w:pPr>
      <w:spacing w:before="120" w:after="200"/>
      <w:jc w:val="both"/>
    </w:pPr>
    <w:rPr>
      <w:b/>
      <w:szCs w:val="20"/>
    </w:rPr>
  </w:style>
  <w:style w:type="paragraph" w:customStyle="1" w:styleId="142">
    <w:name w:val="S1-Header1"/>
    <w:basedOn w:val="1"/>
    <w:uiPriority w:val="0"/>
    <w:pPr>
      <w:numPr>
        <w:ilvl w:val="0"/>
        <w:numId w:val="17"/>
      </w:numPr>
      <w:spacing w:before="240" w:after="240"/>
      <w:jc w:val="center"/>
    </w:pPr>
    <w:rPr>
      <w:b/>
      <w:sz w:val="28"/>
    </w:rPr>
  </w:style>
  <w:style w:type="paragraph" w:customStyle="1" w:styleId="143">
    <w:name w:val="S1-Header2"/>
    <w:basedOn w:val="1"/>
    <w:uiPriority w:val="0"/>
    <w:pPr>
      <w:numPr>
        <w:ilvl w:val="0"/>
        <w:numId w:val="1"/>
      </w:numPr>
      <w:spacing w:after="200"/>
    </w:pPr>
    <w:rPr>
      <w:b/>
    </w:rPr>
  </w:style>
  <w:style w:type="paragraph" w:customStyle="1" w:styleId="144">
    <w:name w:val="Style Header 2 - SubClauses + Italic"/>
    <w:basedOn w:val="69"/>
    <w:uiPriority w:val="0"/>
    <w:rPr>
      <w:i/>
      <w:iCs/>
    </w:rPr>
  </w:style>
  <w:style w:type="character" w:customStyle="1" w:styleId="145">
    <w:name w:val="Style Header 2 - SubClauses + Italic Char"/>
    <w:qFormat/>
    <w:uiPriority w:val="0"/>
    <w:rPr>
      <w:rFonts w:cs="Arial"/>
      <w:i/>
      <w:iCs/>
      <w:sz w:val="24"/>
      <w:szCs w:val="24"/>
      <w:lang w:val="en-US" w:eastAsia="en-US" w:bidi="ar-SA"/>
    </w:rPr>
  </w:style>
  <w:style w:type="paragraph" w:customStyle="1" w:styleId="146">
    <w:name w:val="Style Header 2 - SubClauses + After:  6 pt"/>
    <w:basedOn w:val="69"/>
    <w:uiPriority w:val="0"/>
    <w:rPr>
      <w:rFonts w:cs="Times New Roman"/>
    </w:rPr>
  </w:style>
  <w:style w:type="paragraph" w:customStyle="1" w:styleId="147">
    <w:name w:val="Style Subtitle + Left:  0.13&quot; Right:  0.2&quot;"/>
    <w:basedOn w:val="54"/>
    <w:qFormat/>
    <w:uiPriority w:val="0"/>
    <w:pPr>
      <w:ind w:left="180" w:right="288"/>
    </w:pPr>
    <w:rPr>
      <w:bCs/>
    </w:rPr>
  </w:style>
  <w:style w:type="paragraph" w:customStyle="1" w:styleId="148">
    <w:name w:val="Style Arial 20 pt Bold Centered Before:  6 pt After:  12 pt"/>
    <w:basedOn w:val="1"/>
    <w:qFormat/>
    <w:uiPriority w:val="0"/>
    <w:pPr>
      <w:spacing w:before="120" w:after="240"/>
      <w:jc w:val="center"/>
    </w:pPr>
    <w:rPr>
      <w:b/>
      <w:bCs/>
      <w:sz w:val="36"/>
      <w:szCs w:val="20"/>
    </w:rPr>
  </w:style>
  <w:style w:type="paragraph" w:customStyle="1" w:styleId="149">
    <w:name w:val="S3-Header 1"/>
    <w:basedOn w:val="1"/>
    <w:uiPriority w:val="0"/>
    <w:pPr>
      <w:spacing w:before="120" w:after="200"/>
      <w:ind w:left="1080" w:hanging="720"/>
      <w:jc w:val="both"/>
    </w:pPr>
    <w:rPr>
      <w:b/>
      <w:bCs/>
      <w:sz w:val="28"/>
      <w:szCs w:val="20"/>
    </w:rPr>
  </w:style>
  <w:style w:type="paragraph" w:customStyle="1" w:styleId="150">
    <w:name w:val="S3-Heading 2"/>
    <w:basedOn w:val="1"/>
    <w:qFormat/>
    <w:uiPriority w:val="0"/>
    <w:pPr>
      <w:spacing w:after="200"/>
      <w:ind w:left="1080" w:right="288" w:hanging="720"/>
      <w:jc w:val="both"/>
    </w:pPr>
    <w:rPr>
      <w:b/>
      <w:bCs/>
    </w:rPr>
  </w:style>
  <w:style w:type="paragraph" w:customStyle="1" w:styleId="151">
    <w:name w:val="S4 Header"/>
    <w:basedOn w:val="1"/>
    <w:next w:val="1"/>
    <w:uiPriority w:val="0"/>
    <w:pPr>
      <w:spacing w:before="120" w:after="240"/>
      <w:jc w:val="center"/>
    </w:pPr>
    <w:rPr>
      <w:b/>
      <w:sz w:val="32"/>
      <w:szCs w:val="20"/>
    </w:rPr>
  </w:style>
  <w:style w:type="paragraph" w:customStyle="1" w:styleId="152">
    <w:name w:val="S4-header1"/>
    <w:basedOn w:val="1"/>
    <w:uiPriority w:val="0"/>
    <w:pPr>
      <w:spacing w:before="120" w:after="240"/>
      <w:jc w:val="center"/>
    </w:pPr>
    <w:rPr>
      <w:b/>
      <w:sz w:val="36"/>
      <w:szCs w:val="20"/>
    </w:rPr>
  </w:style>
  <w:style w:type="paragraph" w:customStyle="1" w:styleId="153">
    <w:name w:val="S4-Header 1"/>
    <w:basedOn w:val="1"/>
    <w:next w:val="1"/>
    <w:uiPriority w:val="0"/>
    <w:pPr>
      <w:spacing w:before="120" w:after="240"/>
      <w:jc w:val="center"/>
    </w:pPr>
    <w:rPr>
      <w:rFonts w:cs="Arial"/>
      <w:b/>
      <w:sz w:val="36"/>
    </w:rPr>
  </w:style>
  <w:style w:type="paragraph" w:customStyle="1" w:styleId="154">
    <w:name w:val="Style Section V. Header + Left:  0.25&quot; Right:  0.2&quot;"/>
    <w:basedOn w:val="80"/>
    <w:qFormat/>
    <w:uiPriority w:val="0"/>
    <w:pPr>
      <w:spacing w:before="120" w:after="240"/>
      <w:ind w:left="360" w:right="288"/>
    </w:pPr>
    <w:rPr>
      <w:rFonts w:ascii="Times New Roman" w:hAnsi="Times New Roman"/>
      <w:bCs/>
      <w:sz w:val="32"/>
    </w:rPr>
  </w:style>
  <w:style w:type="paragraph" w:customStyle="1" w:styleId="155">
    <w:name w:val="Style Style Header 1 - Clauses + After:  0 pt + Left:  0&quot; Hanging:..."/>
    <w:basedOn w:val="1"/>
    <w:qFormat/>
    <w:uiPriority w:val="0"/>
    <w:pPr>
      <w:tabs>
        <w:tab w:val="left" w:pos="576"/>
      </w:tabs>
      <w:spacing w:after="200"/>
      <w:ind w:left="576" w:hanging="576"/>
      <w:jc w:val="both"/>
    </w:pPr>
    <w:rPr>
      <w:szCs w:val="20"/>
    </w:rPr>
  </w:style>
  <w:style w:type="paragraph" w:customStyle="1" w:styleId="156">
    <w:name w:val="S4-Header 2"/>
    <w:basedOn w:val="1"/>
    <w:qFormat/>
    <w:uiPriority w:val="0"/>
    <w:pPr>
      <w:spacing w:before="120" w:after="240"/>
      <w:jc w:val="center"/>
    </w:pPr>
    <w:rPr>
      <w:b/>
      <w:sz w:val="32"/>
    </w:rPr>
  </w:style>
  <w:style w:type="paragraph" w:customStyle="1" w:styleId="157">
    <w:name w:val="S6-Header 1"/>
    <w:basedOn w:val="1"/>
    <w:next w:val="1"/>
    <w:qFormat/>
    <w:uiPriority w:val="0"/>
    <w:pPr>
      <w:spacing w:before="120" w:after="240"/>
      <w:jc w:val="center"/>
    </w:pPr>
    <w:rPr>
      <w:rFonts w:cs="Arial"/>
      <w:b/>
      <w:sz w:val="32"/>
    </w:rPr>
  </w:style>
  <w:style w:type="paragraph" w:customStyle="1" w:styleId="158">
    <w:name w:val="Part"/>
    <w:basedOn w:val="1"/>
    <w:qFormat/>
    <w:uiPriority w:val="0"/>
    <w:pPr>
      <w:keepNext/>
      <w:spacing w:before="2280"/>
      <w:jc w:val="center"/>
    </w:pPr>
    <w:rPr>
      <w:b/>
      <w:sz w:val="52"/>
    </w:rPr>
  </w:style>
  <w:style w:type="paragraph" w:customStyle="1" w:styleId="159">
    <w:name w:val="Style Head 4.1 + Before:  6 pt After:  6 pt"/>
    <w:basedOn w:val="131"/>
    <w:qFormat/>
    <w:uiPriority w:val="0"/>
    <w:rPr>
      <w:bCs/>
    </w:rPr>
  </w:style>
  <w:style w:type="paragraph" w:customStyle="1" w:styleId="160">
    <w:name w:val="S9 Header 1"/>
    <w:basedOn w:val="1"/>
    <w:next w:val="1"/>
    <w:qFormat/>
    <w:uiPriority w:val="0"/>
    <w:pPr>
      <w:spacing w:before="120" w:after="240"/>
      <w:jc w:val="center"/>
    </w:pPr>
    <w:rPr>
      <w:b/>
      <w:sz w:val="36"/>
    </w:rPr>
  </w:style>
  <w:style w:type="paragraph" w:customStyle="1" w:styleId="161">
    <w:name w:val="Style S1-Header1 + Times New Roman 14 pt"/>
    <w:basedOn w:val="142"/>
    <w:qFormat/>
    <w:uiPriority w:val="0"/>
    <w:pPr>
      <w:numPr>
        <w:numId w:val="0"/>
      </w:numPr>
    </w:pPr>
    <w:rPr>
      <w:bCs/>
    </w:rPr>
  </w:style>
  <w:style w:type="character" w:customStyle="1" w:styleId="162">
    <w:name w:val="Body Text 2 Char"/>
    <w:qFormat/>
    <w:uiPriority w:val="0"/>
    <w:rPr>
      <w:rFonts w:ascii="Arial" w:hAnsi="Arial"/>
      <w:b/>
      <w:sz w:val="24"/>
      <w:lang w:val="en-US" w:eastAsia="en-US" w:bidi="ar-SA"/>
    </w:rPr>
  </w:style>
  <w:style w:type="character" w:customStyle="1" w:styleId="163">
    <w:name w:val="S1-Header1 Char Char"/>
    <w:qFormat/>
    <w:uiPriority w:val="0"/>
    <w:rPr>
      <w:rFonts w:ascii="Arial" w:hAnsi="Arial"/>
      <w:b/>
      <w:sz w:val="28"/>
      <w:szCs w:val="24"/>
      <w:lang w:val="en-US" w:eastAsia="en-US" w:bidi="ar-SA"/>
    </w:rPr>
  </w:style>
  <w:style w:type="character" w:customStyle="1" w:styleId="164">
    <w:name w:val="Style S1-Header1 + Times New Roman 14 pt Char"/>
    <w:qFormat/>
    <w:uiPriority w:val="0"/>
    <w:rPr>
      <w:rFonts w:ascii="Arial" w:hAnsi="Arial"/>
      <w:b/>
      <w:bCs/>
      <w:sz w:val="28"/>
      <w:szCs w:val="24"/>
      <w:lang w:val="en-US" w:eastAsia="en-US" w:bidi="ar-SA"/>
    </w:rPr>
  </w:style>
  <w:style w:type="paragraph" w:customStyle="1" w:styleId="165">
    <w:name w:val="Style Style S1-Header1 + Times New Roman 14 pt +"/>
    <w:basedOn w:val="161"/>
    <w:qFormat/>
    <w:uiPriority w:val="0"/>
    <w:pPr>
      <w:numPr>
        <w:numId w:val="18"/>
      </w:numPr>
    </w:pPr>
  </w:style>
  <w:style w:type="character" w:customStyle="1" w:styleId="166">
    <w:name w:val="Style Style S1-Header1 + Times New Roman 14 pt + Char"/>
    <w:qFormat/>
    <w:uiPriority w:val="0"/>
    <w:rPr>
      <w:rFonts w:ascii="Arial" w:hAnsi="Arial"/>
      <w:b/>
      <w:bCs/>
      <w:sz w:val="28"/>
      <w:szCs w:val="24"/>
      <w:lang w:val="en-US" w:eastAsia="en-US" w:bidi="ar-SA"/>
    </w:rPr>
  </w:style>
  <w:style w:type="paragraph" w:customStyle="1" w:styleId="167">
    <w:name w:val="Style Style S1-Header1 + Times New Roman 14 pt +1"/>
    <w:basedOn w:val="161"/>
    <w:qFormat/>
    <w:uiPriority w:val="0"/>
    <w:pPr>
      <w:numPr>
        <w:numId w:val="19"/>
      </w:numPr>
    </w:pPr>
  </w:style>
  <w:style w:type="character" w:customStyle="1" w:styleId="168">
    <w:name w:val="Style Style S1-Header1 + Times New Roman 14 pt +1 Char"/>
    <w:qFormat/>
    <w:uiPriority w:val="0"/>
    <w:rPr>
      <w:rFonts w:ascii="Arial" w:hAnsi="Arial"/>
      <w:b/>
      <w:bCs/>
      <w:sz w:val="28"/>
      <w:szCs w:val="24"/>
      <w:lang w:val="en-US" w:eastAsia="en-US" w:bidi="ar-SA"/>
    </w:rPr>
  </w:style>
  <w:style w:type="paragraph" w:customStyle="1" w:styleId="169">
    <w:name w:val="Style Header 1 - Clauses + After:  0 pt"/>
    <w:basedOn w:val="1"/>
    <w:qFormat/>
    <w:uiPriority w:val="0"/>
    <w:pPr>
      <w:spacing w:after="200"/>
      <w:jc w:val="both"/>
    </w:pPr>
    <w:rPr>
      <w:bCs/>
      <w:szCs w:val="20"/>
    </w:rPr>
  </w:style>
  <w:style w:type="paragraph" w:customStyle="1" w:styleId="170">
    <w:name w:val="Style Header 2 - SubClauses + Bold"/>
    <w:basedOn w:val="1"/>
    <w:link w:val="171"/>
    <w:autoRedefine/>
    <w:qFormat/>
    <w:uiPriority w:val="0"/>
    <w:pPr>
      <w:tabs>
        <w:tab w:val="left" w:pos="576"/>
      </w:tabs>
      <w:spacing w:after="200"/>
      <w:ind w:left="612"/>
      <w:jc w:val="both"/>
    </w:pPr>
    <w:rPr>
      <w:b/>
      <w:bCs/>
      <w:szCs w:val="20"/>
    </w:rPr>
  </w:style>
  <w:style w:type="character" w:customStyle="1" w:styleId="171">
    <w:name w:val="Style Header 2 - SubClauses + Bold Char"/>
    <w:link w:val="170"/>
    <w:qFormat/>
    <w:uiPriority w:val="0"/>
    <w:rPr>
      <w:b/>
      <w:bCs/>
      <w:sz w:val="24"/>
      <w:lang w:eastAsia="en-US" w:bidi="ar-SA"/>
    </w:rPr>
  </w:style>
  <w:style w:type="character" w:customStyle="1" w:styleId="172">
    <w:name w:val="Comment Text Char"/>
    <w:link w:val="23"/>
    <w:qFormat/>
    <w:uiPriority w:val="99"/>
    <w:rPr>
      <w:rFonts w:ascii="Arial" w:hAnsi="Arial"/>
    </w:rPr>
  </w:style>
  <w:style w:type="character" w:customStyle="1" w:styleId="173">
    <w:name w:val="Footnote Text Char"/>
    <w:basedOn w:val="11"/>
    <w:link w:val="29"/>
    <w:qFormat/>
    <w:uiPriority w:val="99"/>
  </w:style>
  <w:style w:type="paragraph" w:customStyle="1" w:styleId="174">
    <w:name w:val="Style 11"/>
    <w:basedOn w:val="1"/>
    <w:qFormat/>
    <w:uiPriority w:val="0"/>
    <w:pPr>
      <w:widowControl w:val="0"/>
      <w:autoSpaceDE w:val="0"/>
      <w:autoSpaceDN w:val="0"/>
      <w:spacing w:line="384" w:lineRule="atLeast"/>
    </w:pPr>
  </w:style>
  <w:style w:type="paragraph" w:customStyle="1" w:styleId="175">
    <w:name w:val="Sec3 header"/>
    <w:basedOn w:val="174"/>
    <w:qFormat/>
    <w:uiPriority w:val="0"/>
    <w:pPr>
      <w:tabs>
        <w:tab w:val="left" w:leader="dot" w:pos="8424"/>
      </w:tabs>
      <w:spacing w:before="80" w:line="240" w:lineRule="auto"/>
    </w:pPr>
    <w:rPr>
      <w:rFonts w:ascii="Arial" w:hAnsi="Arial" w:cs="Arial"/>
      <w:b/>
      <w:sz w:val="22"/>
      <w:szCs w:val="20"/>
    </w:rPr>
  </w:style>
  <w:style w:type="paragraph" w:styleId="176">
    <w:name w:val="List Paragraph"/>
    <w:basedOn w:val="1"/>
    <w:link w:val="192"/>
    <w:qFormat/>
    <w:uiPriority w:val="34"/>
    <w:pPr>
      <w:ind w:left="720"/>
      <w:contextualSpacing/>
      <w:jc w:val="both"/>
    </w:pPr>
    <w:rPr>
      <w:szCs w:val="20"/>
    </w:rPr>
  </w:style>
  <w:style w:type="character" w:customStyle="1" w:styleId="177">
    <w:name w:val="Header Char"/>
    <w:link w:val="30"/>
    <w:qFormat/>
    <w:uiPriority w:val="99"/>
    <w:rPr>
      <w:rFonts w:ascii="Arial" w:hAnsi="Arial"/>
    </w:rPr>
  </w:style>
  <w:style w:type="paragraph" w:customStyle="1" w:styleId="178">
    <w:name w:val="Header1"/>
    <w:basedOn w:val="1"/>
    <w:qFormat/>
    <w:uiPriority w:val="0"/>
    <w:pPr>
      <w:widowControl w:val="0"/>
      <w:autoSpaceDE w:val="0"/>
      <w:autoSpaceDN w:val="0"/>
      <w:spacing w:before="240" w:after="480"/>
      <w:jc w:val="center"/>
    </w:pPr>
    <w:rPr>
      <w:b/>
      <w:bCs/>
      <w:spacing w:val="4"/>
      <w:sz w:val="44"/>
      <w:szCs w:val="46"/>
    </w:rPr>
  </w:style>
  <w:style w:type="paragraph" w:customStyle="1" w:styleId="179">
    <w:name w:val="Default"/>
    <w:qFormat/>
    <w:uiPriority w:val="0"/>
    <w:pPr>
      <w:autoSpaceDE w:val="0"/>
      <w:autoSpaceDN w:val="0"/>
      <w:adjustRightInd w:val="0"/>
    </w:pPr>
    <w:rPr>
      <w:rFonts w:ascii="Times New Roman" w:hAnsi="Times New Roman" w:eastAsia="Times New Roman" w:cs="Times New Roman"/>
      <w:color w:val="000000"/>
      <w:sz w:val="24"/>
      <w:szCs w:val="24"/>
      <w:lang w:val="en-US" w:eastAsia="en-US" w:bidi="ar-SA"/>
    </w:rPr>
  </w:style>
  <w:style w:type="paragraph" w:customStyle="1" w:styleId="180">
    <w:name w:val="Section 4 heading"/>
    <w:basedOn w:val="1"/>
    <w:next w:val="1"/>
    <w:qFormat/>
    <w:uiPriority w:val="0"/>
    <w:pPr>
      <w:widowControl w:val="0"/>
      <w:tabs>
        <w:tab w:val="left" w:leader="dot" w:pos="8748"/>
      </w:tabs>
      <w:autoSpaceDE w:val="0"/>
      <w:autoSpaceDN w:val="0"/>
      <w:spacing w:after="240"/>
      <w:jc w:val="center"/>
    </w:pPr>
    <w:rPr>
      <w:b/>
      <w:sz w:val="36"/>
    </w:rPr>
  </w:style>
  <w:style w:type="paragraph" w:customStyle="1" w:styleId="181">
    <w:name w:val="Style 19"/>
    <w:basedOn w:val="1"/>
    <w:qFormat/>
    <w:uiPriority w:val="0"/>
    <w:pPr>
      <w:widowControl w:val="0"/>
      <w:autoSpaceDE w:val="0"/>
      <w:autoSpaceDN w:val="0"/>
      <w:adjustRightInd w:val="0"/>
    </w:pPr>
  </w:style>
  <w:style w:type="paragraph" w:customStyle="1" w:styleId="182">
    <w:name w:val="Style 17"/>
    <w:basedOn w:val="1"/>
    <w:qFormat/>
    <w:uiPriority w:val="0"/>
    <w:pPr>
      <w:widowControl w:val="0"/>
      <w:autoSpaceDE w:val="0"/>
      <w:autoSpaceDN w:val="0"/>
      <w:spacing w:line="264" w:lineRule="exact"/>
      <w:ind w:left="576" w:hanging="360"/>
    </w:pPr>
  </w:style>
  <w:style w:type="paragraph" w:customStyle="1" w:styleId="183">
    <w:name w:val="Style 20"/>
    <w:basedOn w:val="1"/>
    <w:qFormat/>
    <w:uiPriority w:val="0"/>
    <w:pPr>
      <w:widowControl w:val="0"/>
      <w:autoSpaceDE w:val="0"/>
      <w:autoSpaceDN w:val="0"/>
      <w:spacing w:before="144" w:after="360" w:line="264" w:lineRule="exact"/>
    </w:pPr>
  </w:style>
  <w:style w:type="paragraph" w:customStyle="1" w:styleId="184">
    <w:name w:val="Style P3 Header1-Clauses + After:  12 pt"/>
    <w:basedOn w:val="70"/>
    <w:qFormat/>
    <w:uiPriority w:val="0"/>
    <w:pPr>
      <w:numPr>
        <w:numId w:val="20"/>
      </w:numPr>
      <w:tabs>
        <w:tab w:val="left" w:pos="972"/>
        <w:tab w:val="left" w:pos="1008"/>
        <w:tab w:val="left" w:pos="1440"/>
      </w:tabs>
      <w:spacing w:after="240"/>
      <w:ind w:left="1008"/>
    </w:pPr>
  </w:style>
  <w:style w:type="paragraph" w:customStyle="1" w:styleId="185">
    <w:name w:val="FIDIC_ClauseName"/>
    <w:basedOn w:val="1"/>
    <w:next w:val="1"/>
    <w:qFormat/>
    <w:uiPriority w:val="0"/>
    <w:pPr>
      <w:spacing w:before="240" w:after="240" w:line="240" w:lineRule="exact"/>
    </w:pPr>
    <w:rPr>
      <w:rFonts w:ascii="Arial" w:hAnsi="Arial" w:cs="Arial"/>
      <w:color w:val="0000CC"/>
      <w:spacing w:val="-5"/>
      <w:sz w:val="28"/>
      <w:szCs w:val="28"/>
      <w:lang w:val="en-GB"/>
    </w:rPr>
  </w:style>
  <w:style w:type="paragraph" w:customStyle="1" w:styleId="186">
    <w:name w:val="Head fid1"/>
    <w:basedOn w:val="79"/>
    <w:qFormat/>
    <w:uiPriority w:val="0"/>
    <w:pPr>
      <w:keepNext w:val="0"/>
      <w:widowControl/>
      <w:suppressAutoHyphens w:val="0"/>
      <w:spacing w:before="120" w:after="120"/>
    </w:pPr>
    <w:rPr>
      <w:rFonts w:ascii="Times New Roman" w:hAnsi="Times New Roman"/>
      <w:b/>
      <w:spacing w:val="0"/>
      <w:sz w:val="24"/>
      <w:lang w:val="en-GB"/>
    </w:rPr>
  </w:style>
  <w:style w:type="paragraph" w:customStyle="1" w:styleId="187">
    <w:name w:val="ChapterNumber"/>
    <w:qFormat/>
    <w:uiPriority w:val="0"/>
    <w:pPr>
      <w:tabs>
        <w:tab w:val="left" w:pos="-720"/>
      </w:tabs>
      <w:suppressAutoHyphens/>
    </w:pPr>
    <w:rPr>
      <w:rFonts w:ascii="CG Times" w:hAnsi="CG Times" w:eastAsia="Times New Roman" w:cs="Times New Roman"/>
      <w:sz w:val="22"/>
      <w:lang w:val="en-US" w:eastAsia="en-US" w:bidi="ar-SA"/>
    </w:rPr>
  </w:style>
  <w:style w:type="paragraph" w:customStyle="1" w:styleId="188">
    <w:name w:val="Text Box"/>
    <w:qFormat/>
    <w:uiPriority w:val="0"/>
    <w:pPr>
      <w:keepNext/>
      <w:keepLines/>
      <w:tabs>
        <w:tab w:val="left" w:pos="-720"/>
      </w:tabs>
      <w:suppressAutoHyphens/>
      <w:jc w:val="both"/>
    </w:pPr>
    <w:rPr>
      <w:rFonts w:ascii="Times New Roman" w:hAnsi="Times New Roman" w:eastAsia="Times New Roman" w:cs="Times New Roman"/>
      <w:spacing w:val="-2"/>
      <w:sz w:val="22"/>
      <w:lang w:val="en-US" w:eastAsia="en-US" w:bidi="ar-SA"/>
    </w:rPr>
  </w:style>
  <w:style w:type="paragraph" w:customStyle="1" w:styleId="189">
    <w:name w:val="Heading 1a"/>
    <w:qFormat/>
    <w:uiPriority w:val="0"/>
    <w:pPr>
      <w:keepNext/>
      <w:keepLines/>
      <w:tabs>
        <w:tab w:val="left" w:pos="-720"/>
      </w:tabs>
      <w:suppressAutoHyphens/>
      <w:jc w:val="center"/>
    </w:pPr>
    <w:rPr>
      <w:rFonts w:ascii="Times New Roman" w:hAnsi="Times New Roman" w:eastAsia="Times New Roman" w:cs="Times New Roman"/>
      <w:b/>
      <w:smallCaps/>
      <w:sz w:val="32"/>
      <w:lang w:val="en-US" w:eastAsia="en-US" w:bidi="ar-SA"/>
    </w:rPr>
  </w:style>
  <w:style w:type="character" w:customStyle="1" w:styleId="190">
    <w:name w:val="Endnote Text Char"/>
    <w:basedOn w:val="11"/>
    <w:link w:val="25"/>
    <w:qFormat/>
    <w:uiPriority w:val="0"/>
  </w:style>
  <w:style w:type="paragraph" w:customStyle="1" w:styleId="191">
    <w:name w:val="Section V. Heading 2"/>
    <w:basedOn w:val="80"/>
    <w:qFormat/>
    <w:uiPriority w:val="0"/>
    <w:pPr>
      <w:spacing w:before="120" w:after="200"/>
    </w:pPr>
    <w:rPr>
      <w:rFonts w:ascii="Times New Roman" w:hAnsi="Times New Roman"/>
      <w:sz w:val="28"/>
    </w:rPr>
  </w:style>
  <w:style w:type="character" w:customStyle="1" w:styleId="192">
    <w:name w:val="List Paragraph Char"/>
    <w:link w:val="176"/>
    <w:qFormat/>
    <w:uiPriority w:val="34"/>
    <w:rPr>
      <w:sz w:val="24"/>
    </w:rPr>
  </w:style>
  <w:style w:type="paragraph" w:customStyle="1" w:styleId="193">
    <w:name w:val="SPD  Form 2"/>
    <w:basedOn w:val="1"/>
    <w:qFormat/>
    <w:uiPriority w:val="0"/>
    <w:pPr>
      <w:spacing w:before="120" w:after="240"/>
      <w:jc w:val="center"/>
    </w:pPr>
    <w:rPr>
      <w:b/>
      <w:sz w:val="36"/>
      <w:szCs w:val="20"/>
    </w:rPr>
  </w:style>
  <w:style w:type="paragraph" w:customStyle="1" w:styleId="194">
    <w:name w:val="Style 5"/>
    <w:basedOn w:val="1"/>
    <w:qFormat/>
    <w:uiPriority w:val="0"/>
    <w:pPr>
      <w:widowControl w:val="0"/>
      <w:autoSpaceDE w:val="0"/>
      <w:autoSpaceDN w:val="0"/>
      <w:spacing w:line="480" w:lineRule="exact"/>
      <w:jc w:val="center"/>
    </w:pPr>
  </w:style>
  <w:style w:type="paragraph" w:customStyle="1" w:styleId="195">
    <w:name w:val="Bullet numbered"/>
    <w:basedOn w:val="176"/>
    <w:autoRedefine/>
    <w:qFormat/>
    <w:uiPriority w:val="0"/>
    <w:pPr>
      <w:numPr>
        <w:ilvl w:val="0"/>
        <w:numId w:val="21"/>
      </w:numPr>
      <w:tabs>
        <w:tab w:val="left" w:pos="360"/>
      </w:tabs>
      <w:spacing w:after="120" w:line="259" w:lineRule="auto"/>
      <w:ind w:left="360" w:firstLine="0"/>
      <w:contextualSpacing w:val="0"/>
      <w:jc w:val="left"/>
    </w:pPr>
    <w:rPr>
      <w:rFonts w:ascii="Calibri" w:hAnsi="Calibri" w:eastAsia="Calibri"/>
      <w:szCs w:val="22"/>
    </w:rPr>
  </w:style>
  <w:style w:type="paragraph" w:customStyle="1" w:styleId="196">
    <w:name w:val="Bullet roman"/>
    <w:basedOn w:val="176"/>
    <w:autoRedefine/>
    <w:qFormat/>
    <w:uiPriority w:val="0"/>
    <w:pPr>
      <w:numPr>
        <w:ilvl w:val="0"/>
        <w:numId w:val="22"/>
      </w:numPr>
      <w:spacing w:after="120" w:line="259" w:lineRule="auto"/>
      <w:contextualSpacing w:val="0"/>
      <w:jc w:val="left"/>
    </w:pPr>
    <w:rPr>
      <w:rFonts w:ascii="Calibri" w:hAnsi="Calibri" w:eastAsia="Calibri"/>
      <w:szCs w:val="22"/>
    </w:rPr>
  </w:style>
  <w:style w:type="paragraph" w:customStyle="1" w:styleId="197">
    <w:name w:val="Bullet abc"/>
    <w:basedOn w:val="176"/>
    <w:autoRedefine/>
    <w:qFormat/>
    <w:uiPriority w:val="0"/>
    <w:pPr>
      <w:numPr>
        <w:ilvl w:val="0"/>
        <w:numId w:val="23"/>
      </w:numPr>
      <w:tabs>
        <w:tab w:val="left" w:pos="360"/>
      </w:tabs>
      <w:spacing w:after="120" w:line="259" w:lineRule="auto"/>
      <w:ind w:firstLine="0"/>
      <w:contextualSpacing w:val="0"/>
      <w:jc w:val="left"/>
    </w:pPr>
    <w:rPr>
      <w:rFonts w:ascii="Calibri" w:hAnsi="Calibri" w:eastAsia="Calibri"/>
      <w:szCs w:val="22"/>
    </w:rPr>
  </w:style>
  <w:style w:type="paragraph" w:customStyle="1" w:styleId="198">
    <w:name w:val="Bullet dash 4th level"/>
    <w:basedOn w:val="176"/>
    <w:qFormat/>
    <w:uiPriority w:val="0"/>
    <w:pPr>
      <w:numPr>
        <w:ilvl w:val="0"/>
        <w:numId w:val="24"/>
      </w:numPr>
      <w:tabs>
        <w:tab w:val="left" w:pos="360"/>
        <w:tab w:val="left" w:pos="720"/>
      </w:tabs>
      <w:spacing w:line="259" w:lineRule="auto"/>
      <w:ind w:left="1440" w:firstLine="0"/>
      <w:jc w:val="left"/>
    </w:pPr>
    <w:rPr>
      <w:rFonts w:ascii="Calibri" w:hAnsi="Calibri" w:eastAsia="Calibri"/>
      <w:szCs w:val="22"/>
    </w:rPr>
  </w:style>
  <w:style w:type="paragraph" w:customStyle="1" w:styleId="199">
    <w:name w:val="Section 4 - Heading 2"/>
    <w:basedOn w:val="1"/>
    <w:qFormat/>
    <w:uiPriority w:val="0"/>
    <w:pPr>
      <w:spacing w:after="200"/>
      <w:jc w:val="center"/>
    </w:pPr>
    <w:rPr>
      <w:b/>
      <w:sz w:val="32"/>
    </w:rPr>
  </w:style>
  <w:style w:type="paragraph" w:customStyle="1" w:styleId="200">
    <w:name w:val="ClauseSub_Para"/>
    <w:link w:val="201"/>
    <w:qFormat/>
    <w:uiPriority w:val="0"/>
    <w:pPr>
      <w:spacing w:before="60" w:after="60"/>
      <w:ind w:left="2268"/>
    </w:pPr>
    <w:rPr>
      <w:rFonts w:ascii="Times New Roman" w:hAnsi="Times New Roman" w:eastAsia="Times New Roman" w:cs="Times New Roman"/>
      <w:sz w:val="22"/>
      <w:szCs w:val="22"/>
      <w:lang w:val="en-GB" w:eastAsia="en-US" w:bidi="ar-SA"/>
    </w:rPr>
  </w:style>
  <w:style w:type="character" w:customStyle="1" w:styleId="201">
    <w:name w:val="ClauseSub_Para Char"/>
    <w:link w:val="200"/>
    <w:qFormat/>
    <w:uiPriority w:val="0"/>
    <w:rPr>
      <w:sz w:val="22"/>
      <w:szCs w:val="22"/>
      <w:lang w:val="en-GB"/>
    </w:rPr>
  </w:style>
  <w:style w:type="paragraph" w:customStyle="1" w:styleId="202">
    <w:name w:val="Sec1-Clauses"/>
    <w:basedOn w:val="1"/>
    <w:qFormat/>
    <w:uiPriority w:val="0"/>
    <w:pPr>
      <w:tabs>
        <w:tab w:val="left" w:pos="360"/>
      </w:tabs>
      <w:spacing w:before="120" w:after="120"/>
      <w:ind w:left="360" w:hanging="360"/>
    </w:pPr>
    <w:rPr>
      <w:b/>
      <w:szCs w:val="20"/>
    </w:rPr>
  </w:style>
  <w:style w:type="paragraph" w:customStyle="1" w:styleId="203">
    <w:name w:val="p2"/>
    <w:basedOn w:val="1"/>
    <w:qFormat/>
    <w:uiPriority w:val="0"/>
    <w:rPr>
      <w:rFonts w:ascii="Calibri" w:hAnsi="Calibri" w:eastAsiaTheme="minorHAnsi"/>
      <w:sz w:val="15"/>
      <w:szCs w:val="15"/>
    </w:rPr>
  </w:style>
  <w:style w:type="paragraph" w:customStyle="1" w:styleId="204">
    <w:name w:val="Section 8 - Section"/>
    <w:basedOn w:val="1"/>
    <w:qFormat/>
    <w:uiPriority w:val="0"/>
    <w:pPr>
      <w:suppressAutoHyphens/>
      <w:overflowPunct w:val="0"/>
      <w:autoSpaceDE w:val="0"/>
      <w:autoSpaceDN w:val="0"/>
      <w:adjustRightInd w:val="0"/>
      <w:spacing w:before="120" w:after="200"/>
      <w:jc w:val="center"/>
      <w:textAlignment w:val="baseline"/>
    </w:pPr>
    <w:rPr>
      <w:b/>
      <w:sz w:val="28"/>
      <w:szCs w:val="20"/>
    </w:rPr>
  </w:style>
  <w:style w:type="paragraph" w:customStyle="1" w:styleId="205">
    <w:name w:val="Section 8 - Clauses"/>
    <w:basedOn w:val="1"/>
    <w:qFormat/>
    <w:uiPriority w:val="0"/>
    <w:pPr>
      <w:tabs>
        <w:tab w:val="left" w:pos="360"/>
      </w:tabs>
      <w:suppressAutoHyphens/>
      <w:overflowPunct w:val="0"/>
      <w:autoSpaceDE w:val="0"/>
      <w:autoSpaceDN w:val="0"/>
      <w:adjustRightInd w:val="0"/>
      <w:spacing w:after="200"/>
      <w:ind w:left="576" w:hanging="576"/>
      <w:textAlignment w:val="baseline"/>
    </w:pPr>
    <w:rPr>
      <w:b/>
      <w:szCs w:val="20"/>
    </w:rPr>
  </w:style>
  <w:style w:type="paragraph" w:customStyle="1" w:styleId="206">
    <w:name w:val="Section 10 - Heading 1"/>
    <w:basedOn w:val="1"/>
    <w:next w:val="1"/>
    <w:qFormat/>
    <w:uiPriority w:val="0"/>
    <w:pPr>
      <w:spacing w:before="120" w:after="240"/>
      <w:jc w:val="center"/>
    </w:pPr>
    <w:rPr>
      <w:b/>
      <w:sz w:val="36"/>
    </w:rPr>
  </w:style>
  <w:style w:type="paragraph" w:customStyle="1" w:styleId="207">
    <w:name w:val="Medium Grid 1 - Accent 21"/>
    <w:basedOn w:val="1"/>
    <w:link w:val="210"/>
    <w:qFormat/>
    <w:uiPriority w:val="34"/>
    <w:pPr>
      <w:ind w:left="720"/>
      <w:contextualSpacing/>
      <w:jc w:val="both"/>
    </w:pPr>
    <w:rPr>
      <w:szCs w:val="20"/>
    </w:rPr>
  </w:style>
  <w:style w:type="character" w:customStyle="1" w:styleId="208">
    <w:name w:val="Footer Char"/>
    <w:link w:val="27"/>
    <w:qFormat/>
    <w:uiPriority w:val="99"/>
    <w:rPr>
      <w:rFonts w:ascii="Arial" w:hAnsi="Arial"/>
    </w:rPr>
  </w:style>
  <w:style w:type="character" w:customStyle="1" w:styleId="209">
    <w:name w:val="Body Text Char"/>
    <w:link w:val="15"/>
    <w:qFormat/>
    <w:uiPriority w:val="0"/>
    <w:rPr>
      <w:rFonts w:ascii="Arial" w:hAnsi="Arial" w:cs="Arial"/>
      <w:szCs w:val="24"/>
    </w:rPr>
  </w:style>
  <w:style w:type="character" w:customStyle="1" w:styleId="210">
    <w:name w:val="Medium Grid 1 - Accent 2 Char"/>
    <w:link w:val="207"/>
    <w:qFormat/>
    <w:uiPriority w:val="34"/>
    <w:rPr>
      <w:sz w:val="24"/>
    </w:rPr>
  </w:style>
  <w:style w:type="paragraph" w:customStyle="1" w:styleId="211">
    <w:name w:val="Colorful Shading - Accent 11"/>
    <w:hidden/>
    <w:qFormat/>
    <w:uiPriority w:val="71"/>
    <w:rPr>
      <w:rFonts w:ascii="Times New Roman" w:hAnsi="Times New Roman" w:eastAsia="Times New Roman" w:cs="Times New Roman"/>
      <w:sz w:val="24"/>
      <w:szCs w:val="24"/>
      <w:lang w:val="en-US" w:eastAsia="en-US" w:bidi="ar-SA"/>
    </w:rPr>
  </w:style>
  <w:style w:type="paragraph" w:customStyle="1" w:styleId="212">
    <w:name w:val="Colorful Shading - Accent 12"/>
    <w:hidden/>
    <w:qFormat/>
    <w:uiPriority w:val="62"/>
    <w:rPr>
      <w:rFonts w:ascii="Times New Roman" w:hAnsi="Times New Roman" w:eastAsia="Times New Roman" w:cs="Times New Roman"/>
      <w:sz w:val="24"/>
      <w:szCs w:val="24"/>
      <w:lang w:val="en-US" w:eastAsia="en-US" w:bidi="ar-SA"/>
    </w:rPr>
  </w:style>
  <w:style w:type="paragraph" w:customStyle="1" w:styleId="213">
    <w:name w:val="Revision"/>
    <w:hidden/>
    <w:unhideWhenUsed/>
    <w:qFormat/>
    <w:uiPriority w:val="99"/>
    <w:rPr>
      <w:rFonts w:ascii="Times New Roman" w:hAnsi="Times New Roman" w:eastAsia="Times New Roman" w:cs="Times New Roman"/>
      <w:sz w:val="24"/>
      <w:szCs w:val="24"/>
      <w:lang w:val="en-US" w:eastAsia="en-US" w:bidi="ar-SA"/>
    </w:rPr>
  </w:style>
  <w:style w:type="paragraph" w:customStyle="1" w:styleId="214">
    <w:name w:val="x_msonormal"/>
    <w:basedOn w:val="1"/>
    <w:qFormat/>
    <w:uiPriority w:val="0"/>
    <w:pPr>
      <w:spacing w:before="100" w:beforeAutospacing="1" w:after="100" w:afterAutospacing="1"/>
    </w:pPr>
  </w:style>
  <w:style w:type="character" w:customStyle="1" w:styleId="215">
    <w:name w:val="apple-converted-space"/>
    <w:qFormat/>
    <w:uiPriority w:val="0"/>
  </w:style>
  <w:style w:type="paragraph" w:customStyle="1" w:styleId="216">
    <w:name w:val="Sub Eva Criteria"/>
    <w:basedOn w:val="1"/>
    <w:autoRedefine/>
    <w:qFormat/>
    <w:uiPriority w:val="0"/>
    <w:pPr>
      <w:numPr>
        <w:ilvl w:val="1"/>
        <w:numId w:val="25"/>
      </w:numPr>
      <w:tabs>
        <w:tab w:val="left" w:pos="1440"/>
        <w:tab w:val="left" w:pos="1710"/>
      </w:tabs>
      <w:spacing w:before="60" w:after="60"/>
    </w:pPr>
    <w:rPr>
      <w:b/>
      <w:bCs/>
      <w:color w:val="000000" w:themeColor="text1"/>
      <w14:textFill>
        <w14:solidFill>
          <w14:schemeClr w14:val="tx1"/>
        </w14:solidFill>
      </w14:textFill>
    </w:rPr>
  </w:style>
  <w:style w:type="paragraph" w:customStyle="1" w:styleId="217">
    <w:name w:val="Header Eva Criteria"/>
    <w:basedOn w:val="1"/>
    <w:link w:val="219"/>
    <w:qFormat/>
    <w:uiPriority w:val="0"/>
    <w:pPr>
      <w:numPr>
        <w:ilvl w:val="0"/>
        <w:numId w:val="26"/>
      </w:numPr>
    </w:pPr>
    <w:rPr>
      <w:rFonts w:ascii="Times New Roman Bold" w:hAnsi="Times New Roman Bold"/>
      <w:b/>
      <w:sz w:val="32"/>
    </w:rPr>
  </w:style>
  <w:style w:type="paragraph" w:customStyle="1" w:styleId="218">
    <w:name w:val="Subheader Eva Cri"/>
    <w:basedOn w:val="176"/>
    <w:link w:val="221"/>
    <w:qFormat/>
    <w:uiPriority w:val="0"/>
    <w:pPr>
      <w:numPr>
        <w:ilvl w:val="0"/>
        <w:numId w:val="27"/>
      </w:numPr>
      <w:jc w:val="left"/>
    </w:pPr>
    <w:rPr>
      <w:rFonts w:ascii="Times New Roman Bold" w:hAnsi="Times New Roman Bold"/>
      <w:b/>
      <w:sz w:val="28"/>
      <w:szCs w:val="24"/>
    </w:rPr>
  </w:style>
  <w:style w:type="character" w:customStyle="1" w:styleId="219">
    <w:name w:val="Header Eva Criteria Char"/>
    <w:basedOn w:val="11"/>
    <w:link w:val="217"/>
    <w:qFormat/>
    <w:uiPriority w:val="0"/>
    <w:rPr>
      <w:rFonts w:ascii="Times New Roman Bold" w:hAnsi="Times New Roman Bold"/>
      <w:b/>
      <w:sz w:val="32"/>
      <w:szCs w:val="24"/>
    </w:rPr>
  </w:style>
  <w:style w:type="paragraph" w:customStyle="1" w:styleId="220">
    <w:name w:val="Second Subheader Qualifications"/>
    <w:basedOn w:val="1"/>
    <w:link w:val="222"/>
    <w:qFormat/>
    <w:uiPriority w:val="0"/>
    <w:rPr>
      <w:rFonts w:ascii="Times New Roman Bold" w:hAnsi="Times New Roman Bold"/>
      <w:b/>
    </w:rPr>
  </w:style>
  <w:style w:type="character" w:customStyle="1" w:styleId="221">
    <w:name w:val="Subheader Eva Cri Char"/>
    <w:basedOn w:val="192"/>
    <w:link w:val="218"/>
    <w:qFormat/>
    <w:uiPriority w:val="0"/>
    <w:rPr>
      <w:rFonts w:ascii="Times New Roman Bold" w:hAnsi="Times New Roman Bold"/>
      <w:b/>
      <w:sz w:val="28"/>
      <w:szCs w:val="24"/>
    </w:rPr>
  </w:style>
  <w:style w:type="character" w:customStyle="1" w:styleId="222">
    <w:name w:val="Second Subheader Qualifications Char"/>
    <w:basedOn w:val="11"/>
    <w:link w:val="220"/>
    <w:qFormat/>
    <w:uiPriority w:val="0"/>
    <w:rPr>
      <w:rFonts w:ascii="Times New Roman Bold" w:hAnsi="Times New Roman Bold"/>
      <w:b/>
      <w:sz w:val="24"/>
      <w:szCs w:val="24"/>
    </w:rPr>
  </w:style>
  <w:style w:type="paragraph" w:customStyle="1" w:styleId="223">
    <w:name w:val="Subheader Technical Part of Evaluation"/>
    <w:basedOn w:val="1"/>
    <w:link w:val="224"/>
    <w:autoRedefine/>
    <w:qFormat/>
    <w:uiPriority w:val="0"/>
    <w:rPr>
      <w:rFonts w:ascii="Times New Roman Bold" w:hAnsi="Times New Roman Bold"/>
      <w:b/>
      <w:sz w:val="28"/>
    </w:rPr>
  </w:style>
  <w:style w:type="character" w:customStyle="1" w:styleId="224">
    <w:name w:val="Subheader Technical Part of Evaluation Char"/>
    <w:basedOn w:val="11"/>
    <w:link w:val="223"/>
    <w:qFormat/>
    <w:uiPriority w:val="0"/>
    <w:rPr>
      <w:rFonts w:ascii="Times New Roman Bold" w:hAnsi="Times New Roman Bold"/>
      <w:b/>
      <w:sz w:val="28"/>
      <w:szCs w:val="24"/>
    </w:rPr>
  </w:style>
  <w:style w:type="paragraph" w:customStyle="1" w:styleId="225">
    <w:name w:val="Style Header 1 - Clauses + After:  10 pt"/>
    <w:basedOn w:val="68"/>
    <w:autoRedefine/>
    <w:qFormat/>
    <w:uiPriority w:val="0"/>
    <w:pPr>
      <w:numPr>
        <w:numId w:val="0"/>
      </w:numPr>
      <w:spacing w:before="0" w:after="200"/>
    </w:pPr>
    <w:rPr>
      <w:rFonts w:ascii="Times New Roman" w:hAnsi="Times New Roman"/>
      <w:bCs/>
    </w:rPr>
  </w:style>
  <w:style w:type="paragraph" w:customStyle="1" w:styleId="226">
    <w:name w:val="Section 1-Clauses"/>
    <w:basedOn w:val="202"/>
    <w:qFormat/>
    <w:uiPriority w:val="0"/>
    <w:pPr>
      <w:spacing w:before="0" w:after="200"/>
    </w:pPr>
    <w:rPr>
      <w:bCs/>
    </w:rPr>
  </w:style>
  <w:style w:type="paragraph" w:customStyle="1" w:styleId="227">
    <w:name w:val="Section 1 Heading 1"/>
    <w:basedOn w:val="167"/>
    <w:qFormat/>
    <w:uiPriority w:val="0"/>
    <w:pPr>
      <w:numPr>
        <w:numId w:val="0"/>
      </w:numPr>
      <w:tabs>
        <w:tab w:val="left" w:pos="432"/>
      </w:tabs>
      <w:ind w:left="432" w:hanging="432"/>
    </w:pPr>
  </w:style>
  <w:style w:type="paragraph" w:customStyle="1" w:styleId="228">
    <w:name w:val="Section 3 Heading 1"/>
    <w:basedOn w:val="217"/>
    <w:next w:val="1"/>
    <w:qFormat/>
    <w:uiPriority w:val="0"/>
    <w:pPr>
      <w:spacing w:after="200"/>
    </w:pPr>
  </w:style>
  <w:style w:type="paragraph" w:customStyle="1" w:styleId="229">
    <w:name w:val="Section 4. Heading 1"/>
    <w:basedOn w:val="80"/>
    <w:qFormat/>
    <w:uiPriority w:val="0"/>
    <w:pPr>
      <w:spacing w:after="200"/>
    </w:pPr>
    <w:rPr>
      <w:rFonts w:ascii="Times New Roman" w:hAnsi="Times New Roman"/>
      <w:bCs/>
    </w:rPr>
  </w:style>
  <w:style w:type="paragraph" w:customStyle="1" w:styleId="230">
    <w:name w:val="S1-sub para"/>
    <w:basedOn w:val="1"/>
    <w:link w:val="231"/>
    <w:qFormat/>
    <w:uiPriority w:val="0"/>
    <w:pPr>
      <w:numPr>
        <w:ilvl w:val="1"/>
        <w:numId w:val="28"/>
      </w:numPr>
      <w:spacing w:after="200"/>
      <w:ind w:right="-14"/>
      <w:jc w:val="both"/>
    </w:pPr>
    <w:rPr>
      <w:szCs w:val="20"/>
    </w:rPr>
  </w:style>
  <w:style w:type="character" w:customStyle="1" w:styleId="231">
    <w:name w:val="S1-sub para Char"/>
    <w:link w:val="230"/>
    <w:qFormat/>
    <w:uiPriority w:val="0"/>
    <w:rPr>
      <w:sz w:val="24"/>
    </w:rPr>
  </w:style>
  <w:style w:type="paragraph" w:customStyle="1" w:styleId="232">
    <w:name w:val="Sec1-Clauses + After:  10 pt1"/>
    <w:basedOn w:val="202"/>
    <w:qFormat/>
    <w:uiPriority w:val="0"/>
    <w:pPr>
      <w:numPr>
        <w:ilvl w:val="0"/>
        <w:numId w:val="29"/>
      </w:numPr>
      <w:spacing w:before="0" w:after="200"/>
    </w:pPr>
    <w:rPr>
      <w:bCs/>
    </w:rPr>
  </w:style>
  <w:style w:type="paragraph" w:customStyle="1" w:styleId="233">
    <w:name w:val="Style Heading 4Sub-Clause Sub-paragraphClauseSubSub_No&amp;Name + Aft..."/>
    <w:basedOn w:val="5"/>
    <w:qFormat/>
    <w:uiPriority w:val="0"/>
    <w:pPr>
      <w:keepNext/>
      <w:numPr>
        <w:ilvl w:val="0"/>
        <w:numId w:val="0"/>
      </w:numPr>
      <w:spacing w:before="0" w:after="180"/>
      <w:ind w:left="1512" w:right="18" w:hanging="540"/>
    </w:pPr>
    <w:rPr>
      <w:rFonts w:ascii="Times New Roman" w:hAnsi="Times New Roman" w:cs="Times New Roman"/>
      <w:b/>
      <w:bCs/>
      <w:sz w:val="24"/>
      <w:szCs w:val="24"/>
    </w:rPr>
  </w:style>
  <w:style w:type="paragraph" w:customStyle="1" w:styleId="234">
    <w:name w:val="ITB h2"/>
    <w:basedOn w:val="226"/>
    <w:qFormat/>
    <w:uiPriority w:val="0"/>
    <w:pPr>
      <w:tabs>
        <w:tab w:val="left" w:pos="432"/>
        <w:tab w:val="clear" w:pos="360"/>
      </w:tabs>
      <w:ind w:left="432" w:hanging="432"/>
    </w:pPr>
  </w:style>
  <w:style w:type="paragraph" w:customStyle="1" w:styleId="235">
    <w:name w:val="UG - Heading 2"/>
    <w:basedOn w:val="3"/>
    <w:next w:val="1"/>
    <w:qFormat/>
    <w:uiPriority w:val="0"/>
    <w:pPr>
      <w:keepNext w:val="0"/>
      <w:suppressAutoHyphens/>
      <w:spacing w:before="0" w:after="240"/>
      <w:ind w:left="0" w:right="0" w:firstLine="0"/>
    </w:pPr>
    <w:rPr>
      <w:rFonts w:ascii="Times New Roman Bold" w:hAnsi="Times New Roman Bold" w:cs="Times New Roman"/>
      <w:bCs w:val="0"/>
      <w:sz w:val="32"/>
      <w:szCs w:val="28"/>
    </w:rPr>
  </w:style>
  <w:style w:type="paragraph" w:customStyle="1" w:styleId="236">
    <w:name w:val="Section IX Header"/>
    <w:basedOn w:val="80"/>
    <w:qFormat/>
    <w:uiPriority w:val="0"/>
    <w:rPr>
      <w:rFonts w:ascii="Times New Roman" w:hAnsi="Times New Roman"/>
      <w:szCs w:val="24"/>
      <w:lang w:val="en-US"/>
    </w:rPr>
  </w:style>
  <w:style w:type="paragraph" w:customStyle="1" w:styleId="237">
    <w:name w:val="Section X Heading"/>
    <w:basedOn w:val="1"/>
    <w:qFormat/>
    <w:uiPriority w:val="0"/>
    <w:pPr>
      <w:spacing w:before="240" w:after="240"/>
      <w:jc w:val="center"/>
    </w:pPr>
    <w:rPr>
      <w:rFonts w:ascii="Times New Roman Bold" w:hAnsi="Times New Roman Bold"/>
      <w:b/>
      <w:sz w:val="36"/>
    </w:rPr>
  </w:style>
  <w:style w:type="paragraph" w:customStyle="1" w:styleId="238">
    <w:name w:val="Aheader Terciary leve"/>
    <w:basedOn w:val="1"/>
    <w:link w:val="239"/>
    <w:qFormat/>
    <w:uiPriority w:val="0"/>
    <w:pPr>
      <w:jc w:val="center"/>
    </w:pPr>
    <w:rPr>
      <w:b/>
      <w:sz w:val="28"/>
    </w:rPr>
  </w:style>
  <w:style w:type="character" w:customStyle="1" w:styleId="239">
    <w:name w:val="Aheader Terciary leve Char"/>
    <w:basedOn w:val="11"/>
    <w:link w:val="238"/>
    <w:qFormat/>
    <w:uiPriority w:val="0"/>
    <w:rPr>
      <w:b/>
      <w:sz w:val="28"/>
      <w:szCs w:val="24"/>
    </w:rPr>
  </w:style>
  <w:style w:type="paragraph" w:customStyle="1" w:styleId="240">
    <w:name w:val="ESS para"/>
    <w:basedOn w:val="1"/>
    <w:link w:val="241"/>
    <w:qFormat/>
    <w:uiPriority w:val="0"/>
    <w:pPr>
      <w:numPr>
        <w:ilvl w:val="0"/>
        <w:numId w:val="30"/>
      </w:numPr>
      <w:spacing w:after="240"/>
      <w:jc w:val="both"/>
    </w:pPr>
    <w:rPr>
      <w:rFonts w:asciiTheme="minorHAnsi" w:hAnsiTheme="minorHAnsi" w:eastAsiaTheme="minorEastAsia" w:cstheme="minorBidi"/>
      <w:sz w:val="22"/>
      <w:szCs w:val="22"/>
      <w:lang w:eastAsia="ja-JP"/>
    </w:rPr>
  </w:style>
  <w:style w:type="character" w:customStyle="1" w:styleId="241">
    <w:name w:val="ESS para Char"/>
    <w:basedOn w:val="11"/>
    <w:link w:val="240"/>
    <w:qFormat/>
    <w:uiPriority w:val="0"/>
    <w:rPr>
      <w:rFonts w:asciiTheme="minorHAnsi" w:hAnsiTheme="minorHAnsi" w:eastAsiaTheme="minorEastAsia" w:cstheme="minorBidi"/>
      <w:sz w:val="22"/>
      <w:szCs w:val="22"/>
      <w:lang w:eastAsia="ja-JP"/>
    </w:rPr>
  </w:style>
  <w:style w:type="character" w:customStyle="1" w:styleId="242">
    <w:name w:val="Heading 2 Char"/>
    <w:link w:val="3"/>
    <w:qFormat/>
    <w:uiPriority w:val="0"/>
    <w:rPr>
      <w:rFonts w:ascii="Arial" w:hAnsi="Arial" w:cs="Arial"/>
      <w:b/>
      <w:bCs/>
      <w:sz w:val="24"/>
      <w:szCs w:val="24"/>
    </w:rPr>
  </w:style>
  <w:style w:type="character" w:customStyle="1" w:styleId="243">
    <w:name w:val="fontstyle01"/>
    <w:basedOn w:val="11"/>
    <w:qFormat/>
    <w:uiPriority w:val="0"/>
    <w:rPr>
      <w:rFonts w:hint="default" w:ascii="Times-Bold" w:hAnsi="Times-Bold"/>
      <w:b/>
      <w:bCs/>
      <w:color w:val="000000"/>
      <w:sz w:val="24"/>
      <w:szCs w:val="24"/>
    </w:rPr>
  </w:style>
  <w:style w:type="character" w:customStyle="1" w:styleId="244">
    <w:name w:val="fontstyle21"/>
    <w:basedOn w:val="11"/>
    <w:qFormat/>
    <w:uiPriority w:val="0"/>
    <w:rPr>
      <w:rFonts w:hint="default" w:ascii="Times-Italic" w:hAnsi="Times-Italic"/>
      <w:i/>
      <w:iCs/>
      <w:color w:val="000000"/>
      <w:sz w:val="24"/>
      <w:szCs w:val="24"/>
    </w:rPr>
  </w:style>
  <w:style w:type="character" w:customStyle="1" w:styleId="245">
    <w:name w:val="Unresolved Mention"/>
    <w:basedOn w:val="11"/>
    <w:semiHidden/>
    <w:unhideWhenUsed/>
    <w:qFormat/>
    <w:uiPriority w:val="99"/>
    <w:rPr>
      <w:color w:val="605E5C"/>
      <w:shd w:val="clear" w:color="auto" w:fill="E1DFDD"/>
    </w:rPr>
  </w:style>
  <w:style w:type="character" w:customStyle="1" w:styleId="246">
    <w:name w:val="fontstyle31"/>
    <w:basedOn w:val="11"/>
    <w:qFormat/>
    <w:uiPriority w:val="0"/>
    <w:rPr>
      <w:rFonts w:hint="default" w:ascii="Times-Italic" w:hAnsi="Times-Italic"/>
      <w:i/>
      <w:iCs/>
      <w:color w:val="000000"/>
      <w:sz w:val="24"/>
      <w:szCs w:val="24"/>
    </w:rPr>
  </w:style>
  <w:style w:type="character" w:customStyle="1" w:styleId="247">
    <w:name w:val="fontstyle41"/>
    <w:basedOn w:val="11"/>
    <w:qFormat/>
    <w:uiPriority w:val="0"/>
    <w:rPr>
      <w:rFonts w:hint="default" w:ascii="Times-Bold" w:hAnsi="Times-Bold"/>
      <w:b/>
      <w:bCs/>
      <w:color w:val="000000"/>
      <w:sz w:val="24"/>
      <w:szCs w:val="24"/>
    </w:rPr>
  </w:style>
  <w:style w:type="paragraph" w:customStyle="1" w:styleId="248">
    <w:name w:val="Heading 2+"/>
    <w:basedOn w:val="3"/>
    <w:next w:val="1"/>
    <w:link w:val="249"/>
    <w:autoRedefine/>
    <w:qFormat/>
    <w:uiPriority w:val="0"/>
    <w:pPr>
      <w:tabs>
        <w:tab w:val="left" w:pos="709"/>
      </w:tabs>
      <w:spacing w:before="100" w:beforeAutospacing="1" w:after="100" w:afterAutospacing="1" w:line="259" w:lineRule="auto"/>
      <w:ind w:left="720" w:right="95"/>
      <w:jc w:val="left"/>
    </w:pPr>
    <w:rPr>
      <w:rFonts w:ascii="Arial Narrow" w:hAnsi="Arial Narrow" w:eastAsia="Times New Roman Bold" w:cstheme="minorHAnsi"/>
      <w:iCs/>
      <w:szCs w:val="28"/>
      <w:lang w:eastAsia="ja-JP"/>
    </w:rPr>
  </w:style>
  <w:style w:type="character" w:customStyle="1" w:styleId="249">
    <w:name w:val="Heading 2+ Char"/>
    <w:link w:val="248"/>
    <w:qFormat/>
    <w:uiPriority w:val="0"/>
    <w:rPr>
      <w:rFonts w:ascii="Arial Narrow" w:hAnsi="Arial Narrow" w:eastAsia="Times New Roman Bold" w:cstheme="minorHAnsi"/>
      <w:b/>
      <w:bCs/>
      <w:iCs/>
      <w:sz w:val="24"/>
      <w:szCs w:val="28"/>
      <w:lang w:eastAsia="ja-JP"/>
    </w:rPr>
  </w:style>
  <w:style w:type="character" w:customStyle="1" w:styleId="250">
    <w:name w:val="Caption Char"/>
    <w:link w:val="21"/>
    <w:qFormat/>
    <w:uiPriority w:val="0"/>
    <w:rPr>
      <w:rFonts w:ascii="Arial" w:hAnsi="Arial" w:cs="Arial"/>
      <w:b/>
      <w:sz w:val="24"/>
      <w:szCs w:val="24"/>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header" Target="header2.xml"/><Relationship Id="rId57" Type="http://schemas.openxmlformats.org/officeDocument/2006/relationships/fontTable" Target="fontTable.xml"/><Relationship Id="rId56" Type="http://schemas.openxmlformats.org/officeDocument/2006/relationships/customXml" Target="../customXml/item5.xml"/><Relationship Id="rId55" Type="http://schemas.openxmlformats.org/officeDocument/2006/relationships/customXml" Target="../customXml/item4.xml"/><Relationship Id="rId54" Type="http://schemas.openxmlformats.org/officeDocument/2006/relationships/customXml" Target="../customXml/item3.xml"/><Relationship Id="rId53" Type="http://schemas.openxmlformats.org/officeDocument/2006/relationships/customXml" Target="../customXml/item2.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9.jpeg"/><Relationship Id="rId5" Type="http://schemas.openxmlformats.org/officeDocument/2006/relationships/footer" Target="footer1.xml"/><Relationship Id="rId49" Type="http://schemas.openxmlformats.org/officeDocument/2006/relationships/image" Target="media/image8.png"/><Relationship Id="rId48" Type="http://schemas.openxmlformats.org/officeDocument/2006/relationships/image" Target="media/image7.png"/><Relationship Id="rId47" Type="http://schemas.openxmlformats.org/officeDocument/2006/relationships/image" Target="media/image6.jpeg"/><Relationship Id="rId46" Type="http://schemas.openxmlformats.org/officeDocument/2006/relationships/image" Target="media/image5.jpeg"/><Relationship Id="rId45" Type="http://schemas.openxmlformats.org/officeDocument/2006/relationships/image" Target="media/image4.jpeg"/><Relationship Id="rId44" Type="http://schemas.openxmlformats.org/officeDocument/2006/relationships/image" Target="media/image3.png"/><Relationship Id="rId43" Type="http://schemas.openxmlformats.org/officeDocument/2006/relationships/image" Target="media/image2.jpeg"/><Relationship Id="rId42" Type="http://schemas.openxmlformats.org/officeDocument/2006/relationships/image" Target="media/image1.png"/><Relationship Id="rId41" Type="http://schemas.openxmlformats.org/officeDocument/2006/relationships/oleObject" Target="embeddings/oleObject1.bin"/><Relationship Id="rId40" Type="http://schemas.openxmlformats.org/officeDocument/2006/relationships/theme" Target="theme/theme1.xml"/><Relationship Id="rId4" Type="http://schemas.openxmlformats.org/officeDocument/2006/relationships/header" Target="header1.xml"/><Relationship Id="rId39" Type="http://schemas.openxmlformats.org/officeDocument/2006/relationships/header" Target="header31.xml"/><Relationship Id="rId38" Type="http://schemas.openxmlformats.org/officeDocument/2006/relationships/header" Target="header30.xml"/><Relationship Id="rId37" Type="http://schemas.openxmlformats.org/officeDocument/2006/relationships/header" Target="header29.xml"/><Relationship Id="rId36" Type="http://schemas.openxmlformats.org/officeDocument/2006/relationships/header" Target="header28.xml"/><Relationship Id="rId35" Type="http://schemas.openxmlformats.org/officeDocument/2006/relationships/header" Target="header27.xml"/><Relationship Id="rId34" Type="http://schemas.openxmlformats.org/officeDocument/2006/relationships/header" Target="header26.xml"/><Relationship Id="rId33" Type="http://schemas.openxmlformats.org/officeDocument/2006/relationships/header" Target="header25.xml"/><Relationship Id="rId32" Type="http://schemas.openxmlformats.org/officeDocument/2006/relationships/header" Target="header24.xml"/><Relationship Id="rId31" Type="http://schemas.openxmlformats.org/officeDocument/2006/relationships/header" Target="header23.xml"/><Relationship Id="rId30" Type="http://schemas.openxmlformats.org/officeDocument/2006/relationships/footer" Target="footer5.xml"/><Relationship Id="rId3" Type="http://schemas.openxmlformats.org/officeDocument/2006/relationships/footnotes" Target="footnotes.xml"/><Relationship Id="rId29" Type="http://schemas.openxmlformats.org/officeDocument/2006/relationships/footer" Target="footer4.xml"/><Relationship Id="rId28" Type="http://schemas.openxmlformats.org/officeDocument/2006/relationships/header" Target="header22.xml"/><Relationship Id="rId27" Type="http://schemas.openxmlformats.org/officeDocument/2006/relationships/header" Target="header21.xml"/><Relationship Id="rId26" Type="http://schemas.openxmlformats.org/officeDocument/2006/relationships/header" Target="header20.xml"/><Relationship Id="rId25" Type="http://schemas.openxmlformats.org/officeDocument/2006/relationships/header" Target="header19.xml"/><Relationship Id="rId24" Type="http://schemas.openxmlformats.org/officeDocument/2006/relationships/header" Target="header18.xml"/><Relationship Id="rId23" Type="http://schemas.openxmlformats.org/officeDocument/2006/relationships/header" Target="header17.xml"/><Relationship Id="rId22" Type="http://schemas.openxmlformats.org/officeDocument/2006/relationships/header" Target="header16.xml"/><Relationship Id="rId21" Type="http://schemas.openxmlformats.org/officeDocument/2006/relationships/header" Target="header15.xml"/><Relationship Id="rId20" Type="http://schemas.openxmlformats.org/officeDocument/2006/relationships/header" Target="header14.xml"/><Relationship Id="rId2" Type="http://schemas.openxmlformats.org/officeDocument/2006/relationships/settings" Target="settings.xml"/><Relationship Id="rId19" Type="http://schemas.openxmlformats.org/officeDocument/2006/relationships/header" Target="header13.xml"/><Relationship Id="rId18" Type="http://schemas.openxmlformats.org/officeDocument/2006/relationships/footer" Target="footer3.xml"/><Relationship Id="rId17" Type="http://schemas.openxmlformats.org/officeDocument/2006/relationships/footer" Target="footer2.xml"/><Relationship Id="rId16" Type="http://schemas.openxmlformats.org/officeDocument/2006/relationships/header" Target="header12.xml"/><Relationship Id="rId15" Type="http://schemas.openxmlformats.org/officeDocument/2006/relationships/header" Target="header11.xml"/><Relationship Id="rId14" Type="http://schemas.openxmlformats.org/officeDocument/2006/relationships/header" Target="header10.xml"/><Relationship Id="rId13" Type="http://schemas.openxmlformats.org/officeDocument/2006/relationships/header" Target="header9.xml"/><Relationship Id="rId12" Type="http://schemas.openxmlformats.org/officeDocument/2006/relationships/header" Target="header8.xml"/><Relationship Id="rId11" Type="http://schemas.openxmlformats.org/officeDocument/2006/relationships/header" Target="header7.xml"/><Relationship Id="rId10" Type="http://schemas.openxmlformats.org/officeDocument/2006/relationships/header" Target="header6.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84A3277B7707A48B0E1B9AC835E8163" ma:contentTypeVersion="5" ma:contentTypeDescription="Create a new document." ma:contentTypeScope="" ma:versionID="1d9197ec428582acf236bcb7a2fbc99f">
  <xsd:schema xmlns:xsd="http://www.w3.org/2001/XMLSchema" xmlns:xs="http://www.w3.org/2001/XMLSchema" xmlns:p="http://schemas.microsoft.com/office/2006/metadata/properties" xmlns:ns3="aa3449fd-d373-417f-9c8d-cf261ce8b785" xmlns:ns4="eda4fd43-f936-4ced-9b4a-46c1ef7d5473" targetNamespace="http://schemas.microsoft.com/office/2006/metadata/properties" ma:root="true" ma:fieldsID="84527c4b0a99d0cc85596587c6aa46f9" ns3:_="" ns4:_="">
    <xsd:import namespace="aa3449fd-d373-417f-9c8d-cf261ce8b785"/>
    <xsd:import namespace="eda4fd43-f936-4ced-9b4a-46c1ef7d547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3449fd-d373-417f-9c8d-cf261ce8b78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da4fd43-f936-4ced-9b4a-46c1ef7d547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1EE333-1A87-404D-AFD5-D6090B420E6B}">
  <ds:schemaRefs/>
</ds:datastoreItem>
</file>

<file path=customXml/itemProps3.xml><?xml version="1.0" encoding="utf-8"?>
<ds:datastoreItem xmlns:ds="http://schemas.openxmlformats.org/officeDocument/2006/customXml" ds:itemID="{2A0CE19E-861A-4725-A86D-11B5D3DC2198}">
  <ds:schemaRefs/>
</ds:datastoreItem>
</file>

<file path=customXml/itemProps4.xml><?xml version="1.0" encoding="utf-8"?>
<ds:datastoreItem xmlns:ds="http://schemas.openxmlformats.org/officeDocument/2006/customXml" ds:itemID="{C5192118-0E2E-447B-AD5E-D1EAAFC88DBE}">
  <ds:schemaRefs/>
</ds:datastoreItem>
</file>

<file path=customXml/itemProps5.xml><?xml version="1.0" encoding="utf-8"?>
<ds:datastoreItem xmlns:ds="http://schemas.openxmlformats.org/officeDocument/2006/customXml" ds:itemID="{884F64C2-94F2-4A76-8F88-2F8AA83CDCA1}">
  <ds:schemaRefs/>
</ds:datastoreItem>
</file>

<file path=docProps/app.xml><?xml version="1.0" encoding="utf-8"?>
<Properties xmlns="http://schemas.openxmlformats.org/officeDocument/2006/extended-properties" xmlns:vt="http://schemas.openxmlformats.org/officeDocument/2006/docPropsVTypes">
  <Template>Normal</Template>
  <Company>Asian Devlopment Bank</Company>
  <Pages>198</Pages>
  <Words>45103</Words>
  <Characters>257091</Characters>
  <Lines>2142</Lines>
  <Paragraphs>603</Paragraphs>
  <TotalTime>2</TotalTime>
  <ScaleCrop>false</ScaleCrop>
  <LinksUpToDate>false</LinksUpToDate>
  <CharactersWithSpaces>301591</CharactersWithSpaces>
  <Application>WPS Office_12.2.0.18283_F1E327BC-269C-435d-A152-05C5408002CA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2024-09-27T07:57:00Z</dcterms:created>
  <dc:creator>OIST</dc:creator>
  <dc:description>10.30.08 removed reference in to Eligibility (62) in TOC of the GC
3/18/2013 - updated the contract agreement to bring in alignment with Large Works - Karina Mostipan
6/25/2013 - corrected reference in footnote 2 of Performance Security from 11.9 to 53.1
BDS 34.3 changed bid submission form to Letter of Bid- Karina Mostipan</dc:description>
  <cp:lastModifiedBy>Abdullahi Abdikadir</cp:lastModifiedBy>
  <cp:lastPrinted>2015-04-09T23:24:00Z</cp:lastPrinted>
  <dcterms:modified xsi:type="dcterms:W3CDTF">2024-10-25T20:03:01Z</dcterms:modified>
  <dc:title>Section I</dc:title>
  <cp:revision>127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0x010100884A3277B7707A48B0E1B9AC835E8163</vt:lpwstr>
  </property>
  <property fmtid="{D5CDD505-2E9C-101B-9397-08002B2CF9AE}" pid="3" name="KSOProductBuildVer">
    <vt:lpwstr>1033-12.2.0.18283</vt:lpwstr>
  </property>
  <property fmtid="{D5CDD505-2E9C-101B-9397-08002B2CF9AE}" pid="4" name="ICV">
    <vt:lpwstr>D39228EDB84E41C980191F87EDF40BFE_13</vt:lpwstr>
  </property>
</Properties>
</file>